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东方阿尔法招阳混合型证券投资基金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3"/>
            <w:vAlign w:val="center"/>
          </w:tcPr>
          <w:p>
            <w:pPr>
              <w:spacing w:line="240" w:lineRule="auto"/>
              <w:jc w:val="left"/>
            </w:pPr>
            <w:r>
              <w:rPr>
                <w:rFonts w:ascii="宋体" w:eastAsia="宋体" w:hAnsi="宋体" w:cs="宋体"/>
                <w:b w:val="0"/>
              </w:rPr>
              <w:t>东方阿尔法招阳混合</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3"/>
            <w:vAlign w:val="center"/>
          </w:tcPr>
          <w:p>
            <w:pPr>
              <w:spacing w:line="240" w:lineRule="auto"/>
              <w:jc w:val="left"/>
            </w:pPr>
            <w:r>
              <w:rPr>
                <w:rFonts w:ascii="宋体" w:eastAsia="宋体" w:hAnsi="宋体" w:cs="宋体"/>
                <w:b w:val="0"/>
              </w:rPr>
              <w:t>011184</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3"/>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3"/>
            <w:vAlign w:val="center"/>
          </w:tcPr>
          <w:p>
            <w:pPr>
              <w:spacing w:line="240" w:lineRule="auto"/>
              <w:jc w:val="left"/>
            </w:pPr>
            <w:r>
              <w:rPr>
                <w:rFonts w:ascii="宋体" w:eastAsia="宋体" w:hAnsi="宋体" w:cs="宋体"/>
                <w:b w:val="0"/>
              </w:rPr>
              <w:t>2021年03月17日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3"/>
            <w:vAlign w:val="center"/>
          </w:tcPr>
          <w:p>
            <w:pPr>
              <w:spacing w:line="240" w:lineRule="auto"/>
              <w:jc w:val="left"/>
            </w:pPr>
            <w:r>
              <w:rPr>
                <w:rFonts w:ascii="宋体" w:eastAsia="宋体" w:hAnsi="宋体" w:cs="宋体"/>
                <w:b w:val="0"/>
              </w:rPr>
              <w:t>613,946,146.87份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3"/>
            <w:vAlign w:val="center"/>
          </w:tcPr>
          <w:p>
            <w:pPr>
              <w:spacing w:line="240" w:lineRule="auto"/>
              <w:jc w:val="left"/>
            </w:pPr>
            <w:r>
              <w:rPr>
                <w:rFonts w:ascii="宋体" w:eastAsia="宋体" w:hAnsi="宋体" w:cs="宋体"/>
                <w:b w:val="0"/>
              </w:rPr>
              <w:t>在严格控制风险的基础之上，通过深入研究、优选个股、主动的投资管理方式力求实现组合资产的稳健增值。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3"/>
            <w:vAlign w:val="center"/>
          </w:tcPr>
          <w:p>
            <w:pPr>
              <w:spacing w:line="240" w:lineRule="auto"/>
              <w:jc w:val="left"/>
            </w:pPr>
            <w:r>
              <w:rPr>
                <w:rFonts w:ascii="宋体" w:eastAsia="宋体" w:hAnsi="宋体" w:cs="宋体"/>
                <w:b w:val="0"/>
              </w:rPr>
              <w:t>本基金的投资策略主要有以下9个方面内容：</w:t>
              <w:br/>
            </w:r>
            <w:r>
              <w:rPr>
                <w:rFonts w:ascii="宋体" w:eastAsia="宋体" w:hAnsi="宋体" w:cs="宋体"/>
                <w:b w:val="0"/>
              </w:rPr>
              <w:t>1、大类资产配置策略</w:t>
              <w:br/>
            </w:r>
            <w:r>
              <w:rPr>
                <w:rFonts w:ascii="宋体" w:eastAsia="宋体" w:hAnsi="宋体" w:cs="宋体"/>
                <w:b w:val="0"/>
              </w:rPr>
              <w:t>根据国内外宏观经济情况、国内外证券市场估值水平阶段性不断调整权益类资产和其他资产之间的大类资产配置比例。</w:t>
              <w:br/>
            </w:r>
            <w:r>
              <w:rPr>
                <w:rFonts w:ascii="宋体" w:eastAsia="宋体" w:hAnsi="宋体" w:cs="宋体"/>
                <w:b w:val="0"/>
              </w:rPr>
              <w:t>2、个股优选策略</w:t>
              <w:br/>
            </w:r>
            <w:r>
              <w:rPr>
                <w:rFonts w:ascii="宋体" w:eastAsia="宋体" w:hAnsi="宋体" w:cs="宋体"/>
                <w:b w:val="0"/>
              </w:rPr>
              <w:t>采用定量分析与定性分析相结合的方式对上市公司进行分析，建立备选股票池，并以备选股票池成份股未来两年的PE衡量动态性价比作为选择其进入投资组合的重要依据。</w:t>
              <w:br/>
            </w:r>
            <w:r>
              <w:rPr>
                <w:rFonts w:ascii="宋体" w:eastAsia="宋体" w:hAnsi="宋体" w:cs="宋体"/>
                <w:b w:val="0"/>
              </w:rPr>
              <w:t>3、港股投资策略</w:t>
              <w:br/>
            </w:r>
            <w:r>
              <w:rPr>
                <w:rFonts w:ascii="宋体" w:eastAsia="宋体" w:hAnsi="宋体" w:cs="宋体"/>
                <w:b w:val="0"/>
              </w:rPr>
              <w:t>重点关注A股稀缺性行业个股、A股缺乏投资标的行业、具有持续领先优势或核心竞争力的企业、符合内地政策和投资逻辑的主题性行业个股以及与A股同类公司相比具有估值优势的公司。</w:t>
              <w:br/>
            </w:r>
            <w:r>
              <w:rPr>
                <w:rFonts w:ascii="宋体" w:eastAsia="宋体" w:hAnsi="宋体" w:cs="宋体"/>
                <w:b w:val="0"/>
              </w:rPr>
              <w:t>4、债券类资产投资策略</w:t>
              <w:br/>
            </w:r>
            <w:r>
              <w:rPr>
                <w:rFonts w:ascii="宋体" w:eastAsia="宋体" w:hAnsi="宋体" w:cs="宋体"/>
                <w:b w:val="0"/>
              </w:rPr>
              <w:t>本基金的债券投资将采取较为积极的策略，通过利率预测分析、收益率曲线变动分析、债券信用分析、收益率利差分析等，研判各类属固定收益类资产的风险趋势与收益预期，精选个券进行投资。</w:t>
              <w:br/>
            </w:r>
            <w:r>
              <w:rPr>
                <w:rFonts w:ascii="宋体" w:eastAsia="宋体" w:hAnsi="宋体" w:cs="宋体"/>
                <w:b w:val="0"/>
              </w:rPr>
              <w:t>5、存托凭证投资策略</w:t>
              <w:br/>
            </w:r>
            <w:r>
              <w:rPr>
                <w:rFonts w:ascii="宋体" w:eastAsia="宋体" w:hAnsi="宋体" w:cs="宋体"/>
                <w:b w:val="0"/>
              </w:rPr>
              <w:t>本基金可投资存托凭证，本基金将在深入研究的基础上，通过定性分析和定量分析相结合的方式，选择投资价值高的存托凭证进行投资。</w:t>
              <w:br/>
            </w:r>
            <w:r>
              <w:rPr>
                <w:rFonts w:ascii="宋体" w:eastAsia="宋体" w:hAnsi="宋体" w:cs="宋体"/>
                <w:b w:val="0"/>
              </w:rPr>
              <w:t>6、股指期货投资策略</w:t>
              <w:br/>
            </w:r>
            <w:r>
              <w:rPr>
                <w:rFonts w:ascii="宋体" w:eastAsia="宋体" w:hAnsi="宋体" w:cs="宋体"/>
                <w:b w:val="0"/>
              </w:rPr>
              <w:t>以投资组合避险和有效管理为目的，通过套期保值策略，对冲系统性风险，应对组合构建与调整中的流动性风险，力求风险收益的优化。</w:t>
              <w:br/>
            </w:r>
            <w:r>
              <w:rPr>
                <w:rFonts w:ascii="宋体" w:eastAsia="宋体" w:hAnsi="宋体" w:cs="宋体"/>
                <w:b w:val="0"/>
              </w:rPr>
              <w:t>7、融资业务的投资策略</w:t>
              <w:br/>
            </w:r>
            <w:r>
              <w:rPr>
                <w:rFonts w:ascii="宋体" w:eastAsia="宋体" w:hAnsi="宋体" w:cs="宋体"/>
                <w:b w:val="0"/>
              </w:rPr>
              <w:t>综合考虑融资成本、保证金比例、冲抵保证金证券折算率、信用资质等条选择合适的交易对手方。在保障基金投资组合充足流动性以及有效控制融资杠杆风险的前提下，确定融资比例。</w:t>
              <w:br/>
            </w:r>
            <w:r>
              <w:rPr>
                <w:rFonts w:ascii="宋体" w:eastAsia="宋体" w:hAnsi="宋体" w:cs="宋体"/>
                <w:b w:val="0"/>
              </w:rPr>
              <w:t>8、国债期货的投资策略</w:t>
              <w:br/>
            </w:r>
            <w:r>
              <w:rPr>
                <w:rFonts w:ascii="宋体" w:eastAsia="宋体" w:hAnsi="宋体" w:cs="宋体"/>
                <w:b w:val="0"/>
              </w:rPr>
              <w:t>结合对宏观经济形势和政策趋势的判断、对债券市场进行定性和定量分析，构建量化分析体系，在最大限度保证基金资产安全的基础上，力求实现所资产的长期稳定增值。</w:t>
              <w:br/>
            </w:r>
            <w:r>
              <w:rPr>
                <w:rFonts w:ascii="宋体" w:eastAsia="宋体" w:hAnsi="宋体" w:cs="宋体"/>
                <w:b w:val="0"/>
              </w:rPr>
              <w:t>9、资产支持证券投资策略</w:t>
              <w:br/>
            </w:r>
            <w:r>
              <w:rPr>
                <w:rFonts w:ascii="宋体" w:eastAsia="宋体" w:hAnsi="宋体" w:cs="宋体"/>
                <w:b w:val="0"/>
              </w:rPr>
              <w:t>通过对宏观经济、提前偿还率、资产池结构、行业景气变化、标的证券发行条款等因素的研究，预测资产池未来现金流变化，结合信用研究和流动性管理，选择风险调整后收益高的品种进行投资，以期获得长期稳定收益。</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3"/>
            <w:vAlign w:val="center"/>
          </w:tcPr>
          <w:p>
            <w:pPr>
              <w:spacing w:line="240" w:lineRule="auto"/>
              <w:jc w:val="left"/>
            </w:pPr>
            <w:r>
              <w:rPr>
                <w:rFonts w:ascii="宋体" w:eastAsia="宋体" w:hAnsi="宋体" w:cs="宋体"/>
                <w:b w:val="0"/>
              </w:rPr>
              <w:t>中证800指数收益率×80%+中证综合债券指数收益率×10%+恒生指数收益率×10%</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3"/>
            <w:vAlign w:val="center"/>
          </w:tcPr>
          <w:p>
            <w:pPr>
              <w:spacing w:line="240" w:lineRule="auto"/>
              <w:jc w:val="left"/>
            </w:pPr>
            <w:r>
              <w:rPr>
                <w:rFonts w:ascii="宋体" w:eastAsia="宋体" w:hAnsi="宋体" w:cs="宋体"/>
                <w:b w:val="0"/>
              </w:rPr>
              <w:t>本基金为混合型基金，其预期风险和预期收益高于债券型基金、货币市场基金。本基金如果投资港股通标的股票，需承担汇率风险以及境外市场的风险。</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3"/>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3"/>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000" w:type="pct"/>
            <w:vAlign w:val="center"/>
          </w:tcPr>
          <w:p>
            <w:pPr>
              <w:spacing w:line="240" w:lineRule="auto"/>
              <w:jc w:val="left"/>
            </w:pPr>
            <w:r>
              <w:rPr>
                <w:rFonts w:ascii="宋体" w:eastAsia="宋体" w:hAnsi="宋体" w:cs="宋体"/>
                <w:b w:val="0"/>
              </w:rPr>
              <w:t>东方阿尔法招阳混合A</w:t>
            </w:r>
          </w:p>
        </w:tc>
        <w:tc>
          <w:tcPr>
            <w:tcW w:w="1000" w:type="pct"/>
            <w:vAlign w:val="center"/>
          </w:tcPr>
          <w:p>
            <w:pPr>
              <w:spacing w:line="240" w:lineRule="auto"/>
              <w:jc w:val="left"/>
            </w:pPr>
            <w:r>
              <w:rPr>
                <w:rFonts w:ascii="宋体" w:eastAsia="宋体" w:hAnsi="宋体" w:cs="宋体"/>
                <w:b w:val="0"/>
              </w:rPr>
              <w:t>东方阿尔法招阳混合C</w:t>
            </w:r>
          </w:p>
        </w:tc>
        <w:tc>
          <w:tcPr>
            <w:tcW w:w="1000" w:type="pct"/>
            <w:vAlign w:val="center"/>
          </w:tcPr>
          <w:p>
            <w:pPr>
              <w:spacing w:line="240" w:lineRule="auto"/>
              <w:jc w:val="left"/>
            </w:pPr>
            <w:r>
              <w:rPr>
                <w:rFonts w:ascii="宋体" w:eastAsia="宋体" w:hAnsi="宋体" w:cs="宋体"/>
                <w:b w:val="0"/>
              </w:rPr>
              <w:t>东方阿尔法招阳混合E</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000" w:type="pct"/>
            <w:vAlign w:val="center"/>
          </w:tcPr>
          <w:p>
            <w:pPr>
              <w:spacing w:line="240" w:lineRule="auto"/>
              <w:jc w:val="left"/>
            </w:pPr>
            <w:r>
              <w:rPr>
                <w:rFonts w:ascii="宋体" w:eastAsia="宋体" w:hAnsi="宋体" w:cs="宋体"/>
                <w:b w:val="0"/>
              </w:rPr>
              <w:t>011184</w:t>
            </w:r>
          </w:p>
        </w:tc>
        <w:tc>
          <w:tcPr>
            <w:tcW w:w="1000" w:type="pct"/>
            <w:vAlign w:val="center"/>
          </w:tcPr>
          <w:p>
            <w:pPr>
              <w:spacing w:line="240" w:lineRule="auto"/>
              <w:jc w:val="left"/>
            </w:pPr>
            <w:r>
              <w:rPr>
                <w:rFonts w:ascii="宋体" w:eastAsia="宋体" w:hAnsi="宋体" w:cs="宋体"/>
                <w:b w:val="0"/>
              </w:rPr>
              <w:t>011185</w:t>
            </w:r>
          </w:p>
        </w:tc>
        <w:tc>
          <w:tcPr>
            <w:tcW w:w="1000" w:type="pct"/>
            <w:vAlign w:val="center"/>
          </w:tcPr>
          <w:p>
            <w:pPr>
              <w:spacing w:line="240" w:lineRule="auto"/>
              <w:jc w:val="left"/>
            </w:pPr>
            <w:r>
              <w:rPr>
                <w:rFonts w:ascii="宋体" w:eastAsia="宋体" w:hAnsi="宋体" w:cs="宋体"/>
                <w:b w:val="0"/>
              </w:rPr>
              <w:t>017889</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000" w:type="pct"/>
            <w:vAlign w:val="center"/>
          </w:tcPr>
          <w:p>
            <w:pPr>
              <w:spacing w:line="240" w:lineRule="auto"/>
              <w:jc w:val="left"/>
            </w:pPr>
            <w:r>
              <w:rPr>
                <w:rFonts w:ascii="宋体" w:eastAsia="宋体" w:hAnsi="宋体" w:cs="宋体"/>
                <w:b w:val="0"/>
              </w:rPr>
              <w:t>553,491,089.10份</w:t>
            </w:r>
          </w:p>
        </w:tc>
        <w:tc>
          <w:tcPr>
            <w:tcW w:w="1000" w:type="pct"/>
            <w:vAlign w:val="center"/>
          </w:tcPr>
          <w:p>
            <w:pPr>
              <w:spacing w:line="240" w:lineRule="auto"/>
              <w:jc w:val="left"/>
            </w:pPr>
            <w:r>
              <w:rPr>
                <w:rFonts w:ascii="宋体" w:eastAsia="宋体" w:hAnsi="宋体" w:cs="宋体"/>
                <w:b w:val="0"/>
              </w:rPr>
              <w:t>11,001,424.97份</w:t>
            </w:r>
          </w:p>
        </w:tc>
        <w:tc>
          <w:tcPr>
            <w:tcW w:w="1000" w:type="pct"/>
            <w:vAlign w:val="center"/>
          </w:tcPr>
          <w:p>
            <w:pPr>
              <w:spacing w:line="240" w:lineRule="auto"/>
              <w:jc w:val="left"/>
            </w:pPr>
            <w:r>
              <w:rPr>
                <w:rFonts w:ascii="宋体" w:eastAsia="宋体" w:hAnsi="宋体" w:cs="宋体"/>
                <w:b w:val="0"/>
              </w:rPr>
              <w:t>49,453,632.80份</w:t>
            </w:r>
          </w:p>
        </w:tc>
      </w:tr>
    </w:tbl>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3"/>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000" w:type="pct"/>
            <w:shd w:val="clear" w:color="auto" w:fill="D9D9D9"/>
            <w:vAlign w:val="center"/>
          </w:tcPr>
          <w:p>
            <w:pPr>
              <w:spacing w:line="240" w:lineRule="auto"/>
              <w:jc w:val="center"/>
            </w:pPr>
            <w:r>
              <w:rPr>
                <w:rFonts w:ascii="宋体" w:eastAsia="宋体" w:hAnsi="宋体" w:cs="宋体"/>
                <w:b w:val="0"/>
              </w:rPr>
              <w:t>东方阿尔法招阳混合A</w:t>
            </w:r>
          </w:p>
        </w:tc>
        <w:tc>
          <w:tcPr>
            <w:tcW w:w="1000" w:type="pct"/>
            <w:shd w:val="clear" w:color="auto" w:fill="D9D9D9"/>
            <w:vAlign w:val="center"/>
          </w:tcPr>
          <w:p>
            <w:pPr>
              <w:spacing w:line="240" w:lineRule="auto"/>
              <w:jc w:val="center"/>
            </w:pPr>
            <w:r>
              <w:rPr>
                <w:rFonts w:ascii="宋体" w:eastAsia="宋体" w:hAnsi="宋体" w:cs="宋体"/>
                <w:b w:val="0"/>
              </w:rPr>
              <w:t>东方阿尔法招阳混合C</w:t>
            </w:r>
          </w:p>
        </w:tc>
        <w:tc>
          <w:tcPr>
            <w:tcW w:w="1000" w:type="pct"/>
            <w:shd w:val="clear" w:color="auto" w:fill="D9D9D9"/>
            <w:vAlign w:val="center"/>
          </w:tcPr>
          <w:p>
            <w:pPr>
              <w:spacing w:line="240" w:lineRule="auto"/>
              <w:jc w:val="center"/>
            </w:pPr>
            <w:r>
              <w:rPr>
                <w:rFonts w:ascii="宋体" w:eastAsia="宋体" w:hAnsi="宋体" w:cs="宋体"/>
                <w:b w:val="0"/>
              </w:rPr>
              <w:t>东方阿尔法招阳混合E</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000" w:type="pct"/>
            <w:vAlign w:val="center"/>
          </w:tcPr>
          <w:p>
            <w:pPr>
              <w:spacing w:line="240" w:lineRule="auto"/>
              <w:jc w:val="right"/>
            </w:pPr>
            <w:r>
              <w:rPr>
                <w:rFonts w:ascii="宋体" w:eastAsia="宋体" w:hAnsi="宋体" w:cs="宋体"/>
                <w:b w:val="0"/>
              </w:rPr>
              <w:t>-25,547,888.63</w:t>
            </w:r>
          </w:p>
        </w:tc>
        <w:tc>
          <w:tcPr>
            <w:tcW w:w="1000" w:type="pct"/>
            <w:vAlign w:val="center"/>
          </w:tcPr>
          <w:p>
            <w:pPr>
              <w:spacing w:line="240" w:lineRule="auto"/>
              <w:jc w:val="right"/>
            </w:pPr>
            <w:r>
              <w:rPr>
                <w:rFonts w:ascii="宋体" w:eastAsia="宋体" w:hAnsi="宋体" w:cs="宋体"/>
                <w:b w:val="0"/>
              </w:rPr>
              <w:t>-457,411.47</w:t>
            </w:r>
          </w:p>
        </w:tc>
        <w:tc>
          <w:tcPr>
            <w:tcW w:w="1000" w:type="pct"/>
            <w:vAlign w:val="center"/>
          </w:tcPr>
          <w:p>
            <w:pPr>
              <w:spacing w:line="240" w:lineRule="auto"/>
              <w:jc w:val="right"/>
            </w:pPr>
            <w:r>
              <w:rPr>
                <w:rFonts w:ascii="宋体" w:eastAsia="宋体" w:hAnsi="宋体" w:cs="宋体"/>
                <w:b w:val="0"/>
              </w:rPr>
              <w:t>-1,544,089.36</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000" w:type="pct"/>
            <w:vAlign w:val="center"/>
          </w:tcPr>
          <w:p>
            <w:pPr>
              <w:spacing w:line="240" w:lineRule="auto"/>
              <w:jc w:val="right"/>
            </w:pPr>
            <w:r>
              <w:rPr>
                <w:rFonts w:ascii="宋体" w:eastAsia="宋体" w:hAnsi="宋体" w:cs="宋体"/>
                <w:b w:val="0"/>
              </w:rPr>
              <w:t>-26,315,483.08</w:t>
            </w:r>
          </w:p>
        </w:tc>
        <w:tc>
          <w:tcPr>
            <w:tcW w:w="1000" w:type="pct"/>
            <w:vAlign w:val="center"/>
          </w:tcPr>
          <w:p>
            <w:pPr>
              <w:spacing w:line="240" w:lineRule="auto"/>
              <w:jc w:val="right"/>
            </w:pPr>
            <w:r>
              <w:rPr>
                <w:rFonts w:ascii="宋体" w:eastAsia="宋体" w:hAnsi="宋体" w:cs="宋体"/>
                <w:b w:val="0"/>
              </w:rPr>
              <w:t>-496,321.79</w:t>
            </w:r>
          </w:p>
        </w:tc>
        <w:tc>
          <w:tcPr>
            <w:tcW w:w="1000" w:type="pct"/>
            <w:vAlign w:val="center"/>
          </w:tcPr>
          <w:p>
            <w:pPr>
              <w:spacing w:line="240" w:lineRule="auto"/>
              <w:jc w:val="right"/>
            </w:pPr>
            <w:r>
              <w:rPr>
                <w:rFonts w:ascii="宋体" w:eastAsia="宋体" w:hAnsi="宋体" w:cs="宋体"/>
                <w:b w:val="0"/>
              </w:rPr>
              <w:t>-172,699.51</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000" w:type="pct"/>
            <w:vAlign w:val="center"/>
          </w:tcPr>
          <w:p>
            <w:pPr>
              <w:spacing w:line="240" w:lineRule="auto"/>
              <w:jc w:val="right"/>
            </w:pPr>
            <w:r>
              <w:rPr>
                <w:rFonts w:ascii="宋体" w:eastAsia="宋体" w:hAnsi="宋体" w:cs="宋体"/>
                <w:b w:val="0"/>
              </w:rPr>
              <w:t>-0.0490</w:t>
            </w:r>
          </w:p>
        </w:tc>
        <w:tc>
          <w:tcPr>
            <w:tcW w:w="1000" w:type="pct"/>
            <w:vAlign w:val="center"/>
          </w:tcPr>
          <w:p>
            <w:pPr>
              <w:spacing w:line="240" w:lineRule="auto"/>
              <w:jc w:val="right"/>
            </w:pPr>
            <w:r>
              <w:rPr>
                <w:rFonts w:ascii="宋体" w:eastAsia="宋体" w:hAnsi="宋体" w:cs="宋体"/>
                <w:b w:val="0"/>
              </w:rPr>
              <w:t>-0.0467</w:t>
            </w:r>
          </w:p>
        </w:tc>
        <w:tc>
          <w:tcPr>
            <w:tcW w:w="1000" w:type="pct"/>
            <w:vAlign w:val="center"/>
          </w:tcPr>
          <w:p>
            <w:pPr>
              <w:spacing w:line="240" w:lineRule="auto"/>
              <w:jc w:val="right"/>
            </w:pPr>
            <w:r>
              <w:rPr>
                <w:rFonts w:ascii="宋体" w:eastAsia="宋体" w:hAnsi="宋体" w:cs="宋体"/>
                <w:b w:val="0"/>
              </w:rPr>
              <w:t>-0.0026</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000" w:type="pct"/>
            <w:vAlign w:val="center"/>
          </w:tcPr>
          <w:p>
            <w:pPr>
              <w:spacing w:line="240" w:lineRule="auto"/>
              <w:jc w:val="right"/>
            </w:pPr>
            <w:r>
              <w:rPr>
                <w:rFonts w:ascii="宋体" w:eastAsia="宋体" w:hAnsi="宋体" w:cs="宋体"/>
                <w:b w:val="0"/>
              </w:rPr>
              <w:t>200,100,653.60</w:t>
            </w:r>
          </w:p>
        </w:tc>
        <w:tc>
          <w:tcPr>
            <w:tcW w:w="1000" w:type="pct"/>
            <w:vAlign w:val="center"/>
          </w:tcPr>
          <w:p>
            <w:pPr>
              <w:spacing w:line="240" w:lineRule="auto"/>
              <w:jc w:val="right"/>
            </w:pPr>
            <w:r>
              <w:rPr>
                <w:rFonts w:ascii="宋体" w:eastAsia="宋体" w:hAnsi="宋体" w:cs="宋体"/>
                <w:b w:val="0"/>
              </w:rPr>
              <w:t>3,746,399.15</w:t>
            </w:r>
          </w:p>
        </w:tc>
        <w:tc>
          <w:tcPr>
            <w:tcW w:w="1000" w:type="pct"/>
            <w:vAlign w:val="center"/>
          </w:tcPr>
          <w:p>
            <w:pPr>
              <w:spacing w:line="240" w:lineRule="auto"/>
              <w:jc w:val="right"/>
            </w:pPr>
            <w:r>
              <w:rPr>
                <w:rFonts w:ascii="宋体" w:eastAsia="宋体" w:hAnsi="宋体" w:cs="宋体"/>
                <w:b w:val="0"/>
              </w:rPr>
              <w:t>17,577,051.79</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000" w:type="pct"/>
            <w:vAlign w:val="center"/>
          </w:tcPr>
          <w:p>
            <w:pPr>
              <w:spacing w:line="240" w:lineRule="auto"/>
              <w:jc w:val="right"/>
            </w:pPr>
            <w:r>
              <w:rPr>
                <w:rFonts w:ascii="宋体" w:eastAsia="宋体" w:hAnsi="宋体" w:cs="宋体"/>
                <w:b w:val="0"/>
              </w:rPr>
              <w:t>0.3615</w:t>
            </w:r>
          </w:p>
        </w:tc>
        <w:tc>
          <w:tcPr>
            <w:tcW w:w="1000" w:type="pct"/>
            <w:vAlign w:val="center"/>
          </w:tcPr>
          <w:p>
            <w:pPr>
              <w:spacing w:line="240" w:lineRule="auto"/>
              <w:jc w:val="right"/>
            </w:pPr>
            <w:r>
              <w:rPr>
                <w:rFonts w:ascii="宋体" w:eastAsia="宋体" w:hAnsi="宋体" w:cs="宋体"/>
                <w:b w:val="0"/>
              </w:rPr>
              <w:t>0.3405</w:t>
            </w:r>
          </w:p>
        </w:tc>
        <w:tc>
          <w:tcPr>
            <w:tcW w:w="1000" w:type="pct"/>
            <w:vAlign w:val="center"/>
          </w:tcPr>
          <w:p>
            <w:pPr>
              <w:spacing w:line="240" w:lineRule="auto"/>
              <w:jc w:val="right"/>
            </w:pPr>
            <w:r>
              <w:rPr>
                <w:rFonts w:ascii="宋体" w:eastAsia="宋体" w:hAnsi="宋体" w:cs="宋体"/>
                <w:b w:val="0"/>
              </w:rPr>
              <w:t>0.3554</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东方阿尔法招阳混合A净值表现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-12.60%</w:t>
            </w:r>
          </w:p>
        </w:tc>
        <w:tc>
          <w:tcPr>
            <w:tcW w:w="0" w:type="dxa"/>
            <w:vAlign w:val="center"/>
          </w:tcPr>
          <w:p>
            <w:pPr>
              <w:spacing w:line="240" w:lineRule="auto"/>
              <w:jc w:val="right"/>
            </w:pPr>
            <w:r>
              <w:rPr>
                <w:rFonts w:ascii="宋体" w:eastAsia="宋体" w:hAnsi="宋体" w:cs="宋体"/>
                <w:b w:val="0"/>
              </w:rPr>
              <w:t>3.14%</w:t>
            </w:r>
          </w:p>
        </w:tc>
        <w:tc>
          <w:tcPr>
            <w:tcW w:w="0" w:type="dxa"/>
            <w:vAlign w:val="center"/>
          </w:tcPr>
          <w:p>
            <w:pPr>
              <w:spacing w:line="240" w:lineRule="auto"/>
              <w:jc w:val="right"/>
            </w:pPr>
            <w:r>
              <w:rPr>
                <w:rFonts w:ascii="宋体" w:eastAsia="宋体" w:hAnsi="宋体" w:cs="宋体"/>
                <w:b w:val="0"/>
              </w:rPr>
              <w:t>-10.48%</w:t>
            </w:r>
          </w:p>
        </w:tc>
        <w:tc>
          <w:tcPr>
            <w:tcW w:w="0" w:type="dxa"/>
            <w:vAlign w:val="center"/>
          </w:tcPr>
          <w:p>
            <w:pPr>
              <w:spacing w:line="240" w:lineRule="auto"/>
              <w:jc w:val="right"/>
            </w:pPr>
            <w:r>
              <w:rPr>
                <w:rFonts w:ascii="宋体" w:eastAsia="宋体" w:hAnsi="宋体" w:cs="宋体"/>
                <w:b w:val="0"/>
              </w:rPr>
              <w:t>1.18%</w:t>
            </w:r>
          </w:p>
        </w:tc>
        <w:tc>
          <w:tcPr>
            <w:tcW w:w="0" w:type="dxa"/>
            <w:vAlign w:val="center"/>
          </w:tcPr>
          <w:p>
            <w:pPr>
              <w:spacing w:line="240" w:lineRule="auto"/>
              <w:jc w:val="right"/>
            </w:pPr>
            <w:r>
              <w:rPr>
                <w:rFonts w:ascii="宋体" w:eastAsia="宋体" w:hAnsi="宋体" w:cs="宋体"/>
                <w:b w:val="0"/>
              </w:rPr>
              <w:t>-2.12%</w:t>
            </w:r>
          </w:p>
        </w:tc>
        <w:tc>
          <w:tcPr>
            <w:tcW w:w="0" w:type="dxa"/>
            <w:vAlign w:val="center"/>
          </w:tcPr>
          <w:p>
            <w:pPr>
              <w:spacing w:line="240" w:lineRule="auto"/>
              <w:jc w:val="right"/>
            </w:pPr>
            <w:r>
              <w:rPr>
                <w:rFonts w:ascii="宋体" w:eastAsia="宋体" w:hAnsi="宋体" w:cs="宋体"/>
                <w:b w:val="0"/>
              </w:rPr>
              <w:t>1.96%</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-14.52%</w:t>
            </w:r>
          </w:p>
        </w:tc>
        <w:tc>
          <w:tcPr>
            <w:tcW w:w="0" w:type="dxa"/>
            <w:vAlign w:val="center"/>
          </w:tcPr>
          <w:p>
            <w:pPr>
              <w:spacing w:line="240" w:lineRule="auto"/>
              <w:jc w:val="right"/>
            </w:pPr>
            <w:r>
              <w:rPr>
                <w:rFonts w:ascii="宋体" w:eastAsia="宋体" w:hAnsi="宋体" w:cs="宋体"/>
                <w:b w:val="0"/>
              </w:rPr>
              <w:t>2.65%</w:t>
            </w:r>
          </w:p>
        </w:tc>
        <w:tc>
          <w:tcPr>
            <w:tcW w:w="0" w:type="dxa"/>
            <w:vAlign w:val="center"/>
          </w:tcPr>
          <w:p>
            <w:pPr>
              <w:spacing w:line="240" w:lineRule="auto"/>
              <w:jc w:val="right"/>
            </w:pPr>
            <w:r>
              <w:rPr>
                <w:rFonts w:ascii="宋体" w:eastAsia="宋体" w:hAnsi="宋体" w:cs="宋体"/>
                <w:b w:val="0"/>
              </w:rPr>
              <w:t>-1.38%</w:t>
            </w:r>
          </w:p>
        </w:tc>
        <w:tc>
          <w:tcPr>
            <w:tcW w:w="0" w:type="dxa"/>
            <w:vAlign w:val="center"/>
          </w:tcPr>
          <w:p>
            <w:pPr>
              <w:spacing w:line="240" w:lineRule="auto"/>
              <w:jc w:val="right"/>
            </w:pPr>
            <w:r>
              <w:rPr>
                <w:rFonts w:ascii="宋体" w:eastAsia="宋体" w:hAnsi="宋体" w:cs="宋体"/>
                <w:b w:val="0"/>
              </w:rPr>
              <w:t>1.17%</w:t>
            </w:r>
          </w:p>
        </w:tc>
        <w:tc>
          <w:tcPr>
            <w:tcW w:w="0" w:type="dxa"/>
            <w:vAlign w:val="center"/>
          </w:tcPr>
          <w:p>
            <w:pPr>
              <w:spacing w:line="240" w:lineRule="auto"/>
              <w:jc w:val="right"/>
            </w:pPr>
            <w:r>
              <w:rPr>
                <w:rFonts w:ascii="宋体" w:eastAsia="宋体" w:hAnsi="宋体" w:cs="宋体"/>
                <w:b w:val="0"/>
              </w:rPr>
              <w:t>-13.14%</w:t>
            </w:r>
          </w:p>
        </w:tc>
        <w:tc>
          <w:tcPr>
            <w:tcW w:w="0" w:type="dxa"/>
            <w:vAlign w:val="center"/>
          </w:tcPr>
          <w:p>
            <w:pPr>
              <w:spacing w:line="240" w:lineRule="auto"/>
              <w:jc w:val="right"/>
            </w:pPr>
            <w:r>
              <w:rPr>
                <w:rFonts w:ascii="宋体" w:eastAsia="宋体" w:hAnsi="宋体" w:cs="宋体"/>
                <w:b w:val="0"/>
              </w:rPr>
              <w:t>1.48%</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-23.97%</w:t>
            </w:r>
          </w:p>
        </w:tc>
        <w:tc>
          <w:tcPr>
            <w:tcW w:w="0" w:type="dxa"/>
            <w:vAlign w:val="center"/>
          </w:tcPr>
          <w:p>
            <w:pPr>
              <w:spacing w:line="240" w:lineRule="auto"/>
              <w:jc w:val="right"/>
            </w:pPr>
            <w:r>
              <w:rPr>
                <w:rFonts w:ascii="宋体" w:eastAsia="宋体" w:hAnsi="宋体" w:cs="宋体"/>
                <w:b w:val="0"/>
              </w:rPr>
              <w:t>2.42%</w:t>
            </w:r>
          </w:p>
        </w:tc>
        <w:tc>
          <w:tcPr>
            <w:tcW w:w="0" w:type="dxa"/>
            <w:vAlign w:val="center"/>
          </w:tcPr>
          <w:p>
            <w:pPr>
              <w:spacing w:line="240" w:lineRule="auto"/>
              <w:jc w:val="right"/>
            </w:pPr>
            <w:r>
              <w:rPr>
                <w:rFonts w:ascii="宋体" w:eastAsia="宋体" w:hAnsi="宋体" w:cs="宋体"/>
                <w:b w:val="0"/>
              </w:rPr>
              <w:t>-3.72%</w:t>
            </w:r>
          </w:p>
        </w:tc>
        <w:tc>
          <w:tcPr>
            <w:tcW w:w="0" w:type="dxa"/>
            <w:vAlign w:val="center"/>
          </w:tcPr>
          <w:p>
            <w:pPr>
              <w:spacing w:line="240" w:lineRule="auto"/>
              <w:jc w:val="right"/>
            </w:pPr>
            <w:r>
              <w:rPr>
                <w:rFonts w:ascii="宋体" w:eastAsia="宋体" w:hAnsi="宋体" w:cs="宋体"/>
                <w:b w:val="0"/>
              </w:rPr>
              <w:t>1.06%</w:t>
            </w:r>
          </w:p>
        </w:tc>
        <w:tc>
          <w:tcPr>
            <w:tcW w:w="0" w:type="dxa"/>
            <w:vAlign w:val="center"/>
          </w:tcPr>
          <w:p>
            <w:pPr>
              <w:spacing w:line="240" w:lineRule="auto"/>
              <w:jc w:val="right"/>
            </w:pPr>
            <w:r>
              <w:rPr>
                <w:rFonts w:ascii="宋体" w:eastAsia="宋体" w:hAnsi="宋体" w:cs="宋体"/>
                <w:b w:val="0"/>
              </w:rPr>
              <w:t>-20.25%</w:t>
            </w:r>
          </w:p>
        </w:tc>
        <w:tc>
          <w:tcPr>
            <w:tcW w:w="0" w:type="dxa"/>
            <w:vAlign w:val="center"/>
          </w:tcPr>
          <w:p>
            <w:pPr>
              <w:spacing w:line="240" w:lineRule="auto"/>
              <w:jc w:val="right"/>
            </w:pPr>
            <w:r>
              <w:rPr>
                <w:rFonts w:ascii="宋体" w:eastAsia="宋体" w:hAnsi="宋体" w:cs="宋体"/>
                <w:b w:val="0"/>
              </w:rPr>
              <w:t>1.36%</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-41.97%</w:t>
            </w:r>
          </w:p>
        </w:tc>
        <w:tc>
          <w:tcPr>
            <w:tcW w:w="0" w:type="dxa"/>
            <w:vAlign w:val="center"/>
          </w:tcPr>
          <w:p>
            <w:pPr>
              <w:spacing w:line="240" w:lineRule="auto"/>
              <w:jc w:val="right"/>
            </w:pPr>
            <w:r>
              <w:rPr>
                <w:rFonts w:ascii="宋体" w:eastAsia="宋体" w:hAnsi="宋体" w:cs="宋体"/>
                <w:b w:val="0"/>
              </w:rPr>
              <w:t>2.23%</w:t>
            </w:r>
          </w:p>
        </w:tc>
        <w:tc>
          <w:tcPr>
            <w:tcW w:w="0" w:type="dxa"/>
            <w:vAlign w:val="center"/>
          </w:tcPr>
          <w:p>
            <w:pPr>
              <w:spacing w:line="240" w:lineRule="auto"/>
              <w:jc w:val="right"/>
            </w:pPr>
            <w:r>
              <w:rPr>
                <w:rFonts w:ascii="宋体" w:eastAsia="宋体" w:hAnsi="宋体" w:cs="宋体"/>
                <w:b w:val="0"/>
              </w:rPr>
              <w:t>23.35%</w:t>
            </w:r>
          </w:p>
        </w:tc>
        <w:tc>
          <w:tcPr>
            <w:tcW w:w="0" w:type="dxa"/>
            <w:vAlign w:val="center"/>
          </w:tcPr>
          <w:p>
            <w:pPr>
              <w:spacing w:line="240" w:lineRule="auto"/>
              <w:jc w:val="right"/>
            </w:pPr>
            <w:r>
              <w:rPr>
                <w:rFonts w:ascii="宋体" w:eastAsia="宋体" w:hAnsi="宋体" w:cs="宋体"/>
                <w:b w:val="0"/>
              </w:rPr>
              <w:t>1.07%</w:t>
            </w:r>
          </w:p>
        </w:tc>
        <w:tc>
          <w:tcPr>
            <w:tcW w:w="0" w:type="dxa"/>
            <w:vAlign w:val="center"/>
          </w:tcPr>
          <w:p>
            <w:pPr>
              <w:spacing w:line="240" w:lineRule="auto"/>
              <w:jc w:val="right"/>
            </w:pPr>
            <w:r>
              <w:rPr>
                <w:rFonts w:ascii="宋体" w:eastAsia="宋体" w:hAnsi="宋体" w:cs="宋体"/>
                <w:b w:val="0"/>
              </w:rPr>
              <w:t>-65.32%</w:t>
            </w:r>
          </w:p>
        </w:tc>
        <w:tc>
          <w:tcPr>
            <w:tcW w:w="0" w:type="dxa"/>
            <w:vAlign w:val="center"/>
          </w:tcPr>
          <w:p>
            <w:pPr>
              <w:spacing w:line="240" w:lineRule="auto"/>
              <w:jc w:val="right"/>
            </w:pPr>
            <w:r>
              <w:rPr>
                <w:rFonts w:ascii="宋体" w:eastAsia="宋体" w:hAnsi="宋体" w:cs="宋体"/>
                <w:b w:val="0"/>
              </w:rPr>
              <w:t>1.16%</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-61.72%</w:t>
            </w:r>
          </w:p>
        </w:tc>
        <w:tc>
          <w:tcPr>
            <w:tcW w:w="0" w:type="dxa"/>
            <w:vAlign w:val="center"/>
          </w:tcPr>
          <w:p>
            <w:pPr>
              <w:spacing w:line="240" w:lineRule="auto"/>
              <w:jc w:val="right"/>
            </w:pPr>
            <w:r>
              <w:rPr>
                <w:rFonts w:ascii="宋体" w:eastAsia="宋体" w:hAnsi="宋体" w:cs="宋体"/>
                <w:b w:val="0"/>
              </w:rPr>
              <w:t>2.03%</w:t>
            </w:r>
          </w:p>
        </w:tc>
        <w:tc>
          <w:tcPr>
            <w:tcW w:w="0" w:type="dxa"/>
            <w:vAlign w:val="center"/>
          </w:tcPr>
          <w:p>
            <w:pPr>
              <w:spacing w:line="240" w:lineRule="auto"/>
              <w:jc w:val="right"/>
            </w:pPr>
            <w:r>
              <w:rPr>
                <w:rFonts w:ascii="宋体" w:eastAsia="宋体" w:hAnsi="宋体" w:cs="宋体"/>
                <w:b w:val="0"/>
              </w:rPr>
              <w:t>-1.92%</w:t>
            </w:r>
          </w:p>
        </w:tc>
        <w:tc>
          <w:tcPr>
            <w:tcW w:w="0" w:type="dxa"/>
            <w:vAlign w:val="center"/>
          </w:tcPr>
          <w:p>
            <w:pPr>
              <w:spacing w:line="240" w:lineRule="auto"/>
              <w:jc w:val="right"/>
            </w:pPr>
            <w:r>
              <w:rPr>
                <w:rFonts w:ascii="宋体" w:eastAsia="宋体" w:hAnsi="宋体" w:cs="宋体"/>
                <w:b w:val="0"/>
              </w:rPr>
              <w:t>1.03%</w:t>
            </w:r>
          </w:p>
        </w:tc>
        <w:tc>
          <w:tcPr>
            <w:tcW w:w="0" w:type="dxa"/>
            <w:vAlign w:val="center"/>
          </w:tcPr>
          <w:p>
            <w:pPr>
              <w:spacing w:line="240" w:lineRule="auto"/>
              <w:jc w:val="right"/>
            </w:pPr>
            <w:r>
              <w:rPr>
                <w:rFonts w:ascii="宋体" w:eastAsia="宋体" w:hAnsi="宋体" w:cs="宋体"/>
                <w:b w:val="0"/>
              </w:rPr>
              <w:t>-59.80%</w:t>
            </w:r>
          </w:p>
        </w:tc>
        <w:tc>
          <w:tcPr>
            <w:tcW w:w="0" w:type="dxa"/>
            <w:vAlign w:val="center"/>
          </w:tcPr>
          <w:p>
            <w:pPr>
              <w:spacing w:line="240" w:lineRule="auto"/>
              <w:jc w:val="right"/>
            </w:pPr>
            <w:r>
              <w:rPr>
                <w:rFonts w:ascii="宋体" w:eastAsia="宋体" w:hAnsi="宋体" w:cs="宋体"/>
                <w:b w:val="0"/>
              </w:rPr>
              <w:t>1.00%</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-63.85%</w:t>
            </w:r>
          </w:p>
        </w:tc>
        <w:tc>
          <w:tcPr>
            <w:tcW w:w="0" w:type="dxa"/>
            <w:vAlign w:val="center"/>
          </w:tcPr>
          <w:p>
            <w:pPr>
              <w:spacing w:line="240" w:lineRule="auto"/>
              <w:jc w:val="right"/>
            </w:pPr>
            <w:r>
              <w:rPr>
                <w:rFonts w:ascii="宋体" w:eastAsia="宋体" w:hAnsi="宋体" w:cs="宋体"/>
                <w:b w:val="0"/>
              </w:rPr>
              <w:t>1.95%</w:t>
            </w:r>
          </w:p>
        </w:tc>
        <w:tc>
          <w:tcPr>
            <w:tcW w:w="0" w:type="dxa"/>
            <w:vAlign w:val="center"/>
          </w:tcPr>
          <w:p>
            <w:pPr>
              <w:spacing w:line="240" w:lineRule="auto"/>
              <w:jc w:val="right"/>
            </w:pPr>
            <w:r>
              <w:rPr>
                <w:rFonts w:ascii="宋体" w:eastAsia="宋体" w:hAnsi="宋体" w:cs="宋体"/>
                <w:b w:val="0"/>
              </w:rPr>
              <w:t>-3.23%</w:t>
            </w:r>
          </w:p>
        </w:tc>
        <w:tc>
          <w:tcPr>
            <w:tcW w:w="0" w:type="dxa"/>
            <w:vAlign w:val="center"/>
          </w:tcPr>
          <w:p>
            <w:pPr>
              <w:spacing w:line="240" w:lineRule="auto"/>
              <w:jc w:val="right"/>
            </w:pPr>
            <w:r>
              <w:rPr>
                <w:rFonts w:ascii="宋体" w:eastAsia="宋体" w:hAnsi="宋体" w:cs="宋体"/>
                <w:b w:val="0"/>
              </w:rPr>
              <w:t>1.02%</w:t>
            </w:r>
          </w:p>
        </w:tc>
        <w:tc>
          <w:tcPr>
            <w:tcW w:w="0" w:type="dxa"/>
            <w:vAlign w:val="center"/>
          </w:tcPr>
          <w:p>
            <w:pPr>
              <w:spacing w:line="240" w:lineRule="auto"/>
              <w:jc w:val="right"/>
            </w:pPr>
            <w:r>
              <w:rPr>
                <w:rFonts w:ascii="宋体" w:eastAsia="宋体" w:hAnsi="宋体" w:cs="宋体"/>
                <w:b w:val="0"/>
              </w:rPr>
              <w:t>-60.62%</w:t>
            </w:r>
          </w:p>
        </w:tc>
        <w:tc>
          <w:tcPr>
            <w:tcW w:w="0" w:type="dxa"/>
            <w:vAlign w:val="center"/>
          </w:tcPr>
          <w:p>
            <w:pPr>
              <w:spacing w:line="240" w:lineRule="auto"/>
              <w:jc w:val="right"/>
            </w:pPr>
            <w:r>
              <w:rPr>
                <w:rFonts w:ascii="宋体" w:eastAsia="宋体" w:hAnsi="宋体" w:cs="宋体"/>
                <w:b w:val="0"/>
              </w:rPr>
              <w:t>0.93%</w:t>
            </w:r>
          </w:p>
        </w:tc>
      </w:tr>
    </w:tbl>
    <w:p>
      <w:pPr>
        <w:jc w:val="left"/>
      </w:pPr>
      <w:r>
        <w:rPr>
          <w:rFonts w:ascii="宋体" w:eastAsia="宋体" w:hAnsi="宋体" w:cs="宋体"/>
          <w:b/>
        </w:rPr>
        <w:t>东方阿尔法招阳混合C净值表现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-12.78%</w:t>
            </w:r>
          </w:p>
        </w:tc>
        <w:tc>
          <w:tcPr>
            <w:tcW w:w="0" w:type="dxa"/>
            <w:vAlign w:val="center"/>
          </w:tcPr>
          <w:p>
            <w:pPr>
              <w:spacing w:line="240" w:lineRule="auto"/>
              <w:jc w:val="right"/>
            </w:pPr>
            <w:r>
              <w:rPr>
                <w:rFonts w:ascii="宋体" w:eastAsia="宋体" w:hAnsi="宋体" w:cs="宋体"/>
                <w:b w:val="0"/>
              </w:rPr>
              <w:t>3.14%</w:t>
            </w:r>
          </w:p>
        </w:tc>
        <w:tc>
          <w:tcPr>
            <w:tcW w:w="0" w:type="dxa"/>
            <w:vAlign w:val="center"/>
          </w:tcPr>
          <w:p>
            <w:pPr>
              <w:spacing w:line="240" w:lineRule="auto"/>
              <w:jc w:val="right"/>
            </w:pPr>
            <w:r>
              <w:rPr>
                <w:rFonts w:ascii="宋体" w:eastAsia="宋体" w:hAnsi="宋体" w:cs="宋体"/>
                <w:b w:val="0"/>
              </w:rPr>
              <w:t>-10.48%</w:t>
            </w:r>
          </w:p>
        </w:tc>
        <w:tc>
          <w:tcPr>
            <w:tcW w:w="0" w:type="dxa"/>
            <w:vAlign w:val="center"/>
          </w:tcPr>
          <w:p>
            <w:pPr>
              <w:spacing w:line="240" w:lineRule="auto"/>
              <w:jc w:val="right"/>
            </w:pPr>
            <w:r>
              <w:rPr>
                <w:rFonts w:ascii="宋体" w:eastAsia="宋体" w:hAnsi="宋体" w:cs="宋体"/>
                <w:b w:val="0"/>
              </w:rPr>
              <w:t>1.18%</w:t>
            </w:r>
          </w:p>
        </w:tc>
        <w:tc>
          <w:tcPr>
            <w:tcW w:w="0" w:type="dxa"/>
            <w:vAlign w:val="center"/>
          </w:tcPr>
          <w:p>
            <w:pPr>
              <w:spacing w:line="240" w:lineRule="auto"/>
              <w:jc w:val="right"/>
            </w:pPr>
            <w:r>
              <w:rPr>
                <w:rFonts w:ascii="宋体" w:eastAsia="宋体" w:hAnsi="宋体" w:cs="宋体"/>
                <w:b w:val="0"/>
              </w:rPr>
              <w:t>-2.30%</w:t>
            </w:r>
          </w:p>
        </w:tc>
        <w:tc>
          <w:tcPr>
            <w:tcW w:w="0" w:type="dxa"/>
            <w:vAlign w:val="center"/>
          </w:tcPr>
          <w:p>
            <w:pPr>
              <w:spacing w:line="240" w:lineRule="auto"/>
              <w:jc w:val="right"/>
            </w:pPr>
            <w:r>
              <w:rPr>
                <w:rFonts w:ascii="宋体" w:eastAsia="宋体" w:hAnsi="宋体" w:cs="宋体"/>
                <w:b w:val="0"/>
              </w:rPr>
              <w:t>1.96%</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-14.88%</w:t>
            </w:r>
          </w:p>
        </w:tc>
        <w:tc>
          <w:tcPr>
            <w:tcW w:w="0" w:type="dxa"/>
            <w:vAlign w:val="center"/>
          </w:tcPr>
          <w:p>
            <w:pPr>
              <w:spacing w:line="240" w:lineRule="auto"/>
              <w:jc w:val="right"/>
            </w:pPr>
            <w:r>
              <w:rPr>
                <w:rFonts w:ascii="宋体" w:eastAsia="宋体" w:hAnsi="宋体" w:cs="宋体"/>
                <w:b w:val="0"/>
              </w:rPr>
              <w:t>2.65%</w:t>
            </w:r>
          </w:p>
        </w:tc>
        <w:tc>
          <w:tcPr>
            <w:tcW w:w="0" w:type="dxa"/>
            <w:vAlign w:val="center"/>
          </w:tcPr>
          <w:p>
            <w:pPr>
              <w:spacing w:line="240" w:lineRule="auto"/>
              <w:jc w:val="right"/>
            </w:pPr>
            <w:r>
              <w:rPr>
                <w:rFonts w:ascii="宋体" w:eastAsia="宋体" w:hAnsi="宋体" w:cs="宋体"/>
                <w:b w:val="0"/>
              </w:rPr>
              <w:t>-1.38%</w:t>
            </w:r>
          </w:p>
        </w:tc>
        <w:tc>
          <w:tcPr>
            <w:tcW w:w="0" w:type="dxa"/>
            <w:vAlign w:val="center"/>
          </w:tcPr>
          <w:p>
            <w:pPr>
              <w:spacing w:line="240" w:lineRule="auto"/>
              <w:jc w:val="right"/>
            </w:pPr>
            <w:r>
              <w:rPr>
                <w:rFonts w:ascii="宋体" w:eastAsia="宋体" w:hAnsi="宋体" w:cs="宋体"/>
                <w:b w:val="0"/>
              </w:rPr>
              <w:t>1.17%</w:t>
            </w:r>
          </w:p>
        </w:tc>
        <w:tc>
          <w:tcPr>
            <w:tcW w:w="0" w:type="dxa"/>
            <w:vAlign w:val="center"/>
          </w:tcPr>
          <w:p>
            <w:pPr>
              <w:spacing w:line="240" w:lineRule="auto"/>
              <w:jc w:val="right"/>
            </w:pPr>
            <w:r>
              <w:rPr>
                <w:rFonts w:ascii="宋体" w:eastAsia="宋体" w:hAnsi="宋体" w:cs="宋体"/>
                <w:b w:val="0"/>
              </w:rPr>
              <w:t>-13.50%</w:t>
            </w:r>
          </w:p>
        </w:tc>
        <w:tc>
          <w:tcPr>
            <w:tcW w:w="0" w:type="dxa"/>
            <w:vAlign w:val="center"/>
          </w:tcPr>
          <w:p>
            <w:pPr>
              <w:spacing w:line="240" w:lineRule="auto"/>
              <w:jc w:val="right"/>
            </w:pPr>
            <w:r>
              <w:rPr>
                <w:rFonts w:ascii="宋体" w:eastAsia="宋体" w:hAnsi="宋体" w:cs="宋体"/>
                <w:b w:val="0"/>
              </w:rPr>
              <w:t>1.48%</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-24.58%</w:t>
            </w:r>
          </w:p>
        </w:tc>
        <w:tc>
          <w:tcPr>
            <w:tcW w:w="0" w:type="dxa"/>
            <w:vAlign w:val="center"/>
          </w:tcPr>
          <w:p>
            <w:pPr>
              <w:spacing w:line="240" w:lineRule="auto"/>
              <w:jc w:val="right"/>
            </w:pPr>
            <w:r>
              <w:rPr>
                <w:rFonts w:ascii="宋体" w:eastAsia="宋体" w:hAnsi="宋体" w:cs="宋体"/>
                <w:b w:val="0"/>
              </w:rPr>
              <w:t>2.42%</w:t>
            </w:r>
          </w:p>
        </w:tc>
        <w:tc>
          <w:tcPr>
            <w:tcW w:w="0" w:type="dxa"/>
            <w:vAlign w:val="center"/>
          </w:tcPr>
          <w:p>
            <w:pPr>
              <w:spacing w:line="240" w:lineRule="auto"/>
              <w:jc w:val="right"/>
            </w:pPr>
            <w:r>
              <w:rPr>
                <w:rFonts w:ascii="宋体" w:eastAsia="宋体" w:hAnsi="宋体" w:cs="宋体"/>
                <w:b w:val="0"/>
              </w:rPr>
              <w:t>-3.72%</w:t>
            </w:r>
          </w:p>
        </w:tc>
        <w:tc>
          <w:tcPr>
            <w:tcW w:w="0" w:type="dxa"/>
            <w:vAlign w:val="center"/>
          </w:tcPr>
          <w:p>
            <w:pPr>
              <w:spacing w:line="240" w:lineRule="auto"/>
              <w:jc w:val="right"/>
            </w:pPr>
            <w:r>
              <w:rPr>
                <w:rFonts w:ascii="宋体" w:eastAsia="宋体" w:hAnsi="宋体" w:cs="宋体"/>
                <w:b w:val="0"/>
              </w:rPr>
              <w:t>1.06%</w:t>
            </w:r>
          </w:p>
        </w:tc>
        <w:tc>
          <w:tcPr>
            <w:tcW w:w="0" w:type="dxa"/>
            <w:vAlign w:val="center"/>
          </w:tcPr>
          <w:p>
            <w:pPr>
              <w:spacing w:line="240" w:lineRule="auto"/>
              <w:jc w:val="right"/>
            </w:pPr>
            <w:r>
              <w:rPr>
                <w:rFonts w:ascii="宋体" w:eastAsia="宋体" w:hAnsi="宋体" w:cs="宋体"/>
                <w:b w:val="0"/>
              </w:rPr>
              <w:t>-20.86%</w:t>
            </w:r>
          </w:p>
        </w:tc>
        <w:tc>
          <w:tcPr>
            <w:tcW w:w="0" w:type="dxa"/>
            <w:vAlign w:val="center"/>
          </w:tcPr>
          <w:p>
            <w:pPr>
              <w:spacing w:line="240" w:lineRule="auto"/>
              <w:jc w:val="right"/>
            </w:pPr>
            <w:r>
              <w:rPr>
                <w:rFonts w:ascii="宋体" w:eastAsia="宋体" w:hAnsi="宋体" w:cs="宋体"/>
                <w:b w:val="0"/>
              </w:rPr>
              <w:t>1.36%</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-43.35%</w:t>
            </w:r>
          </w:p>
        </w:tc>
        <w:tc>
          <w:tcPr>
            <w:tcW w:w="0" w:type="dxa"/>
            <w:vAlign w:val="center"/>
          </w:tcPr>
          <w:p>
            <w:pPr>
              <w:spacing w:line="240" w:lineRule="auto"/>
              <w:jc w:val="right"/>
            </w:pPr>
            <w:r>
              <w:rPr>
                <w:rFonts w:ascii="宋体" w:eastAsia="宋体" w:hAnsi="宋体" w:cs="宋体"/>
                <w:b w:val="0"/>
              </w:rPr>
              <w:t>2.23%</w:t>
            </w:r>
          </w:p>
        </w:tc>
        <w:tc>
          <w:tcPr>
            <w:tcW w:w="0" w:type="dxa"/>
            <w:vAlign w:val="center"/>
          </w:tcPr>
          <w:p>
            <w:pPr>
              <w:spacing w:line="240" w:lineRule="auto"/>
              <w:jc w:val="right"/>
            </w:pPr>
            <w:r>
              <w:rPr>
                <w:rFonts w:ascii="宋体" w:eastAsia="宋体" w:hAnsi="宋体" w:cs="宋体"/>
                <w:b w:val="0"/>
              </w:rPr>
              <w:t>23.35%</w:t>
            </w:r>
          </w:p>
        </w:tc>
        <w:tc>
          <w:tcPr>
            <w:tcW w:w="0" w:type="dxa"/>
            <w:vAlign w:val="center"/>
          </w:tcPr>
          <w:p>
            <w:pPr>
              <w:spacing w:line="240" w:lineRule="auto"/>
              <w:jc w:val="right"/>
            </w:pPr>
            <w:r>
              <w:rPr>
                <w:rFonts w:ascii="宋体" w:eastAsia="宋体" w:hAnsi="宋体" w:cs="宋体"/>
                <w:b w:val="0"/>
              </w:rPr>
              <w:t>1.07%</w:t>
            </w:r>
          </w:p>
        </w:tc>
        <w:tc>
          <w:tcPr>
            <w:tcW w:w="0" w:type="dxa"/>
            <w:vAlign w:val="center"/>
          </w:tcPr>
          <w:p>
            <w:pPr>
              <w:spacing w:line="240" w:lineRule="auto"/>
              <w:jc w:val="right"/>
            </w:pPr>
            <w:r>
              <w:rPr>
                <w:rFonts w:ascii="宋体" w:eastAsia="宋体" w:hAnsi="宋体" w:cs="宋体"/>
                <w:b w:val="0"/>
              </w:rPr>
              <w:t>-66.70%</w:t>
            </w:r>
          </w:p>
        </w:tc>
        <w:tc>
          <w:tcPr>
            <w:tcW w:w="0" w:type="dxa"/>
            <w:vAlign w:val="center"/>
          </w:tcPr>
          <w:p>
            <w:pPr>
              <w:spacing w:line="240" w:lineRule="auto"/>
              <w:jc w:val="right"/>
            </w:pPr>
            <w:r>
              <w:rPr>
                <w:rFonts w:ascii="宋体" w:eastAsia="宋体" w:hAnsi="宋体" w:cs="宋体"/>
                <w:b w:val="0"/>
              </w:rPr>
              <w:t>1.16%</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-63.65%</w:t>
            </w:r>
          </w:p>
        </w:tc>
        <w:tc>
          <w:tcPr>
            <w:tcW w:w="0" w:type="dxa"/>
            <w:vAlign w:val="center"/>
          </w:tcPr>
          <w:p>
            <w:pPr>
              <w:spacing w:line="240" w:lineRule="auto"/>
              <w:jc w:val="right"/>
            </w:pPr>
            <w:r>
              <w:rPr>
                <w:rFonts w:ascii="宋体" w:eastAsia="宋体" w:hAnsi="宋体" w:cs="宋体"/>
                <w:b w:val="0"/>
              </w:rPr>
              <w:t>2.03%</w:t>
            </w:r>
          </w:p>
        </w:tc>
        <w:tc>
          <w:tcPr>
            <w:tcW w:w="0" w:type="dxa"/>
            <w:vAlign w:val="center"/>
          </w:tcPr>
          <w:p>
            <w:pPr>
              <w:spacing w:line="240" w:lineRule="auto"/>
              <w:jc w:val="right"/>
            </w:pPr>
            <w:r>
              <w:rPr>
                <w:rFonts w:ascii="宋体" w:eastAsia="宋体" w:hAnsi="宋体" w:cs="宋体"/>
                <w:b w:val="0"/>
              </w:rPr>
              <w:t>-1.92%</w:t>
            </w:r>
          </w:p>
        </w:tc>
        <w:tc>
          <w:tcPr>
            <w:tcW w:w="0" w:type="dxa"/>
            <w:vAlign w:val="center"/>
          </w:tcPr>
          <w:p>
            <w:pPr>
              <w:spacing w:line="240" w:lineRule="auto"/>
              <w:jc w:val="right"/>
            </w:pPr>
            <w:r>
              <w:rPr>
                <w:rFonts w:ascii="宋体" w:eastAsia="宋体" w:hAnsi="宋体" w:cs="宋体"/>
                <w:b w:val="0"/>
              </w:rPr>
              <w:t>1.03%</w:t>
            </w:r>
          </w:p>
        </w:tc>
        <w:tc>
          <w:tcPr>
            <w:tcW w:w="0" w:type="dxa"/>
            <w:vAlign w:val="center"/>
          </w:tcPr>
          <w:p>
            <w:pPr>
              <w:spacing w:line="240" w:lineRule="auto"/>
              <w:jc w:val="right"/>
            </w:pPr>
            <w:r>
              <w:rPr>
                <w:rFonts w:ascii="宋体" w:eastAsia="宋体" w:hAnsi="宋体" w:cs="宋体"/>
                <w:b w:val="0"/>
              </w:rPr>
              <w:t>-61.73%</w:t>
            </w:r>
          </w:p>
        </w:tc>
        <w:tc>
          <w:tcPr>
            <w:tcW w:w="0" w:type="dxa"/>
            <w:vAlign w:val="center"/>
          </w:tcPr>
          <w:p>
            <w:pPr>
              <w:spacing w:line="240" w:lineRule="auto"/>
              <w:jc w:val="right"/>
            </w:pPr>
            <w:r>
              <w:rPr>
                <w:rFonts w:ascii="宋体" w:eastAsia="宋体" w:hAnsi="宋体" w:cs="宋体"/>
                <w:b w:val="0"/>
              </w:rPr>
              <w:t>1.00%</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-65.95%</w:t>
            </w:r>
          </w:p>
        </w:tc>
        <w:tc>
          <w:tcPr>
            <w:tcW w:w="0" w:type="dxa"/>
            <w:vAlign w:val="center"/>
          </w:tcPr>
          <w:p>
            <w:pPr>
              <w:spacing w:line="240" w:lineRule="auto"/>
              <w:jc w:val="right"/>
            </w:pPr>
            <w:r>
              <w:rPr>
                <w:rFonts w:ascii="宋体" w:eastAsia="宋体" w:hAnsi="宋体" w:cs="宋体"/>
                <w:b w:val="0"/>
              </w:rPr>
              <w:t>1.95%</w:t>
            </w:r>
          </w:p>
        </w:tc>
        <w:tc>
          <w:tcPr>
            <w:tcW w:w="0" w:type="dxa"/>
            <w:vAlign w:val="center"/>
          </w:tcPr>
          <w:p>
            <w:pPr>
              <w:spacing w:line="240" w:lineRule="auto"/>
              <w:jc w:val="right"/>
            </w:pPr>
            <w:r>
              <w:rPr>
                <w:rFonts w:ascii="宋体" w:eastAsia="宋体" w:hAnsi="宋体" w:cs="宋体"/>
                <w:b w:val="0"/>
              </w:rPr>
              <w:t>-3.23%</w:t>
            </w:r>
          </w:p>
        </w:tc>
        <w:tc>
          <w:tcPr>
            <w:tcW w:w="0" w:type="dxa"/>
            <w:vAlign w:val="center"/>
          </w:tcPr>
          <w:p>
            <w:pPr>
              <w:spacing w:line="240" w:lineRule="auto"/>
              <w:jc w:val="right"/>
            </w:pPr>
            <w:r>
              <w:rPr>
                <w:rFonts w:ascii="宋体" w:eastAsia="宋体" w:hAnsi="宋体" w:cs="宋体"/>
                <w:b w:val="0"/>
              </w:rPr>
              <w:t>1.02%</w:t>
            </w:r>
          </w:p>
        </w:tc>
        <w:tc>
          <w:tcPr>
            <w:tcW w:w="0" w:type="dxa"/>
            <w:vAlign w:val="center"/>
          </w:tcPr>
          <w:p>
            <w:pPr>
              <w:spacing w:line="240" w:lineRule="auto"/>
              <w:jc w:val="right"/>
            </w:pPr>
            <w:r>
              <w:rPr>
                <w:rFonts w:ascii="宋体" w:eastAsia="宋体" w:hAnsi="宋体" w:cs="宋体"/>
                <w:b w:val="0"/>
              </w:rPr>
              <w:t>-62.72%</w:t>
            </w:r>
          </w:p>
        </w:tc>
        <w:tc>
          <w:tcPr>
            <w:tcW w:w="0" w:type="dxa"/>
            <w:vAlign w:val="center"/>
          </w:tcPr>
          <w:p>
            <w:pPr>
              <w:spacing w:line="240" w:lineRule="auto"/>
              <w:jc w:val="right"/>
            </w:pPr>
            <w:r>
              <w:rPr>
                <w:rFonts w:ascii="宋体" w:eastAsia="宋体" w:hAnsi="宋体" w:cs="宋体"/>
                <w:b w:val="0"/>
              </w:rPr>
              <w:t>0.93%</w:t>
            </w:r>
          </w:p>
        </w:tc>
      </w:tr>
    </w:tbl>
    <w:p>
      <w:pPr>
        <w:jc w:val="left"/>
      </w:pPr>
      <w:r>
        <w:rPr>
          <w:rFonts w:ascii="宋体" w:eastAsia="宋体" w:hAnsi="宋体" w:cs="宋体"/>
          <w:b/>
        </w:rPr>
        <w:t>东方阿尔法招阳混合E净值表现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-12.72%</w:t>
            </w:r>
          </w:p>
        </w:tc>
        <w:tc>
          <w:tcPr>
            <w:tcW w:w="0" w:type="dxa"/>
            <w:vAlign w:val="center"/>
          </w:tcPr>
          <w:p>
            <w:pPr>
              <w:spacing w:line="240" w:lineRule="auto"/>
              <w:jc w:val="right"/>
            </w:pPr>
            <w:r>
              <w:rPr>
                <w:rFonts w:ascii="宋体" w:eastAsia="宋体" w:hAnsi="宋体" w:cs="宋体"/>
                <w:b w:val="0"/>
              </w:rPr>
              <w:t>3.14%</w:t>
            </w:r>
          </w:p>
        </w:tc>
        <w:tc>
          <w:tcPr>
            <w:tcW w:w="0" w:type="dxa"/>
            <w:vAlign w:val="center"/>
          </w:tcPr>
          <w:p>
            <w:pPr>
              <w:spacing w:line="240" w:lineRule="auto"/>
              <w:jc w:val="right"/>
            </w:pPr>
            <w:r>
              <w:rPr>
                <w:rFonts w:ascii="宋体" w:eastAsia="宋体" w:hAnsi="宋体" w:cs="宋体"/>
                <w:b w:val="0"/>
              </w:rPr>
              <w:t>-10.48%</w:t>
            </w:r>
          </w:p>
        </w:tc>
        <w:tc>
          <w:tcPr>
            <w:tcW w:w="0" w:type="dxa"/>
            <w:vAlign w:val="center"/>
          </w:tcPr>
          <w:p>
            <w:pPr>
              <w:spacing w:line="240" w:lineRule="auto"/>
              <w:jc w:val="right"/>
            </w:pPr>
            <w:r>
              <w:rPr>
                <w:rFonts w:ascii="宋体" w:eastAsia="宋体" w:hAnsi="宋体" w:cs="宋体"/>
                <w:b w:val="0"/>
              </w:rPr>
              <w:t>1.18%</w:t>
            </w:r>
          </w:p>
        </w:tc>
        <w:tc>
          <w:tcPr>
            <w:tcW w:w="0" w:type="dxa"/>
            <w:vAlign w:val="center"/>
          </w:tcPr>
          <w:p>
            <w:pPr>
              <w:spacing w:line="240" w:lineRule="auto"/>
              <w:jc w:val="right"/>
            </w:pPr>
            <w:r>
              <w:rPr>
                <w:rFonts w:ascii="宋体" w:eastAsia="宋体" w:hAnsi="宋体" w:cs="宋体"/>
                <w:b w:val="0"/>
              </w:rPr>
              <w:t>-2.24%</w:t>
            </w:r>
          </w:p>
        </w:tc>
        <w:tc>
          <w:tcPr>
            <w:tcW w:w="0" w:type="dxa"/>
            <w:vAlign w:val="center"/>
          </w:tcPr>
          <w:p>
            <w:pPr>
              <w:spacing w:line="240" w:lineRule="auto"/>
              <w:jc w:val="right"/>
            </w:pPr>
            <w:r>
              <w:rPr>
                <w:rFonts w:ascii="宋体" w:eastAsia="宋体" w:hAnsi="宋体" w:cs="宋体"/>
                <w:b w:val="0"/>
              </w:rPr>
              <w:t>1.96%</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-14.73%</w:t>
            </w:r>
          </w:p>
        </w:tc>
        <w:tc>
          <w:tcPr>
            <w:tcW w:w="0" w:type="dxa"/>
            <w:vAlign w:val="center"/>
          </w:tcPr>
          <w:p>
            <w:pPr>
              <w:spacing w:line="240" w:lineRule="auto"/>
              <w:jc w:val="right"/>
            </w:pPr>
            <w:r>
              <w:rPr>
                <w:rFonts w:ascii="宋体" w:eastAsia="宋体" w:hAnsi="宋体" w:cs="宋体"/>
                <w:b w:val="0"/>
              </w:rPr>
              <w:t>2.65%</w:t>
            </w:r>
          </w:p>
        </w:tc>
        <w:tc>
          <w:tcPr>
            <w:tcW w:w="0" w:type="dxa"/>
            <w:vAlign w:val="center"/>
          </w:tcPr>
          <w:p>
            <w:pPr>
              <w:spacing w:line="240" w:lineRule="auto"/>
              <w:jc w:val="right"/>
            </w:pPr>
            <w:r>
              <w:rPr>
                <w:rFonts w:ascii="宋体" w:eastAsia="宋体" w:hAnsi="宋体" w:cs="宋体"/>
                <w:b w:val="0"/>
              </w:rPr>
              <w:t>-1.38%</w:t>
            </w:r>
          </w:p>
        </w:tc>
        <w:tc>
          <w:tcPr>
            <w:tcW w:w="0" w:type="dxa"/>
            <w:vAlign w:val="center"/>
          </w:tcPr>
          <w:p>
            <w:pPr>
              <w:spacing w:line="240" w:lineRule="auto"/>
              <w:jc w:val="right"/>
            </w:pPr>
            <w:r>
              <w:rPr>
                <w:rFonts w:ascii="宋体" w:eastAsia="宋体" w:hAnsi="宋体" w:cs="宋体"/>
                <w:b w:val="0"/>
              </w:rPr>
              <w:t>1.17%</w:t>
            </w:r>
          </w:p>
        </w:tc>
        <w:tc>
          <w:tcPr>
            <w:tcW w:w="0" w:type="dxa"/>
            <w:vAlign w:val="center"/>
          </w:tcPr>
          <w:p>
            <w:pPr>
              <w:spacing w:line="240" w:lineRule="auto"/>
              <w:jc w:val="right"/>
            </w:pPr>
            <w:r>
              <w:rPr>
                <w:rFonts w:ascii="宋体" w:eastAsia="宋体" w:hAnsi="宋体" w:cs="宋体"/>
                <w:b w:val="0"/>
              </w:rPr>
              <w:t>-13.35%</w:t>
            </w:r>
          </w:p>
        </w:tc>
        <w:tc>
          <w:tcPr>
            <w:tcW w:w="0" w:type="dxa"/>
            <w:vAlign w:val="center"/>
          </w:tcPr>
          <w:p>
            <w:pPr>
              <w:spacing w:line="240" w:lineRule="auto"/>
              <w:jc w:val="right"/>
            </w:pPr>
            <w:r>
              <w:rPr>
                <w:rFonts w:ascii="宋体" w:eastAsia="宋体" w:hAnsi="宋体" w:cs="宋体"/>
                <w:b w:val="0"/>
              </w:rPr>
              <w:t>1.48%</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-24.35%</w:t>
            </w:r>
          </w:p>
        </w:tc>
        <w:tc>
          <w:tcPr>
            <w:tcW w:w="0" w:type="dxa"/>
            <w:vAlign w:val="center"/>
          </w:tcPr>
          <w:p>
            <w:pPr>
              <w:spacing w:line="240" w:lineRule="auto"/>
              <w:jc w:val="right"/>
            </w:pPr>
            <w:r>
              <w:rPr>
                <w:rFonts w:ascii="宋体" w:eastAsia="宋体" w:hAnsi="宋体" w:cs="宋体"/>
                <w:b w:val="0"/>
              </w:rPr>
              <w:t>2.42%</w:t>
            </w:r>
          </w:p>
        </w:tc>
        <w:tc>
          <w:tcPr>
            <w:tcW w:w="0" w:type="dxa"/>
            <w:vAlign w:val="center"/>
          </w:tcPr>
          <w:p>
            <w:pPr>
              <w:spacing w:line="240" w:lineRule="auto"/>
              <w:jc w:val="right"/>
            </w:pPr>
            <w:r>
              <w:rPr>
                <w:rFonts w:ascii="宋体" w:eastAsia="宋体" w:hAnsi="宋体" w:cs="宋体"/>
                <w:b w:val="0"/>
              </w:rPr>
              <w:t>-3.72%</w:t>
            </w:r>
          </w:p>
        </w:tc>
        <w:tc>
          <w:tcPr>
            <w:tcW w:w="0" w:type="dxa"/>
            <w:vAlign w:val="center"/>
          </w:tcPr>
          <w:p>
            <w:pPr>
              <w:spacing w:line="240" w:lineRule="auto"/>
              <w:jc w:val="right"/>
            </w:pPr>
            <w:r>
              <w:rPr>
                <w:rFonts w:ascii="宋体" w:eastAsia="宋体" w:hAnsi="宋体" w:cs="宋体"/>
                <w:b w:val="0"/>
              </w:rPr>
              <w:t>1.06%</w:t>
            </w:r>
          </w:p>
        </w:tc>
        <w:tc>
          <w:tcPr>
            <w:tcW w:w="0" w:type="dxa"/>
            <w:vAlign w:val="center"/>
          </w:tcPr>
          <w:p>
            <w:pPr>
              <w:spacing w:line="240" w:lineRule="auto"/>
              <w:jc w:val="right"/>
            </w:pPr>
            <w:r>
              <w:rPr>
                <w:rFonts w:ascii="宋体" w:eastAsia="宋体" w:hAnsi="宋体" w:cs="宋体"/>
                <w:b w:val="0"/>
              </w:rPr>
              <w:t>-20.63%</w:t>
            </w:r>
          </w:p>
        </w:tc>
        <w:tc>
          <w:tcPr>
            <w:tcW w:w="0" w:type="dxa"/>
            <w:vAlign w:val="center"/>
          </w:tcPr>
          <w:p>
            <w:pPr>
              <w:spacing w:line="240" w:lineRule="auto"/>
              <w:jc w:val="right"/>
            </w:pPr>
            <w:r>
              <w:rPr>
                <w:rFonts w:ascii="宋体" w:eastAsia="宋体" w:hAnsi="宋体" w:cs="宋体"/>
                <w:b w:val="0"/>
              </w:rPr>
              <w:t>1.36%</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-42.86%</w:t>
            </w:r>
          </w:p>
        </w:tc>
        <w:tc>
          <w:tcPr>
            <w:tcW w:w="0" w:type="dxa"/>
            <w:vAlign w:val="center"/>
          </w:tcPr>
          <w:p>
            <w:pPr>
              <w:spacing w:line="240" w:lineRule="auto"/>
              <w:jc w:val="right"/>
            </w:pPr>
            <w:r>
              <w:rPr>
                <w:rFonts w:ascii="宋体" w:eastAsia="宋体" w:hAnsi="宋体" w:cs="宋体"/>
                <w:b w:val="0"/>
              </w:rPr>
              <w:t>2.23%</w:t>
            </w:r>
          </w:p>
        </w:tc>
        <w:tc>
          <w:tcPr>
            <w:tcW w:w="0" w:type="dxa"/>
            <w:vAlign w:val="center"/>
          </w:tcPr>
          <w:p>
            <w:pPr>
              <w:spacing w:line="240" w:lineRule="auto"/>
              <w:jc w:val="right"/>
            </w:pPr>
            <w:r>
              <w:rPr>
                <w:rFonts w:ascii="宋体" w:eastAsia="宋体" w:hAnsi="宋体" w:cs="宋体"/>
                <w:b w:val="0"/>
              </w:rPr>
              <w:t>23.35%</w:t>
            </w:r>
          </w:p>
        </w:tc>
        <w:tc>
          <w:tcPr>
            <w:tcW w:w="0" w:type="dxa"/>
            <w:vAlign w:val="center"/>
          </w:tcPr>
          <w:p>
            <w:pPr>
              <w:spacing w:line="240" w:lineRule="auto"/>
              <w:jc w:val="right"/>
            </w:pPr>
            <w:r>
              <w:rPr>
                <w:rFonts w:ascii="宋体" w:eastAsia="宋体" w:hAnsi="宋体" w:cs="宋体"/>
                <w:b w:val="0"/>
              </w:rPr>
              <w:t>1.07%</w:t>
            </w:r>
          </w:p>
        </w:tc>
        <w:tc>
          <w:tcPr>
            <w:tcW w:w="0" w:type="dxa"/>
            <w:vAlign w:val="center"/>
          </w:tcPr>
          <w:p>
            <w:pPr>
              <w:spacing w:line="240" w:lineRule="auto"/>
              <w:jc w:val="right"/>
            </w:pPr>
            <w:r>
              <w:rPr>
                <w:rFonts w:ascii="宋体" w:eastAsia="宋体" w:hAnsi="宋体" w:cs="宋体"/>
                <w:b w:val="0"/>
              </w:rPr>
              <w:t>-66.21%</w:t>
            </w:r>
          </w:p>
        </w:tc>
        <w:tc>
          <w:tcPr>
            <w:tcW w:w="0" w:type="dxa"/>
            <w:vAlign w:val="center"/>
          </w:tcPr>
          <w:p>
            <w:pPr>
              <w:spacing w:line="240" w:lineRule="auto"/>
              <w:jc w:val="right"/>
            </w:pPr>
            <w:r>
              <w:rPr>
                <w:rFonts w:ascii="宋体" w:eastAsia="宋体" w:hAnsi="宋体" w:cs="宋体"/>
                <w:b w:val="0"/>
              </w:rPr>
              <w:t>1.16%</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-46.23%</w:t>
            </w:r>
          </w:p>
        </w:tc>
        <w:tc>
          <w:tcPr>
            <w:tcW w:w="0" w:type="dxa"/>
            <w:vAlign w:val="center"/>
          </w:tcPr>
          <w:p>
            <w:pPr>
              <w:spacing w:line="240" w:lineRule="auto"/>
              <w:jc w:val="right"/>
            </w:pPr>
            <w:r>
              <w:rPr>
                <w:rFonts w:ascii="宋体" w:eastAsia="宋体" w:hAnsi="宋体" w:cs="宋体"/>
                <w:b w:val="0"/>
              </w:rPr>
              <w:t>2.14%</w:t>
            </w:r>
          </w:p>
        </w:tc>
        <w:tc>
          <w:tcPr>
            <w:tcW w:w="0" w:type="dxa"/>
            <w:vAlign w:val="center"/>
          </w:tcPr>
          <w:p>
            <w:pPr>
              <w:spacing w:line="240" w:lineRule="auto"/>
              <w:jc w:val="right"/>
            </w:pPr>
            <w:r>
              <w:rPr>
                <w:rFonts w:ascii="宋体" w:eastAsia="宋体" w:hAnsi="宋体" w:cs="宋体"/>
                <w:b w:val="0"/>
              </w:rPr>
              <w:t>14.73%</w:t>
            </w:r>
          </w:p>
        </w:tc>
        <w:tc>
          <w:tcPr>
            <w:tcW w:w="0" w:type="dxa"/>
            <w:vAlign w:val="center"/>
          </w:tcPr>
          <w:p>
            <w:pPr>
              <w:spacing w:line="240" w:lineRule="auto"/>
              <w:jc w:val="right"/>
            </w:pPr>
            <w:r>
              <w:rPr>
                <w:rFonts w:ascii="宋体" w:eastAsia="宋体" w:hAnsi="宋体" w:cs="宋体"/>
                <w:b w:val="0"/>
              </w:rPr>
              <w:t>1.04%</w:t>
            </w:r>
          </w:p>
        </w:tc>
        <w:tc>
          <w:tcPr>
            <w:tcW w:w="0" w:type="dxa"/>
            <w:vAlign w:val="center"/>
          </w:tcPr>
          <w:p>
            <w:pPr>
              <w:spacing w:line="240" w:lineRule="auto"/>
              <w:jc w:val="right"/>
            </w:pPr>
            <w:r>
              <w:rPr>
                <w:rFonts w:ascii="宋体" w:eastAsia="宋体" w:hAnsi="宋体" w:cs="宋体"/>
                <w:b w:val="0"/>
              </w:rPr>
              <w:t>-60.96%</w:t>
            </w:r>
          </w:p>
        </w:tc>
        <w:tc>
          <w:tcPr>
            <w:tcW w:w="0" w:type="dxa"/>
            <w:vAlign w:val="center"/>
          </w:tcPr>
          <w:p>
            <w:pPr>
              <w:spacing w:line="240" w:lineRule="auto"/>
              <w:jc w:val="right"/>
            </w:pPr>
            <w:r>
              <w:rPr>
                <w:rFonts w:ascii="宋体" w:eastAsia="宋体" w:hAnsi="宋体" w:cs="宋体"/>
                <w:b w:val="0"/>
              </w:rPr>
              <w:t>1.10%</w:t>
            </w:r>
          </w:p>
        </w:tc>
      </w:tr>
    </w:tbl>
    <w:p>
      <w:r>
        <w:rPr>
          <w:rFonts w:ascii="宋体" w:eastAsia="宋体" w:hAnsi="宋体" w:cs="宋体"/>
          <w:b w:val="0"/>
        </w:rPr>
        <w:t>注：1、本基金成立于2021年3月17日。自2023年5月10日起，本基金增设E类份额类别，份额首次确认日为2023年5月11日，增设当期的相关数据和指标按实际存续期计算。</w:t>
        <w:br/>
      </w:r>
      <w:r>
        <w:rPr>
          <w:rFonts w:ascii="宋体" w:eastAsia="宋体" w:hAnsi="宋体" w:cs="宋体"/>
          <w:b w:val="0"/>
        </w:rPr>
        <w:t>2、本基金业绩比较基准为：中证800指数收益率×80%+中证综合债券指数收益率×10%+恒生指数收益率×10%。</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3" name="Drawing 3" descr="Generated"/>
            <wp:cNvGraphicFramePr/>
            <a:graphic xmlns:a="http://schemas.openxmlformats.org/drawingml/2006/main">
              <a:graphicData uri="http://schemas.openxmlformats.org/drawingml/2006/picture">
                <pic:pic xmlns:pic="http://schemas.openxmlformats.org/drawingml/2006/picture">
                  <pic:nvPicPr>
                    <pic:cNvPr id="3" name="Picture 3" descr="Generated"/>
                    <pic:cNvPicPr>
                      <a:picLocks noChangeAspect="1"/>
                    </pic:cNvPicPr>
                  </pic:nvPicPr>
                  <pic:blipFill>
                    <a:blip xmlns:r="http://schemas.openxmlformats.org/officeDocument/2006/relationships" r:embed="rId8"/>
                    <a:stretch>
                      <a:fillRect/>
                    </a:stretch>
                  </pic:blipFill>
                  <pic:spPr>
                    <a:xfrm>
                      <a:off x="0" y="0"/>
                      <a:ext cx="5715000" cy="3048000"/>
                    </a:xfrm>
                    <a:prstGeom prst="rect">
                      <a:avLst/>
                    </a:prstGeom>
                  </pic:spPr>
                </pic:pic>
              </a:graphicData>
            </a:graphic>
          </wp:inline>
        </w:drawing>
      </w:r>
    </w:p>
    <w:p>
      <w:r>
        <w:rPr>
          <w:rFonts w:ascii="宋体" w:eastAsia="宋体" w:hAnsi="宋体" w:cs="宋体"/>
          <w:b w:val="0"/>
        </w:rPr>
        <w:t>注：自2023年5月10日起，本基金增设E类份额类别，份额首次确认日为2023年5月11日，增设当期的相关数据和指标按实际存续期计算。</w:t>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周谧</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2026-06-04</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16年</w:t>
            </w:r>
          </w:p>
        </w:tc>
        <w:tc>
          <w:tcPr>
            <w:tcW w:w="0" w:type="dxa"/>
            <w:vAlign w:val="center"/>
          </w:tcPr>
          <w:p>
            <w:pPr>
              <w:spacing w:line="240" w:lineRule="auto"/>
              <w:jc w:val="left"/>
            </w:pPr>
            <w:r>
              <w:rPr>
                <w:rFonts w:ascii="宋体" w:eastAsia="宋体" w:hAnsi="宋体" w:cs="宋体"/>
                <w:b w:val="0"/>
              </w:rPr>
              <w:t>周谧先生，中国人民大学应用数学硕士。2008年9月起历任中再资产管理股份有限公司金融工程分析师、平安证券有限责任公司高级量化分析师、国金创新投资有限公司投资经理、深圳铸成投资有限公司投资部副总监、财信证券有限责任公司投资经理、金信基金管理有限公司基金经理。2022年10月加入东方阿尔法基金管理有限公司，现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回顾2026 年三季度，全球地缘冲突依旧多点交织，海外流动性预期反复扰动权益市场；国内经济维持结构性分化，内需修复节奏偏弱，科技板块内部迎来一轮深度洗牌。自二季度以来，市场风格由极致景气抱团逐步向更加均衡化演绎，高估值拥挤板块持续消化估值，产业迭代带来的新方向逐步获得资金关注。</w:t>
        <w:br/>
      </w:r>
      <w:r>
        <w:rPr>
          <w:rFonts w:ascii="宋体" w:eastAsia="宋体" w:hAnsi="宋体" w:cs="宋体"/>
          <w:b w:val="0"/>
        </w:rPr>
        <w:t xml:space="preserve">    本基金二季度定位为军工与AI的平衡型组合，持仓重点布局军贸产业链以及军民两用的军工电子，兼顾军工内需、外贸拓增与AI元器件的成长红利。进入三季度，市场环境发生明显变化。AI板块出现较大幅度回调，前期热门板块机构持仓高度集中，部分标的估值处于高位，同时行业技术迭代速度加快，不少现有产品存在被下一代新技术替代的潜在风险，传统AI算力链条的不确定性有所抬升。军工军贸方向方面，虽然中长期“内需筑基、外贸拓增”的大逻辑没有改变，但短期受到订单谈判、交付验收流程等因素影响，订单确收节奏存在不确定性，板块业绩兑现节奏不及市场前期预期，股价随之震荡调整。</w:t>
        <w:br/>
      </w:r>
      <w:r>
        <w:rPr>
          <w:rFonts w:ascii="宋体" w:eastAsia="宋体" w:hAnsi="宋体" w:cs="宋体"/>
          <w:b w:val="0"/>
        </w:rPr>
        <w:t xml:space="preserve">    基于对产业与市场的研判，本基金在三季度对组合进行了较大的结构调整，从原先军工+AI的平衡配置，转型为以新产业方向为主，兼顾景气反转与景气深化的组合，将更多仓位配置于AI技术升级迭代的新兴方向，同时挖掘机构持仓占比较低、具备景气反转潜力的细分领域，以此适配科技行业洗牌、风格趋于均衡的市场大环境。</w:t>
        <w:br/>
      </w:r>
      <w:r>
        <w:rPr>
          <w:rFonts w:ascii="宋体" w:eastAsia="宋体" w:hAnsi="宋体" w:cs="宋体"/>
          <w:b w:val="0"/>
        </w:rPr>
        <w:t xml:space="preserve">    在新产业方向上，我们重点关注四大板块：ABF 载板、磷化铟、超快激光、AI 医疗。ABF 载板方面，作为高端 AI 服务器芯片的核心基板，AI 算力升级带动高端载板需求持续扩张，国内厂商正处于技术突破与国产替代的关键窗口期，看好国产供应链从0到1的突破机遇。磷化铟方面，高速光模块、下一代CPO架构的核心衬底材料，AI算力集群光互联需求持续爆发，行业供给扩产周期长，供需缺口显著，是AI光通信产业链具备硬壁垒的环节。超快激光方面，属于跨领域通用高端制造设备，既可以服务AI硬件先进封装加工，又可应用于新型电池、光器件制造，下游应用边界持续拓宽。AI医疗方面，AI技术赋能医疗器械、医学影像、药物研发，产业从试点走向商业化落地，政策持续鼓励创新，属于AI技术向实体经济渗透的高潜力方向。</w:t>
        <w:br/>
      </w:r>
      <w:r>
        <w:rPr>
          <w:rFonts w:ascii="宋体" w:eastAsia="宋体" w:hAnsi="宋体" w:cs="宋体"/>
          <w:b w:val="0"/>
        </w:rPr>
        <w:t xml:space="preserve">    与此同时，我们也积极布局机构持仓较少的景气反转方向，避开交易高度拥挤的板块，寻找基本面边际改善、估值位置合理的细分标的，以此分散组合风险，追求风险收益比更优的投资机会。当然我们并未完全放弃军工板块的机会，对于军工板块中真正受益国产替代、军民两用、订单确定性逐步兑现的优质公司，我们依旧保持跟踪与小仓位配置。</w:t>
        <w:br/>
      </w:r>
      <w:r>
        <w:rPr>
          <w:rFonts w:ascii="宋体" w:eastAsia="宋体" w:hAnsi="宋体" w:cs="宋体"/>
          <w:b w:val="0"/>
        </w:rPr>
        <w:t xml:space="preserve">    展望 2026 年四季度，宏观层面，国内稳增长政策仍将持续发力，但内需修复仍需时间；海外地缘冲突、美联储政策变化依旧是市场主要扰动因素。科技板块内部分化还将延续，旧板块继续消化估值，而技术迭代驱动的新产业方向，将更多依靠订单落地、良率爬坡、商业化兑现来驱动行情。</w:t>
        <w:br/>
      </w:r>
      <w:r>
        <w:rPr>
          <w:rFonts w:ascii="宋体" w:eastAsia="宋体" w:hAnsi="宋体" w:cs="宋体"/>
          <w:b w:val="0"/>
        </w:rPr>
        <w:t xml:space="preserve">    对于本基金重点布局的新产业板块，四季度我们将持续跟踪产业验证节点：ABF 载板关注国内厂商客户认证、批量供货进度；磷化铟跟踪衬底国产良率提升以及下游高速光芯片的采购情况；超快激光关注 AI 先进封装、光器件领域设备订单释放；AI 医疗重点看产品获批、商业化落地节奏。上述细分板块正处在技术迭代、国产替代的关键阶段，四季度的产业验证情况，将很大程度决定未来 2-3年的成长空间。</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招阳混合A基金份额净值为0.3615元，本报告期内，该类基金份额净值增长率为-12.60%，同期业绩比较基准收益率为-10.48%；截至报告期末东方阿尔法招阳混合C基金份额净值为0.3405元，本报告期内，该类基金份额净值增长率为-12.78%，同期业绩比较基准收益率为-10.48%；截至报告期末东方阿尔法招阳混合E基金份额净值为0.3554元，本报告期内，该类基金份额净值增长率为-12.72%，同期业绩比较基准收益率为-10.48%。</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本报告期内，本基金未出现连续20个工作日基金份额持有人数量不满200人或者基金资产净值低于5000万的情形。</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206,649,620.73</w:t>
            </w:r>
          </w:p>
        </w:tc>
        <w:tc>
          <w:tcPr>
            <w:tcW w:w="0" w:type="dxa"/>
            <w:vAlign w:val="center"/>
          </w:tcPr>
          <w:p>
            <w:pPr>
              <w:spacing w:line="240" w:lineRule="auto"/>
              <w:jc w:val="right"/>
            </w:pPr>
            <w:r>
              <w:rPr>
                <w:rFonts w:ascii="宋体" w:eastAsia="宋体" w:hAnsi="宋体" w:cs="宋体"/>
                <w:b w:val="0"/>
              </w:rPr>
              <w:t>90.43</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206,649,620.73</w:t>
            </w:r>
          </w:p>
        </w:tc>
        <w:tc>
          <w:tcPr>
            <w:tcW w:w="0" w:type="dxa"/>
            <w:vAlign w:val="center"/>
          </w:tcPr>
          <w:p>
            <w:pPr>
              <w:spacing w:line="240" w:lineRule="auto"/>
              <w:jc w:val="right"/>
            </w:pPr>
            <w:r>
              <w:rPr>
                <w:rFonts w:ascii="宋体" w:eastAsia="宋体" w:hAnsi="宋体" w:cs="宋体"/>
                <w:b w:val="0"/>
              </w:rPr>
              <w:t>90.43</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13,057,159.51</w:t>
            </w:r>
          </w:p>
        </w:tc>
        <w:tc>
          <w:tcPr>
            <w:tcW w:w="0" w:type="dxa"/>
            <w:vAlign w:val="center"/>
          </w:tcPr>
          <w:p>
            <w:pPr>
              <w:spacing w:line="240" w:lineRule="auto"/>
              <w:jc w:val="right"/>
            </w:pPr>
            <w:r>
              <w:rPr>
                <w:rFonts w:ascii="宋体" w:eastAsia="宋体" w:hAnsi="宋体" w:cs="宋体"/>
                <w:b w:val="0"/>
              </w:rPr>
              <w:t>5.71</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13,057,159.51</w:t>
            </w:r>
          </w:p>
        </w:tc>
        <w:tc>
          <w:tcPr>
            <w:tcW w:w="0" w:type="dxa"/>
            <w:vAlign w:val="center"/>
          </w:tcPr>
          <w:p>
            <w:pPr>
              <w:spacing w:line="240" w:lineRule="auto"/>
              <w:jc w:val="right"/>
            </w:pPr>
            <w:r>
              <w:rPr>
                <w:rFonts w:ascii="宋体" w:eastAsia="宋体" w:hAnsi="宋体" w:cs="宋体"/>
                <w:b w:val="0"/>
              </w:rPr>
              <w:t>5.71</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8,589,129.69</w:t>
            </w:r>
          </w:p>
        </w:tc>
        <w:tc>
          <w:tcPr>
            <w:tcW w:w="0" w:type="dxa"/>
            <w:vAlign w:val="center"/>
          </w:tcPr>
          <w:p>
            <w:pPr>
              <w:spacing w:line="240" w:lineRule="auto"/>
              <w:jc w:val="right"/>
            </w:pPr>
            <w:r>
              <w:rPr>
                <w:rFonts w:ascii="宋体" w:eastAsia="宋体" w:hAnsi="宋体" w:cs="宋体"/>
                <w:b w:val="0"/>
              </w:rPr>
              <w:t>3.76</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219,168.02</w:t>
            </w:r>
          </w:p>
        </w:tc>
        <w:tc>
          <w:tcPr>
            <w:tcW w:w="0" w:type="dxa"/>
            <w:vAlign w:val="center"/>
          </w:tcPr>
          <w:p>
            <w:pPr>
              <w:spacing w:line="240" w:lineRule="auto"/>
              <w:jc w:val="right"/>
            </w:pPr>
            <w:r>
              <w:rPr>
                <w:rFonts w:ascii="宋体" w:eastAsia="宋体" w:hAnsi="宋体" w:cs="宋体"/>
                <w:b w:val="0"/>
              </w:rPr>
              <w:t>0.10</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228,515,077.95</w:t>
            </w:r>
          </w:p>
        </w:tc>
        <w:tc>
          <w:tcPr>
            <w:tcW w:w="0" w:type="dxa"/>
            <w:vAlign w:val="center"/>
          </w:tcPr>
          <w:p>
            <w:pPr>
              <w:spacing w:line="240" w:lineRule="auto"/>
              <w:jc w:val="right"/>
            </w:pPr>
            <w:r>
              <w:rPr>
                <w:rFonts w:ascii="宋体" w:eastAsia="宋体" w:hAnsi="宋体" w:cs="宋体"/>
                <w:b w:val="0"/>
              </w:rPr>
              <w:t>100.00</w:t>
            </w:r>
          </w:p>
        </w:tc>
      </w:tr>
    </w:tbl>
    <w:p>
      <w:r>
        <w:rPr>
          <w:rFonts w:ascii="宋体" w:eastAsia="宋体" w:hAnsi="宋体" w:cs="宋体"/>
          <w:b w:val="0"/>
        </w:rPr>
        <w:t>注：报告期末本基金通过港股通交易机制投资的港股公允价值合计20,919,537.46元，占基金资产净值的比例为9.45%。</w:t>
      </w:r>
    </w:p>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5,100,144.14</w:t>
            </w:r>
          </w:p>
        </w:tc>
        <w:tc>
          <w:tcPr>
            <w:tcW w:w="0" w:type="dxa"/>
            <w:vAlign w:val="center"/>
          </w:tcPr>
          <w:p>
            <w:pPr>
              <w:spacing w:line="240" w:lineRule="auto"/>
              <w:jc w:val="right"/>
            </w:pPr>
            <w:r>
              <w:rPr>
                <w:rFonts w:ascii="宋体" w:eastAsia="宋体" w:hAnsi="宋体" w:cs="宋体"/>
                <w:b w:val="0"/>
              </w:rPr>
              <w:t>2.30</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137,090,781.73</w:t>
            </w:r>
          </w:p>
        </w:tc>
        <w:tc>
          <w:tcPr>
            <w:tcW w:w="0" w:type="dxa"/>
            <w:vAlign w:val="center"/>
          </w:tcPr>
          <w:p>
            <w:pPr>
              <w:spacing w:line="240" w:lineRule="auto"/>
              <w:jc w:val="right"/>
            </w:pPr>
            <w:r>
              <w:rPr>
                <w:rFonts w:ascii="宋体" w:eastAsia="宋体" w:hAnsi="宋体" w:cs="宋体"/>
                <w:b w:val="0"/>
              </w:rPr>
              <w:t>61.91</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70,021.98</w:t>
            </w:r>
          </w:p>
        </w:tc>
        <w:tc>
          <w:tcPr>
            <w:tcW w:w="0" w:type="dxa"/>
            <w:vAlign w:val="center"/>
          </w:tcPr>
          <w:p>
            <w:pPr>
              <w:spacing w:line="240" w:lineRule="auto"/>
              <w:jc w:val="right"/>
            </w:pPr>
            <w:r>
              <w:rPr>
                <w:rFonts w:ascii="宋体" w:eastAsia="宋体" w:hAnsi="宋体" w:cs="宋体"/>
                <w:b w:val="0"/>
              </w:rPr>
              <w:t>0.03</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35,418,743.42</w:t>
            </w:r>
          </w:p>
        </w:tc>
        <w:tc>
          <w:tcPr>
            <w:tcW w:w="0" w:type="dxa"/>
            <w:vAlign w:val="center"/>
          </w:tcPr>
          <w:p>
            <w:pPr>
              <w:spacing w:line="240" w:lineRule="auto"/>
              <w:jc w:val="right"/>
            </w:pPr>
            <w:r>
              <w:rPr>
                <w:rFonts w:ascii="宋体" w:eastAsia="宋体" w:hAnsi="宋体" w:cs="宋体"/>
                <w:b w:val="0"/>
              </w:rPr>
              <w:t>16.00</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5,605,890.00</w:t>
            </w:r>
          </w:p>
        </w:tc>
        <w:tc>
          <w:tcPr>
            <w:tcW w:w="0" w:type="dxa"/>
            <w:vAlign w:val="center"/>
          </w:tcPr>
          <w:p>
            <w:pPr>
              <w:spacing w:line="240" w:lineRule="auto"/>
              <w:jc w:val="right"/>
            </w:pPr>
            <w:r>
              <w:rPr>
                <w:rFonts w:ascii="宋体" w:eastAsia="宋体" w:hAnsi="宋体" w:cs="宋体"/>
                <w:b w:val="0"/>
              </w:rPr>
              <w:t>2.53</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2,444,502.00</w:t>
            </w:r>
          </w:p>
        </w:tc>
        <w:tc>
          <w:tcPr>
            <w:tcW w:w="0" w:type="dxa"/>
            <w:vAlign w:val="center"/>
          </w:tcPr>
          <w:p>
            <w:pPr>
              <w:spacing w:line="240" w:lineRule="auto"/>
              <w:jc w:val="right"/>
            </w:pPr>
            <w:r>
              <w:rPr>
                <w:rFonts w:ascii="宋体" w:eastAsia="宋体" w:hAnsi="宋体" w:cs="宋体"/>
                <w:b w:val="0"/>
              </w:rPr>
              <w:t>1.10</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185,730,083.27</w:t>
            </w:r>
          </w:p>
        </w:tc>
        <w:tc>
          <w:tcPr>
            <w:tcW w:w="0" w:type="dxa"/>
            <w:vAlign w:val="center"/>
          </w:tcPr>
          <w:p>
            <w:pPr>
              <w:spacing w:line="240" w:lineRule="auto"/>
              <w:jc w:val="right"/>
            </w:pPr>
            <w:r>
              <w:rPr>
                <w:rFonts w:ascii="宋体" w:eastAsia="宋体" w:hAnsi="宋体" w:cs="宋体"/>
                <w:b w:val="0"/>
              </w:rPr>
              <w:t>83.88</w:t>
            </w:r>
          </w:p>
        </w:tc>
      </w:tr>
    </w:tbl>
    <w:p/>
    <w:p>
      <w:pPr>
        <w:pStyle w:val="zhangjiep2"/>
      </w:pPr>
      <w:r>
        <w:rPr>
          <w:rStyle w:val="DefaultParagraphFont"/>
          <w:rFonts w:ascii="宋体" w:eastAsia="宋体" w:hAnsi="宋体" w:cs="宋体"/>
          <w:b/>
        </w:rPr>
        <w:t>5.2.2 报告期末按行业分类的港股通投资股票投资组合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1538" w:type="pct"/>
            <w:shd w:val="clear" w:color="auto" w:fill="D9D9D9"/>
            <w:vAlign w:val="center"/>
          </w:tcPr>
          <w:p>
            <w:pPr>
              <w:spacing w:line="240" w:lineRule="auto"/>
              <w:jc w:val="center"/>
            </w:pPr>
            <w:r>
              <w:rPr>
                <w:rFonts w:ascii="宋体" w:eastAsia="宋体" w:hAnsi="宋体" w:cs="宋体"/>
                <w:b w:val="0"/>
              </w:rPr>
              <w:t>公允价值（人民币）</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left"/>
            </w:pPr>
            <w:r>
              <w:rPr>
                <w:rFonts w:ascii="宋体" w:eastAsia="宋体" w:hAnsi="宋体" w:cs="宋体"/>
                <w:b w:val="0"/>
              </w:rPr>
              <w:t>金融</w:t>
            </w:r>
          </w:p>
        </w:tc>
        <w:tc>
          <w:tcPr>
            <w:tcW w:w="0" w:type="dxa"/>
            <w:vAlign w:val="center"/>
          </w:tcPr>
          <w:p>
            <w:pPr>
              <w:spacing w:line="240" w:lineRule="auto"/>
              <w:jc w:val="right"/>
            </w:pPr>
            <w:r>
              <w:rPr>
                <w:rFonts w:ascii="宋体" w:eastAsia="宋体" w:hAnsi="宋体" w:cs="宋体"/>
                <w:b w:val="0"/>
              </w:rPr>
              <w:t>4,429,017.99</w:t>
            </w:r>
          </w:p>
        </w:tc>
        <w:tc>
          <w:tcPr>
            <w:tcW w:w="0" w:type="dxa"/>
            <w:vAlign w:val="center"/>
          </w:tcPr>
          <w:p>
            <w:pPr>
              <w:spacing w:line="240" w:lineRule="auto"/>
              <w:jc w:val="right"/>
            </w:pPr>
            <w:r>
              <w:rPr>
                <w:rFonts w:ascii="宋体" w:eastAsia="宋体" w:hAnsi="宋体" w:cs="宋体"/>
                <w:b w:val="0"/>
              </w:rPr>
              <w:t>2.00</w:t>
            </w:r>
          </w:p>
        </w:tc>
      </w:tr>
      <w:tr>
        <w:tblPrEx>
          <w:tblW w:w="5000" w:type="pct"/>
        </w:tblPrEx>
        <w:tc>
          <w:tcPr>
            <w:tcW w:w="0" w:type="dxa"/>
            <w:vAlign w:val="center"/>
          </w:tcPr>
          <w:p>
            <w:pPr>
              <w:spacing w:line="240" w:lineRule="auto"/>
              <w:jc w:val="left"/>
            </w:pPr>
            <w:r>
              <w:rPr>
                <w:rFonts w:ascii="宋体" w:eastAsia="宋体" w:hAnsi="宋体" w:cs="宋体"/>
                <w:b w:val="0"/>
              </w:rPr>
              <w:t>医疗保健</w:t>
            </w:r>
          </w:p>
        </w:tc>
        <w:tc>
          <w:tcPr>
            <w:tcW w:w="0" w:type="dxa"/>
            <w:vAlign w:val="center"/>
          </w:tcPr>
          <w:p>
            <w:pPr>
              <w:spacing w:line="240" w:lineRule="auto"/>
              <w:jc w:val="right"/>
            </w:pPr>
            <w:r>
              <w:rPr>
                <w:rFonts w:ascii="宋体" w:eastAsia="宋体" w:hAnsi="宋体" w:cs="宋体"/>
                <w:b w:val="0"/>
              </w:rPr>
              <w:t>3,388,767.47</w:t>
            </w:r>
          </w:p>
        </w:tc>
        <w:tc>
          <w:tcPr>
            <w:tcW w:w="0" w:type="dxa"/>
            <w:vAlign w:val="center"/>
          </w:tcPr>
          <w:p>
            <w:pPr>
              <w:spacing w:line="240" w:lineRule="auto"/>
              <w:jc w:val="right"/>
            </w:pPr>
            <w:r>
              <w:rPr>
                <w:rFonts w:ascii="宋体" w:eastAsia="宋体" w:hAnsi="宋体" w:cs="宋体"/>
                <w:b w:val="0"/>
              </w:rPr>
              <w:t>1.53</w:t>
            </w:r>
          </w:p>
        </w:tc>
      </w:tr>
      <w:tr>
        <w:tblPrEx>
          <w:tblW w:w="5000" w:type="pct"/>
        </w:tblPrEx>
        <w:tc>
          <w:tcPr>
            <w:tcW w:w="0" w:type="dxa"/>
            <w:vAlign w:val="center"/>
          </w:tcPr>
          <w:p>
            <w:pPr>
              <w:spacing w:line="240" w:lineRule="auto"/>
              <w:jc w:val="left"/>
            </w:pPr>
            <w:r>
              <w:rPr>
                <w:rFonts w:ascii="宋体" w:eastAsia="宋体" w:hAnsi="宋体" w:cs="宋体"/>
                <w:b w:val="0"/>
              </w:rPr>
              <w:t>信息技术</w:t>
            </w:r>
          </w:p>
        </w:tc>
        <w:tc>
          <w:tcPr>
            <w:tcW w:w="0" w:type="dxa"/>
            <w:vAlign w:val="center"/>
          </w:tcPr>
          <w:p>
            <w:pPr>
              <w:spacing w:line="240" w:lineRule="auto"/>
              <w:jc w:val="right"/>
            </w:pPr>
            <w:r>
              <w:rPr>
                <w:rFonts w:ascii="宋体" w:eastAsia="宋体" w:hAnsi="宋体" w:cs="宋体"/>
                <w:b w:val="0"/>
              </w:rPr>
              <w:t>13,101,752.00</w:t>
            </w:r>
          </w:p>
        </w:tc>
        <w:tc>
          <w:tcPr>
            <w:tcW w:w="0" w:type="dxa"/>
            <w:vAlign w:val="center"/>
          </w:tcPr>
          <w:p>
            <w:pPr>
              <w:spacing w:line="240" w:lineRule="auto"/>
              <w:jc w:val="right"/>
            </w:pPr>
            <w:r>
              <w:rPr>
                <w:rFonts w:ascii="宋体" w:eastAsia="宋体" w:hAnsi="宋体" w:cs="宋体"/>
                <w:b w:val="0"/>
              </w:rPr>
              <w:t>5.92</w:t>
            </w:r>
          </w:p>
        </w:tc>
      </w:tr>
      <w:tr>
        <w:tblPrEx>
          <w:tblW w:w="5000" w:type="pct"/>
        </w:tblPrEx>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20,919,537.46</w:t>
            </w:r>
          </w:p>
        </w:tc>
        <w:tc>
          <w:tcPr>
            <w:tcW w:w="0" w:type="dxa"/>
            <w:vAlign w:val="center"/>
          </w:tcPr>
          <w:p>
            <w:pPr>
              <w:spacing w:line="240" w:lineRule="auto"/>
              <w:jc w:val="right"/>
            </w:pPr>
            <w:r>
              <w:rPr>
                <w:rFonts w:ascii="宋体" w:eastAsia="宋体" w:hAnsi="宋体" w:cs="宋体"/>
                <w:b w:val="0"/>
              </w:rPr>
              <w:t>9.45</w:t>
            </w:r>
          </w:p>
        </w:tc>
      </w:tr>
    </w:tbl>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300489</w:t>
            </w:r>
          </w:p>
        </w:tc>
        <w:tc>
          <w:tcPr>
            <w:tcW w:w="0" w:type="dxa"/>
            <w:vAlign w:val="center"/>
          </w:tcPr>
          <w:p>
            <w:pPr>
              <w:spacing w:line="240" w:lineRule="auto"/>
              <w:jc w:val="left"/>
            </w:pPr>
            <w:r>
              <w:rPr>
                <w:rFonts w:ascii="宋体" w:eastAsia="宋体" w:hAnsi="宋体" w:cs="宋体"/>
                <w:b w:val="0"/>
              </w:rPr>
              <w:t>光智科技</w:t>
            </w:r>
          </w:p>
        </w:tc>
        <w:tc>
          <w:tcPr>
            <w:tcW w:w="0" w:type="dxa"/>
            <w:vAlign w:val="center"/>
          </w:tcPr>
          <w:p>
            <w:pPr>
              <w:spacing w:line="240" w:lineRule="auto"/>
              <w:jc w:val="right"/>
            </w:pPr>
            <w:r>
              <w:rPr>
                <w:rFonts w:ascii="宋体" w:eastAsia="宋体" w:hAnsi="宋体" w:cs="宋体"/>
                <w:b w:val="0"/>
              </w:rPr>
              <w:t>78,100</w:t>
            </w:r>
          </w:p>
        </w:tc>
        <w:tc>
          <w:tcPr>
            <w:tcW w:w="0" w:type="dxa"/>
            <w:vAlign w:val="center"/>
          </w:tcPr>
          <w:p>
            <w:pPr>
              <w:spacing w:line="240" w:lineRule="auto"/>
              <w:jc w:val="right"/>
            </w:pPr>
            <w:r>
              <w:rPr>
                <w:rFonts w:ascii="宋体" w:eastAsia="宋体" w:hAnsi="宋体" w:cs="宋体"/>
                <w:b w:val="0"/>
              </w:rPr>
              <w:t>21,739,135.00</w:t>
            </w:r>
          </w:p>
        </w:tc>
        <w:tc>
          <w:tcPr>
            <w:tcW w:w="0" w:type="dxa"/>
            <w:vAlign w:val="center"/>
          </w:tcPr>
          <w:p>
            <w:pPr>
              <w:spacing w:line="240" w:lineRule="auto"/>
              <w:jc w:val="right"/>
            </w:pPr>
            <w:r>
              <w:rPr>
                <w:rFonts w:ascii="宋体" w:eastAsia="宋体" w:hAnsi="宋体" w:cs="宋体"/>
                <w:b w:val="0"/>
              </w:rPr>
              <w:t>9.82</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002436</w:t>
            </w:r>
          </w:p>
        </w:tc>
        <w:tc>
          <w:tcPr>
            <w:tcW w:w="0" w:type="dxa"/>
            <w:vAlign w:val="center"/>
          </w:tcPr>
          <w:p>
            <w:pPr>
              <w:spacing w:line="240" w:lineRule="auto"/>
              <w:jc w:val="left"/>
            </w:pPr>
            <w:r>
              <w:rPr>
                <w:rFonts w:ascii="宋体" w:eastAsia="宋体" w:hAnsi="宋体" w:cs="宋体"/>
                <w:b w:val="0"/>
              </w:rPr>
              <w:t>兴森科技</w:t>
            </w:r>
          </w:p>
        </w:tc>
        <w:tc>
          <w:tcPr>
            <w:tcW w:w="0" w:type="dxa"/>
            <w:vAlign w:val="center"/>
          </w:tcPr>
          <w:p>
            <w:pPr>
              <w:spacing w:line="240" w:lineRule="auto"/>
              <w:jc w:val="right"/>
            </w:pPr>
            <w:r>
              <w:rPr>
                <w:rFonts w:ascii="宋体" w:eastAsia="宋体" w:hAnsi="宋体" w:cs="宋体"/>
                <w:b w:val="0"/>
              </w:rPr>
              <w:t>509,000</w:t>
            </w:r>
          </w:p>
        </w:tc>
        <w:tc>
          <w:tcPr>
            <w:tcW w:w="0" w:type="dxa"/>
            <w:vAlign w:val="center"/>
          </w:tcPr>
          <w:p>
            <w:pPr>
              <w:spacing w:line="240" w:lineRule="auto"/>
              <w:jc w:val="right"/>
            </w:pPr>
            <w:r>
              <w:rPr>
                <w:rFonts w:ascii="宋体" w:eastAsia="宋体" w:hAnsi="宋体" w:cs="宋体"/>
                <w:b w:val="0"/>
              </w:rPr>
              <w:t>20,838,460.00</w:t>
            </w:r>
          </w:p>
        </w:tc>
        <w:tc>
          <w:tcPr>
            <w:tcW w:w="0" w:type="dxa"/>
            <w:vAlign w:val="center"/>
          </w:tcPr>
          <w:p>
            <w:pPr>
              <w:spacing w:line="240" w:lineRule="auto"/>
              <w:jc w:val="right"/>
            </w:pPr>
            <w:r>
              <w:rPr>
                <w:rFonts w:ascii="宋体" w:eastAsia="宋体" w:hAnsi="宋体" w:cs="宋体"/>
                <w:b w:val="0"/>
              </w:rPr>
              <w:t>9.41</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301021</w:t>
            </w:r>
          </w:p>
        </w:tc>
        <w:tc>
          <w:tcPr>
            <w:tcW w:w="0" w:type="dxa"/>
            <w:vAlign w:val="center"/>
          </w:tcPr>
          <w:p>
            <w:pPr>
              <w:spacing w:line="240" w:lineRule="auto"/>
              <w:jc w:val="left"/>
            </w:pPr>
            <w:r>
              <w:rPr>
                <w:rFonts w:ascii="宋体" w:eastAsia="宋体" w:hAnsi="宋体" w:cs="宋体"/>
                <w:b w:val="0"/>
              </w:rPr>
              <w:t>英诺激光</w:t>
            </w:r>
          </w:p>
        </w:tc>
        <w:tc>
          <w:tcPr>
            <w:tcW w:w="0" w:type="dxa"/>
            <w:vAlign w:val="center"/>
          </w:tcPr>
          <w:p>
            <w:pPr>
              <w:spacing w:line="240" w:lineRule="auto"/>
              <w:jc w:val="right"/>
            </w:pPr>
            <w:r>
              <w:rPr>
                <w:rFonts w:ascii="宋体" w:eastAsia="宋体" w:hAnsi="宋体" w:cs="宋体"/>
                <w:b w:val="0"/>
              </w:rPr>
              <w:t>255,800</w:t>
            </w:r>
          </w:p>
        </w:tc>
        <w:tc>
          <w:tcPr>
            <w:tcW w:w="0" w:type="dxa"/>
            <w:vAlign w:val="center"/>
          </w:tcPr>
          <w:p>
            <w:pPr>
              <w:spacing w:line="240" w:lineRule="auto"/>
              <w:jc w:val="right"/>
            </w:pPr>
            <w:r>
              <w:rPr>
                <w:rFonts w:ascii="宋体" w:eastAsia="宋体" w:hAnsi="宋体" w:cs="宋体"/>
                <w:b w:val="0"/>
              </w:rPr>
              <w:t>19,538,004.00</w:t>
            </w:r>
          </w:p>
        </w:tc>
        <w:tc>
          <w:tcPr>
            <w:tcW w:w="0" w:type="dxa"/>
            <w:vAlign w:val="center"/>
          </w:tcPr>
          <w:p>
            <w:pPr>
              <w:spacing w:line="240" w:lineRule="auto"/>
              <w:jc w:val="right"/>
            </w:pPr>
            <w:r>
              <w:rPr>
                <w:rFonts w:ascii="宋体" w:eastAsia="宋体" w:hAnsi="宋体" w:cs="宋体"/>
                <w:b w:val="0"/>
              </w:rPr>
              <w:t>8.82</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688515</w:t>
            </w:r>
          </w:p>
        </w:tc>
        <w:tc>
          <w:tcPr>
            <w:tcW w:w="0" w:type="dxa"/>
            <w:vAlign w:val="center"/>
          </w:tcPr>
          <w:p>
            <w:pPr>
              <w:spacing w:line="240" w:lineRule="auto"/>
              <w:jc w:val="left"/>
            </w:pPr>
            <w:r>
              <w:rPr>
                <w:rFonts w:ascii="宋体" w:eastAsia="宋体" w:hAnsi="宋体" w:cs="宋体"/>
                <w:b w:val="0"/>
              </w:rPr>
              <w:t>裕太微</w:t>
            </w:r>
          </w:p>
        </w:tc>
        <w:tc>
          <w:tcPr>
            <w:tcW w:w="0" w:type="dxa"/>
            <w:vAlign w:val="center"/>
          </w:tcPr>
          <w:p>
            <w:pPr>
              <w:spacing w:line="240" w:lineRule="auto"/>
              <w:jc w:val="right"/>
            </w:pPr>
            <w:r>
              <w:rPr>
                <w:rFonts w:ascii="宋体" w:eastAsia="宋体" w:hAnsi="宋体" w:cs="宋体"/>
                <w:b w:val="0"/>
              </w:rPr>
              <w:t>139,564</w:t>
            </w:r>
          </w:p>
        </w:tc>
        <w:tc>
          <w:tcPr>
            <w:tcW w:w="0" w:type="dxa"/>
            <w:vAlign w:val="center"/>
          </w:tcPr>
          <w:p>
            <w:pPr>
              <w:spacing w:line="240" w:lineRule="auto"/>
              <w:jc w:val="right"/>
            </w:pPr>
            <w:r>
              <w:rPr>
                <w:rFonts w:ascii="宋体" w:eastAsia="宋体" w:hAnsi="宋体" w:cs="宋体"/>
                <w:b w:val="0"/>
              </w:rPr>
              <w:t>19,201,215.12</w:t>
            </w:r>
          </w:p>
        </w:tc>
        <w:tc>
          <w:tcPr>
            <w:tcW w:w="0" w:type="dxa"/>
            <w:vAlign w:val="center"/>
          </w:tcPr>
          <w:p>
            <w:pPr>
              <w:spacing w:line="240" w:lineRule="auto"/>
              <w:jc w:val="right"/>
            </w:pPr>
            <w:r>
              <w:rPr>
                <w:rFonts w:ascii="宋体" w:eastAsia="宋体" w:hAnsi="宋体" w:cs="宋体"/>
                <w:b w:val="0"/>
              </w:rPr>
              <w:t>8.67</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300400</w:t>
            </w:r>
          </w:p>
        </w:tc>
        <w:tc>
          <w:tcPr>
            <w:tcW w:w="0" w:type="dxa"/>
            <w:vAlign w:val="center"/>
          </w:tcPr>
          <w:p>
            <w:pPr>
              <w:spacing w:line="240" w:lineRule="auto"/>
              <w:jc w:val="left"/>
            </w:pPr>
            <w:r>
              <w:rPr>
                <w:rFonts w:ascii="宋体" w:eastAsia="宋体" w:hAnsi="宋体" w:cs="宋体"/>
                <w:b w:val="0"/>
              </w:rPr>
              <w:t>劲拓股份</w:t>
            </w:r>
          </w:p>
        </w:tc>
        <w:tc>
          <w:tcPr>
            <w:tcW w:w="0" w:type="dxa"/>
            <w:vAlign w:val="center"/>
          </w:tcPr>
          <w:p>
            <w:pPr>
              <w:spacing w:line="240" w:lineRule="auto"/>
              <w:jc w:val="right"/>
            </w:pPr>
            <w:r>
              <w:rPr>
                <w:rFonts w:ascii="宋体" w:eastAsia="宋体" w:hAnsi="宋体" w:cs="宋体"/>
                <w:b w:val="0"/>
              </w:rPr>
              <w:t>580,000</w:t>
            </w:r>
          </w:p>
        </w:tc>
        <w:tc>
          <w:tcPr>
            <w:tcW w:w="0" w:type="dxa"/>
            <w:vAlign w:val="center"/>
          </w:tcPr>
          <w:p>
            <w:pPr>
              <w:spacing w:line="240" w:lineRule="auto"/>
              <w:jc w:val="right"/>
            </w:pPr>
            <w:r>
              <w:rPr>
                <w:rFonts w:ascii="宋体" w:eastAsia="宋体" w:hAnsi="宋体" w:cs="宋体"/>
                <w:b w:val="0"/>
              </w:rPr>
              <w:t>18,676,000.00</w:t>
            </w:r>
          </w:p>
        </w:tc>
        <w:tc>
          <w:tcPr>
            <w:tcW w:w="0" w:type="dxa"/>
            <w:vAlign w:val="center"/>
          </w:tcPr>
          <w:p>
            <w:pPr>
              <w:spacing w:line="240" w:lineRule="auto"/>
              <w:jc w:val="right"/>
            </w:pPr>
            <w:r>
              <w:rPr>
                <w:rFonts w:ascii="宋体" w:eastAsia="宋体" w:hAnsi="宋体" w:cs="宋体"/>
                <w:b w:val="0"/>
              </w:rPr>
              <w:t>8.43</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688777</w:t>
            </w:r>
          </w:p>
        </w:tc>
        <w:tc>
          <w:tcPr>
            <w:tcW w:w="0" w:type="dxa"/>
            <w:vAlign w:val="center"/>
          </w:tcPr>
          <w:p>
            <w:pPr>
              <w:spacing w:line="240" w:lineRule="auto"/>
              <w:jc w:val="left"/>
            </w:pPr>
            <w:r>
              <w:rPr>
                <w:rFonts w:ascii="宋体" w:eastAsia="宋体" w:hAnsi="宋体" w:cs="宋体"/>
                <w:b w:val="0"/>
              </w:rPr>
              <w:t>中控技术</w:t>
            </w:r>
          </w:p>
        </w:tc>
        <w:tc>
          <w:tcPr>
            <w:tcW w:w="0" w:type="dxa"/>
            <w:vAlign w:val="center"/>
          </w:tcPr>
          <w:p>
            <w:pPr>
              <w:spacing w:line="240" w:lineRule="auto"/>
              <w:jc w:val="right"/>
            </w:pPr>
            <w:r>
              <w:rPr>
                <w:rFonts w:ascii="宋体" w:eastAsia="宋体" w:hAnsi="宋体" w:cs="宋体"/>
                <w:b w:val="0"/>
              </w:rPr>
              <w:t>193,532</w:t>
            </w:r>
          </w:p>
        </w:tc>
        <w:tc>
          <w:tcPr>
            <w:tcW w:w="0" w:type="dxa"/>
            <w:vAlign w:val="center"/>
          </w:tcPr>
          <w:p>
            <w:pPr>
              <w:spacing w:line="240" w:lineRule="auto"/>
              <w:jc w:val="right"/>
            </w:pPr>
            <w:r>
              <w:rPr>
                <w:rFonts w:ascii="宋体" w:eastAsia="宋体" w:hAnsi="宋体" w:cs="宋体"/>
                <w:b w:val="0"/>
              </w:rPr>
              <w:t>15,492,236.60</w:t>
            </w:r>
          </w:p>
        </w:tc>
        <w:tc>
          <w:tcPr>
            <w:tcW w:w="0" w:type="dxa"/>
            <w:vAlign w:val="center"/>
          </w:tcPr>
          <w:p>
            <w:pPr>
              <w:spacing w:line="240" w:lineRule="auto"/>
              <w:jc w:val="right"/>
            </w:pPr>
            <w:r>
              <w:rPr>
                <w:rFonts w:ascii="宋体" w:eastAsia="宋体" w:hAnsi="宋体" w:cs="宋体"/>
                <w:b w:val="0"/>
              </w:rPr>
              <w:t>7.00</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02513</w:t>
            </w:r>
          </w:p>
        </w:tc>
        <w:tc>
          <w:tcPr>
            <w:tcW w:w="0" w:type="dxa"/>
            <w:vAlign w:val="center"/>
          </w:tcPr>
          <w:p>
            <w:pPr>
              <w:spacing w:line="240" w:lineRule="auto"/>
              <w:jc w:val="left"/>
            </w:pPr>
            <w:r>
              <w:rPr>
                <w:rFonts w:ascii="宋体" w:eastAsia="宋体" w:hAnsi="宋体" w:cs="宋体"/>
                <w:b w:val="0"/>
              </w:rPr>
              <w:t>智谱</w:t>
            </w:r>
          </w:p>
        </w:tc>
        <w:tc>
          <w:tcPr>
            <w:tcW w:w="0" w:type="dxa"/>
            <w:vAlign w:val="center"/>
          </w:tcPr>
          <w:p>
            <w:pPr>
              <w:spacing w:line="240" w:lineRule="auto"/>
              <w:jc w:val="right"/>
            </w:pPr>
            <w:r>
              <w:rPr>
                <w:rFonts w:ascii="宋体" w:eastAsia="宋体" w:hAnsi="宋体" w:cs="宋体"/>
                <w:b w:val="0"/>
              </w:rPr>
              <w:t>17,300</w:t>
            </w:r>
          </w:p>
        </w:tc>
        <w:tc>
          <w:tcPr>
            <w:tcW w:w="0" w:type="dxa"/>
            <w:vAlign w:val="center"/>
          </w:tcPr>
          <w:p>
            <w:pPr>
              <w:spacing w:line="240" w:lineRule="auto"/>
              <w:jc w:val="right"/>
            </w:pPr>
            <w:r>
              <w:rPr>
                <w:rFonts w:ascii="宋体" w:eastAsia="宋体" w:hAnsi="宋体" w:cs="宋体"/>
                <w:b w:val="0"/>
              </w:rPr>
              <w:t>9,519,276.91</w:t>
            </w:r>
          </w:p>
        </w:tc>
        <w:tc>
          <w:tcPr>
            <w:tcW w:w="0" w:type="dxa"/>
            <w:vAlign w:val="center"/>
          </w:tcPr>
          <w:p>
            <w:pPr>
              <w:spacing w:line="240" w:lineRule="auto"/>
              <w:jc w:val="right"/>
            </w:pPr>
            <w:r>
              <w:rPr>
                <w:rFonts w:ascii="宋体" w:eastAsia="宋体" w:hAnsi="宋体" w:cs="宋体"/>
                <w:b w:val="0"/>
              </w:rPr>
              <w:t>4.30</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001389</w:t>
            </w:r>
          </w:p>
        </w:tc>
        <w:tc>
          <w:tcPr>
            <w:tcW w:w="0" w:type="dxa"/>
            <w:vAlign w:val="center"/>
          </w:tcPr>
          <w:p>
            <w:pPr>
              <w:spacing w:line="240" w:lineRule="auto"/>
              <w:jc w:val="left"/>
            </w:pPr>
            <w:r>
              <w:rPr>
                <w:rFonts w:ascii="宋体" w:eastAsia="宋体" w:hAnsi="宋体" w:cs="宋体"/>
                <w:b w:val="0"/>
              </w:rPr>
              <w:t>广合科技</w:t>
            </w:r>
          </w:p>
        </w:tc>
        <w:tc>
          <w:tcPr>
            <w:tcW w:w="0" w:type="dxa"/>
            <w:vAlign w:val="center"/>
          </w:tcPr>
          <w:p>
            <w:pPr>
              <w:spacing w:line="240" w:lineRule="auto"/>
              <w:jc w:val="right"/>
            </w:pPr>
            <w:r>
              <w:rPr>
                <w:rFonts w:ascii="宋体" w:eastAsia="宋体" w:hAnsi="宋体" w:cs="宋体"/>
                <w:b w:val="0"/>
              </w:rPr>
              <w:t>41,000</w:t>
            </w:r>
          </w:p>
        </w:tc>
        <w:tc>
          <w:tcPr>
            <w:tcW w:w="0" w:type="dxa"/>
            <w:vAlign w:val="center"/>
          </w:tcPr>
          <w:p>
            <w:pPr>
              <w:spacing w:line="240" w:lineRule="auto"/>
              <w:jc w:val="right"/>
            </w:pPr>
            <w:r>
              <w:rPr>
                <w:rFonts w:ascii="宋体" w:eastAsia="宋体" w:hAnsi="宋体" w:cs="宋体"/>
                <w:b w:val="0"/>
              </w:rPr>
              <w:t>7,243,060.00</w:t>
            </w:r>
          </w:p>
        </w:tc>
        <w:tc>
          <w:tcPr>
            <w:tcW w:w="0" w:type="dxa"/>
            <w:vAlign w:val="center"/>
          </w:tcPr>
          <w:p>
            <w:pPr>
              <w:spacing w:line="240" w:lineRule="auto"/>
              <w:jc w:val="right"/>
            </w:pPr>
            <w:r>
              <w:rPr>
                <w:rFonts w:ascii="宋体" w:eastAsia="宋体" w:hAnsi="宋体" w:cs="宋体"/>
                <w:b w:val="0"/>
              </w:rPr>
              <w:t>3.27</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603259</w:t>
            </w:r>
          </w:p>
        </w:tc>
        <w:tc>
          <w:tcPr>
            <w:tcW w:w="0" w:type="dxa"/>
            <w:vAlign w:val="center"/>
          </w:tcPr>
          <w:p>
            <w:pPr>
              <w:spacing w:line="240" w:lineRule="auto"/>
              <w:jc w:val="left"/>
            </w:pPr>
            <w:r>
              <w:rPr>
                <w:rFonts w:ascii="宋体" w:eastAsia="宋体" w:hAnsi="宋体" w:cs="宋体"/>
                <w:b w:val="0"/>
              </w:rPr>
              <w:t>药明康德</w:t>
            </w:r>
          </w:p>
        </w:tc>
        <w:tc>
          <w:tcPr>
            <w:tcW w:w="0" w:type="dxa"/>
            <w:vAlign w:val="center"/>
          </w:tcPr>
          <w:p>
            <w:pPr>
              <w:spacing w:line="240" w:lineRule="auto"/>
              <w:jc w:val="right"/>
            </w:pPr>
            <w:r>
              <w:rPr>
                <w:rFonts w:ascii="宋体" w:eastAsia="宋体" w:hAnsi="宋体" w:cs="宋体"/>
                <w:b w:val="0"/>
              </w:rPr>
              <w:t>33,500</w:t>
            </w:r>
          </w:p>
        </w:tc>
        <w:tc>
          <w:tcPr>
            <w:tcW w:w="0" w:type="dxa"/>
            <w:vAlign w:val="center"/>
          </w:tcPr>
          <w:p>
            <w:pPr>
              <w:spacing w:line="240" w:lineRule="auto"/>
              <w:jc w:val="right"/>
            </w:pPr>
            <w:r>
              <w:rPr>
                <w:rFonts w:ascii="宋体" w:eastAsia="宋体" w:hAnsi="宋体" w:cs="宋体"/>
                <w:b w:val="0"/>
              </w:rPr>
              <w:t>5,605,890.00</w:t>
            </w:r>
          </w:p>
        </w:tc>
        <w:tc>
          <w:tcPr>
            <w:tcW w:w="0" w:type="dxa"/>
            <w:vAlign w:val="center"/>
          </w:tcPr>
          <w:p>
            <w:pPr>
              <w:spacing w:line="240" w:lineRule="auto"/>
              <w:jc w:val="right"/>
            </w:pPr>
            <w:r>
              <w:rPr>
                <w:rFonts w:ascii="宋体" w:eastAsia="宋体" w:hAnsi="宋体" w:cs="宋体"/>
                <w:b w:val="0"/>
              </w:rPr>
              <w:t>2.53</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002683</w:t>
            </w:r>
          </w:p>
        </w:tc>
        <w:tc>
          <w:tcPr>
            <w:tcW w:w="0" w:type="dxa"/>
            <w:vAlign w:val="center"/>
          </w:tcPr>
          <w:p>
            <w:pPr>
              <w:spacing w:line="240" w:lineRule="auto"/>
              <w:jc w:val="left"/>
            </w:pPr>
            <w:r>
              <w:rPr>
                <w:rFonts w:ascii="宋体" w:eastAsia="宋体" w:hAnsi="宋体" w:cs="宋体"/>
                <w:b w:val="0"/>
              </w:rPr>
              <w:t>广东宏大</w:t>
            </w:r>
          </w:p>
        </w:tc>
        <w:tc>
          <w:tcPr>
            <w:tcW w:w="0" w:type="dxa"/>
            <w:vAlign w:val="center"/>
          </w:tcPr>
          <w:p>
            <w:pPr>
              <w:spacing w:line="240" w:lineRule="auto"/>
              <w:jc w:val="right"/>
            </w:pPr>
            <w:r>
              <w:rPr>
                <w:rFonts w:ascii="宋体" w:eastAsia="宋体" w:hAnsi="宋体" w:cs="宋体"/>
                <w:b w:val="0"/>
              </w:rPr>
              <w:t>181,000</w:t>
            </w:r>
          </w:p>
        </w:tc>
        <w:tc>
          <w:tcPr>
            <w:tcW w:w="0" w:type="dxa"/>
            <w:vAlign w:val="center"/>
          </w:tcPr>
          <w:p>
            <w:pPr>
              <w:spacing w:line="240" w:lineRule="auto"/>
              <w:jc w:val="right"/>
            </w:pPr>
            <w:r>
              <w:rPr>
                <w:rFonts w:ascii="宋体" w:eastAsia="宋体" w:hAnsi="宋体" w:cs="宋体"/>
                <w:b w:val="0"/>
              </w:rPr>
              <w:t>5,042,660.00</w:t>
            </w:r>
          </w:p>
        </w:tc>
        <w:tc>
          <w:tcPr>
            <w:tcW w:w="0" w:type="dxa"/>
            <w:vAlign w:val="center"/>
          </w:tcPr>
          <w:p>
            <w:pPr>
              <w:spacing w:line="240" w:lineRule="auto"/>
              <w:jc w:val="right"/>
            </w:pPr>
            <w:r>
              <w:rPr>
                <w:rFonts w:ascii="宋体" w:eastAsia="宋体" w:hAnsi="宋体" w:cs="宋体"/>
                <w:b w:val="0"/>
              </w:rPr>
              <w:t>2.28</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13,057,159.51</w:t>
            </w:r>
          </w:p>
        </w:tc>
        <w:tc>
          <w:tcPr>
            <w:tcW w:w="0" w:type="dxa"/>
            <w:vAlign w:val="center"/>
          </w:tcPr>
          <w:p>
            <w:pPr>
              <w:spacing w:line="240" w:lineRule="auto"/>
              <w:jc w:val="right"/>
            </w:pPr>
            <w:r>
              <w:rPr>
                <w:rFonts w:ascii="宋体" w:eastAsia="宋体" w:hAnsi="宋体" w:cs="宋体"/>
                <w:b w:val="0"/>
              </w:rPr>
              <w:t>5.90</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13,057,159.51</w:t>
            </w:r>
          </w:p>
        </w:tc>
        <w:tc>
          <w:tcPr>
            <w:tcW w:w="0" w:type="dxa"/>
            <w:vAlign w:val="center"/>
          </w:tcPr>
          <w:p>
            <w:pPr>
              <w:spacing w:line="240" w:lineRule="auto"/>
              <w:jc w:val="right"/>
            </w:pPr>
            <w:r>
              <w:rPr>
                <w:rFonts w:ascii="宋体" w:eastAsia="宋体" w:hAnsi="宋体" w:cs="宋体"/>
                <w:b w:val="0"/>
              </w:rPr>
              <w:t>5.90</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019835</w:t>
            </w:r>
          </w:p>
        </w:tc>
        <w:tc>
          <w:tcPr>
            <w:tcW w:w="0" w:type="dxa"/>
            <w:vAlign w:val="center"/>
          </w:tcPr>
          <w:p>
            <w:pPr>
              <w:spacing w:line="240" w:lineRule="auto"/>
              <w:jc w:val="left"/>
            </w:pPr>
            <w:r>
              <w:rPr>
                <w:rFonts w:ascii="宋体" w:eastAsia="宋体" w:hAnsi="宋体" w:cs="宋体"/>
                <w:b w:val="0"/>
              </w:rPr>
              <w:t>26国债09</w:t>
            </w:r>
          </w:p>
        </w:tc>
        <w:tc>
          <w:tcPr>
            <w:tcW w:w="0" w:type="dxa"/>
            <w:vAlign w:val="center"/>
          </w:tcPr>
          <w:p>
            <w:pPr>
              <w:spacing w:line="240" w:lineRule="auto"/>
              <w:jc w:val="right"/>
            </w:pPr>
            <w:r>
              <w:rPr>
                <w:rFonts w:ascii="宋体" w:eastAsia="宋体" w:hAnsi="宋体" w:cs="宋体"/>
                <w:b w:val="0"/>
              </w:rPr>
              <w:t>122,000</w:t>
            </w:r>
          </w:p>
        </w:tc>
        <w:tc>
          <w:tcPr>
            <w:tcW w:w="0" w:type="dxa"/>
            <w:vAlign w:val="center"/>
          </w:tcPr>
          <w:p>
            <w:pPr>
              <w:spacing w:line="240" w:lineRule="auto"/>
              <w:jc w:val="right"/>
            </w:pPr>
            <w:r>
              <w:rPr>
                <w:rFonts w:ascii="宋体" w:eastAsia="宋体" w:hAnsi="宋体" w:cs="宋体"/>
                <w:b w:val="0"/>
              </w:rPr>
              <w:t>12,250,233.92</w:t>
            </w:r>
          </w:p>
        </w:tc>
        <w:tc>
          <w:tcPr>
            <w:tcW w:w="0" w:type="dxa"/>
            <w:vAlign w:val="center"/>
          </w:tcPr>
          <w:p>
            <w:pPr>
              <w:spacing w:line="240" w:lineRule="auto"/>
              <w:jc w:val="right"/>
            </w:pPr>
            <w:r>
              <w:rPr>
                <w:rFonts w:ascii="宋体" w:eastAsia="宋体" w:hAnsi="宋体" w:cs="宋体"/>
                <w:b w:val="0"/>
              </w:rPr>
              <w:t>5.53</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019827</w:t>
            </w:r>
          </w:p>
        </w:tc>
        <w:tc>
          <w:tcPr>
            <w:tcW w:w="0" w:type="dxa"/>
            <w:vAlign w:val="center"/>
          </w:tcPr>
          <w:p>
            <w:pPr>
              <w:spacing w:line="240" w:lineRule="auto"/>
              <w:jc w:val="left"/>
            </w:pPr>
            <w:r>
              <w:rPr>
                <w:rFonts w:ascii="宋体" w:eastAsia="宋体" w:hAnsi="宋体" w:cs="宋体"/>
                <w:b w:val="0"/>
              </w:rPr>
              <w:t>26国债01</w:t>
            </w:r>
          </w:p>
        </w:tc>
        <w:tc>
          <w:tcPr>
            <w:tcW w:w="0" w:type="dxa"/>
            <w:vAlign w:val="center"/>
          </w:tcPr>
          <w:p>
            <w:pPr>
              <w:spacing w:line="240" w:lineRule="auto"/>
              <w:jc w:val="right"/>
            </w:pPr>
            <w:r>
              <w:rPr>
                <w:rFonts w:ascii="宋体" w:eastAsia="宋体" w:hAnsi="宋体" w:cs="宋体"/>
                <w:b w:val="0"/>
              </w:rPr>
              <w:t>8,000</w:t>
            </w:r>
          </w:p>
        </w:tc>
        <w:tc>
          <w:tcPr>
            <w:tcW w:w="0" w:type="dxa"/>
            <w:vAlign w:val="center"/>
          </w:tcPr>
          <w:p>
            <w:pPr>
              <w:spacing w:line="240" w:lineRule="auto"/>
              <w:jc w:val="right"/>
            </w:pPr>
            <w:r>
              <w:rPr>
                <w:rFonts w:ascii="宋体" w:eastAsia="宋体" w:hAnsi="宋体" w:cs="宋体"/>
                <w:b w:val="0"/>
              </w:rPr>
              <w:t>806,925.59</w:t>
            </w:r>
          </w:p>
        </w:tc>
        <w:tc>
          <w:tcPr>
            <w:tcW w:w="0" w:type="dxa"/>
            <w:vAlign w:val="center"/>
          </w:tcPr>
          <w:p>
            <w:pPr>
              <w:spacing w:line="240" w:lineRule="auto"/>
              <w:jc w:val="right"/>
            </w:pPr>
            <w:r>
              <w:rPr>
                <w:rFonts w:ascii="宋体" w:eastAsia="宋体" w:hAnsi="宋体" w:cs="宋体"/>
                <w:b w:val="0"/>
              </w:rPr>
              <w:t>0.36</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中，深圳市劲拓自动化设备股份有限公司在报告编制日前一年内因违反《上市公司信息披露管理办法》被中国证券监督管理委员会深圳监管局要求责令改正。本基金对上述证券的投资决策程序符合相关法规及公司制度要求。</w:t>
        <w:br/>
      </w:r>
      <w:r>
        <w:rPr>
          <w:rFonts w:ascii="宋体" w:eastAsia="宋体" w:hAnsi="宋体" w:cs="宋体"/>
          <w:b w:val="0"/>
        </w:rPr>
        <w:t xml:space="preserve">    本基金投资前十名的其余证券的发行主体本期未出现被监管部门立案调查，或在报告编制日前一年内受到公开谴责、处罚的情形。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219,168.02</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219,168.02</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305"/>
        <w:gridCol w:w="1585"/>
        <w:gridCol w:w="1585"/>
        <w:gridCol w:w="158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850" w:type="pct"/>
            <w:vAlign w:val="center"/>
          </w:tcPr>
          <w:p>
            <w:pPr>
              <w:spacing w:line="240" w:lineRule="auto"/>
              <w:jc w:val="center"/>
            </w:pPr>
            <w:r>
              <w:rPr>
                <w:rFonts w:ascii="宋体" w:eastAsia="宋体" w:hAnsi="宋体" w:cs="宋体"/>
                <w:b w:val="0"/>
              </w:rPr>
              <w:t>东方阿尔法招阳混合A</w:t>
            </w:r>
          </w:p>
        </w:tc>
        <w:tc>
          <w:tcPr>
            <w:tcW w:w="850" w:type="pct"/>
            <w:vAlign w:val="center"/>
          </w:tcPr>
          <w:p>
            <w:pPr>
              <w:spacing w:line="240" w:lineRule="auto"/>
              <w:jc w:val="center"/>
            </w:pPr>
            <w:r>
              <w:rPr>
                <w:rFonts w:ascii="宋体" w:eastAsia="宋体" w:hAnsi="宋体" w:cs="宋体"/>
                <w:b w:val="0"/>
              </w:rPr>
              <w:t>东方阿尔法招阳混合C</w:t>
            </w:r>
          </w:p>
        </w:tc>
        <w:tc>
          <w:tcPr>
            <w:tcW w:w="850" w:type="pct"/>
            <w:vAlign w:val="center"/>
          </w:tcPr>
          <w:p>
            <w:pPr>
              <w:spacing w:line="240" w:lineRule="auto"/>
              <w:jc w:val="center"/>
            </w:pPr>
            <w:r>
              <w:rPr>
                <w:rFonts w:ascii="宋体" w:eastAsia="宋体" w:hAnsi="宋体" w:cs="宋体"/>
                <w:b w:val="0"/>
              </w:rPr>
              <w:t>东方阿尔法招阳混合E</w:t>
            </w:r>
          </w:p>
        </w:tc>
      </w:tr>
      <w:tr>
        <w:tblPrEx>
          <w:tblW w:w="5000" w:type="pct"/>
          <w:tblLayout w:type="fixed"/>
        </w:tblPrEx>
        <w:tc>
          <w:tcPr>
            <w:tcW w:w="2266" w:type="dxa"/>
            <w:vAlign w:val="center"/>
          </w:tcPr>
          <w:p>
            <w:pPr>
              <w:spacing w:line="240" w:lineRule="auto"/>
              <w:jc w:val="left"/>
            </w:pPr>
            <w:r>
              <w:rPr>
                <w:rFonts w:ascii="宋体" w:eastAsia="宋体" w:hAnsi="宋体" w:cs="宋体"/>
                <w:b w:val="0"/>
              </w:rPr>
              <w:t>报告期期初基金份额总额</w:t>
            </w:r>
          </w:p>
        </w:tc>
        <w:tc>
          <w:tcPr>
            <w:tcW w:w="850" w:type="pct"/>
            <w:vAlign w:val="center"/>
          </w:tcPr>
          <w:p>
            <w:pPr>
              <w:spacing w:line="240" w:lineRule="auto"/>
              <w:jc w:val="right"/>
            </w:pPr>
            <w:r>
              <w:rPr>
                <w:rFonts w:ascii="宋体" w:eastAsia="宋体" w:hAnsi="宋体" w:cs="宋体"/>
                <w:b w:val="0"/>
              </w:rPr>
              <w:t>519,365,994.76</w:t>
            </w:r>
          </w:p>
        </w:tc>
        <w:tc>
          <w:tcPr>
            <w:tcW w:w="850" w:type="pct"/>
            <w:vAlign w:val="center"/>
          </w:tcPr>
          <w:p>
            <w:pPr>
              <w:spacing w:line="240" w:lineRule="auto"/>
              <w:jc w:val="right"/>
            </w:pPr>
            <w:r>
              <w:rPr>
                <w:rFonts w:ascii="宋体" w:eastAsia="宋体" w:hAnsi="宋体" w:cs="宋体"/>
                <w:b w:val="0"/>
              </w:rPr>
              <w:t>10,050,926.15</w:t>
            </w:r>
          </w:p>
        </w:tc>
        <w:tc>
          <w:tcPr>
            <w:tcW w:w="850" w:type="pct"/>
            <w:vAlign w:val="center"/>
          </w:tcPr>
          <w:p>
            <w:pPr>
              <w:spacing w:line="240" w:lineRule="auto"/>
              <w:jc w:val="right"/>
            </w:pPr>
            <w:r>
              <w:rPr>
                <w:rFonts w:ascii="宋体" w:eastAsia="宋体" w:hAnsi="宋体" w:cs="宋体"/>
                <w:b w:val="0"/>
              </w:rPr>
              <w:t>37,355,957.63</w:t>
            </w:r>
          </w:p>
        </w:tc>
      </w:tr>
      <w:tr>
        <w:tblPrEx>
          <w:tblW w:w="5000" w:type="pct"/>
          <w:tblLayout w:type="fixed"/>
        </w:tblPrEx>
        <w:tc>
          <w:tcPr>
            <w:tcW w:w="2266" w:type="dxa"/>
            <w:vAlign w:val="center"/>
          </w:tcPr>
          <w:p>
            <w:pPr>
              <w:spacing w:line="240" w:lineRule="auto"/>
              <w:jc w:val="left"/>
            </w:pPr>
            <w:r>
              <w:rPr>
                <w:rFonts w:ascii="宋体" w:eastAsia="宋体" w:hAnsi="宋体" w:cs="宋体"/>
                <w:b w:val="0"/>
              </w:rPr>
              <w:t>报告期期间基金总申购份额</w:t>
            </w:r>
          </w:p>
        </w:tc>
        <w:tc>
          <w:tcPr>
            <w:tcW w:w="850" w:type="pct"/>
            <w:vAlign w:val="center"/>
          </w:tcPr>
          <w:p>
            <w:pPr>
              <w:spacing w:line="240" w:lineRule="auto"/>
              <w:jc w:val="right"/>
            </w:pPr>
            <w:r>
              <w:rPr>
                <w:rFonts w:ascii="宋体" w:eastAsia="宋体" w:hAnsi="宋体" w:cs="宋体"/>
                <w:b w:val="0"/>
              </w:rPr>
              <w:t>56,163,186.96</w:t>
            </w:r>
          </w:p>
        </w:tc>
        <w:tc>
          <w:tcPr>
            <w:tcW w:w="850" w:type="pct"/>
            <w:vAlign w:val="center"/>
          </w:tcPr>
          <w:p>
            <w:pPr>
              <w:spacing w:line="240" w:lineRule="auto"/>
              <w:jc w:val="right"/>
            </w:pPr>
            <w:r>
              <w:rPr>
                <w:rFonts w:ascii="宋体" w:eastAsia="宋体" w:hAnsi="宋体" w:cs="宋体"/>
                <w:b w:val="0"/>
              </w:rPr>
              <w:t>3,118,139.17</w:t>
            </w:r>
          </w:p>
        </w:tc>
        <w:tc>
          <w:tcPr>
            <w:tcW w:w="850" w:type="pct"/>
            <w:vAlign w:val="center"/>
          </w:tcPr>
          <w:p>
            <w:pPr>
              <w:spacing w:line="240" w:lineRule="auto"/>
              <w:jc w:val="right"/>
            </w:pPr>
            <w:r>
              <w:rPr>
                <w:rFonts w:ascii="宋体" w:eastAsia="宋体" w:hAnsi="宋体" w:cs="宋体"/>
                <w:b w:val="0"/>
              </w:rPr>
              <w:t>122,331,458.73</w:t>
            </w:r>
          </w:p>
        </w:tc>
      </w:tr>
      <w:tr>
        <w:tblPrEx>
          <w:tblW w:w="5000" w:type="pct"/>
          <w:tblLayout w:type="fixed"/>
        </w:tblPrEx>
        <w:tc>
          <w:tcPr>
            <w:tcW w:w="2266" w:type="dxa"/>
            <w:vAlign w:val="center"/>
          </w:tcPr>
          <w:p>
            <w:pPr>
              <w:spacing w:line="240" w:lineRule="auto"/>
              <w:jc w:val="left"/>
            </w:pPr>
            <w:r>
              <w:rPr>
                <w:rFonts w:ascii="宋体" w:eastAsia="宋体" w:hAnsi="宋体" w:cs="宋体"/>
                <w:b w:val="0"/>
              </w:rPr>
              <w:t>减：报告期期间基金总赎回份额</w:t>
            </w:r>
          </w:p>
        </w:tc>
        <w:tc>
          <w:tcPr>
            <w:tcW w:w="850" w:type="pct"/>
            <w:vAlign w:val="center"/>
          </w:tcPr>
          <w:p>
            <w:pPr>
              <w:spacing w:line="240" w:lineRule="auto"/>
              <w:jc w:val="right"/>
            </w:pPr>
            <w:r>
              <w:rPr>
                <w:rFonts w:ascii="宋体" w:eastAsia="宋体" w:hAnsi="宋体" w:cs="宋体"/>
                <w:b w:val="0"/>
              </w:rPr>
              <w:t>22,038,092.62</w:t>
            </w:r>
          </w:p>
        </w:tc>
        <w:tc>
          <w:tcPr>
            <w:tcW w:w="850" w:type="pct"/>
            <w:vAlign w:val="center"/>
          </w:tcPr>
          <w:p>
            <w:pPr>
              <w:spacing w:line="240" w:lineRule="auto"/>
              <w:jc w:val="right"/>
            </w:pPr>
            <w:r>
              <w:rPr>
                <w:rFonts w:ascii="宋体" w:eastAsia="宋体" w:hAnsi="宋体" w:cs="宋体"/>
                <w:b w:val="0"/>
              </w:rPr>
              <w:t>2,167,640.35</w:t>
            </w:r>
          </w:p>
        </w:tc>
        <w:tc>
          <w:tcPr>
            <w:tcW w:w="850" w:type="pct"/>
            <w:vAlign w:val="center"/>
          </w:tcPr>
          <w:p>
            <w:pPr>
              <w:spacing w:line="240" w:lineRule="auto"/>
              <w:jc w:val="right"/>
            </w:pPr>
            <w:r>
              <w:rPr>
                <w:rFonts w:ascii="宋体" w:eastAsia="宋体" w:hAnsi="宋体" w:cs="宋体"/>
                <w:b w:val="0"/>
              </w:rPr>
              <w:t>110,233,783.56</w:t>
            </w:r>
          </w:p>
        </w:tc>
      </w:tr>
      <w:tr>
        <w:tblPrEx>
          <w:tblW w:w="5000" w:type="pct"/>
          <w:tblLayout w:type="fixed"/>
        </w:tblPrEx>
        <w:tc>
          <w:tcPr>
            <w:tcW w:w="2266" w:type="dxa"/>
            <w:vAlign w:val="center"/>
          </w:tcPr>
          <w:p>
            <w:pPr>
              <w:spacing w:line="240" w:lineRule="auto"/>
              <w:jc w:val="left"/>
            </w:pPr>
            <w:r>
              <w:rPr>
                <w:rFonts w:ascii="宋体" w:eastAsia="宋体" w:hAnsi="宋体" w:cs="宋体"/>
                <w:b w:val="0"/>
              </w:rPr>
              <w:t>报告期期间基金拆分变动份额（份额减少以“-”填列）</w:t>
            </w:r>
          </w:p>
        </w:tc>
        <w:tc>
          <w:tcPr>
            <w:tcW w:w="850" w:type="pct"/>
            <w:vAlign w:val="center"/>
          </w:tcPr>
          <w:p>
            <w:pPr>
              <w:spacing w:line="240" w:lineRule="auto"/>
              <w:jc w:val="right"/>
            </w:pPr>
            <w:r>
              <w:rPr>
                <w:rFonts w:ascii="宋体" w:eastAsia="宋体" w:hAnsi="宋体" w:cs="宋体"/>
                <w:b w:val="0"/>
              </w:rPr>
              <w:t>-</w:t>
            </w:r>
          </w:p>
        </w:tc>
        <w:tc>
          <w:tcPr>
            <w:tcW w:w="850" w:type="pct"/>
            <w:vAlign w:val="center"/>
          </w:tcPr>
          <w:p>
            <w:pPr>
              <w:spacing w:line="240" w:lineRule="auto"/>
              <w:jc w:val="right"/>
            </w:pPr>
            <w:r>
              <w:rPr>
                <w:rFonts w:ascii="宋体" w:eastAsia="宋体" w:hAnsi="宋体" w:cs="宋体"/>
                <w:b w:val="0"/>
              </w:rPr>
              <w:t>-</w:t>
            </w:r>
          </w:p>
        </w:tc>
        <w:tc>
          <w:tcPr>
            <w:tcW w:w="8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2266" w:type="dxa"/>
            <w:vAlign w:val="center"/>
          </w:tcPr>
          <w:p>
            <w:pPr>
              <w:spacing w:line="240" w:lineRule="auto"/>
              <w:jc w:val="left"/>
            </w:pPr>
            <w:r>
              <w:rPr>
                <w:rFonts w:ascii="宋体" w:eastAsia="宋体" w:hAnsi="宋体" w:cs="宋体"/>
                <w:b w:val="0"/>
              </w:rPr>
              <w:t>报告期期末基金份额总额</w:t>
            </w:r>
          </w:p>
        </w:tc>
        <w:tc>
          <w:tcPr>
            <w:tcW w:w="850" w:type="pct"/>
            <w:vAlign w:val="center"/>
          </w:tcPr>
          <w:p>
            <w:pPr>
              <w:spacing w:line="240" w:lineRule="auto"/>
              <w:jc w:val="right"/>
            </w:pPr>
            <w:r>
              <w:rPr>
                <w:rFonts w:ascii="宋体" w:eastAsia="宋体" w:hAnsi="宋体" w:cs="宋体"/>
                <w:b w:val="0"/>
              </w:rPr>
              <w:t>553,491,089.10</w:t>
            </w:r>
          </w:p>
        </w:tc>
        <w:tc>
          <w:tcPr>
            <w:tcW w:w="850" w:type="pct"/>
            <w:vAlign w:val="center"/>
          </w:tcPr>
          <w:p>
            <w:pPr>
              <w:spacing w:line="240" w:lineRule="auto"/>
              <w:jc w:val="right"/>
            </w:pPr>
            <w:r>
              <w:rPr>
                <w:rFonts w:ascii="宋体" w:eastAsia="宋体" w:hAnsi="宋体" w:cs="宋体"/>
                <w:b w:val="0"/>
              </w:rPr>
              <w:t>11,001,424.97</w:t>
            </w:r>
          </w:p>
        </w:tc>
        <w:tc>
          <w:tcPr>
            <w:tcW w:w="850" w:type="pct"/>
            <w:vAlign w:val="center"/>
          </w:tcPr>
          <w:p>
            <w:pPr>
              <w:spacing w:line="240" w:lineRule="auto"/>
              <w:jc w:val="right"/>
            </w:pPr>
            <w:r>
              <w:rPr>
                <w:rFonts w:ascii="宋体" w:eastAsia="宋体" w:hAnsi="宋体" w:cs="宋体"/>
                <w:b w:val="0"/>
              </w:rPr>
              <w:t>49,453,632.80</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r>
        <w:rPr>
          <w:rFonts w:ascii="宋体" w:eastAsia="宋体" w:hAnsi="宋体" w:cs="宋体"/>
          <w:b w:val="0"/>
        </w:rPr>
        <w:t xml:space="preserve">    截至本报告期末，本基金管理人未持有本基金份额。</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影响投资者决策的其他重要信息</w:t>
      </w:r>
    </w:p>
    <w:p>
      <w:pPr>
        <w:pStyle w:val="Heading2"/>
        <w:jc w:val="left"/>
      </w:pPr>
      <w:r>
        <w:rPr>
          <w:rFonts w:ascii="宋体" w:eastAsia="宋体" w:hAnsi="宋体" w:cs="宋体"/>
        </w:rPr>
        <w:t>8.1 报告期内单一投资者持有基金份额比例达到或超过20%的情况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133"/>
        <w:gridCol w:w="1133"/>
        <w:gridCol w:w="1133"/>
        <w:gridCol w:w="1133"/>
        <w:gridCol w:w="1133"/>
        <w:gridCol w:w="1133"/>
        <w:gridCol w:w="1133"/>
        <w:gridCol w:w="113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 w:type="pct"/>
            <w:vMerge w:val="restart"/>
            <w:shd w:val="clear" w:color="auto" w:fill="D9D9D9"/>
            <w:vAlign w:val="center"/>
          </w:tcPr>
          <w:p>
            <w:pPr>
              <w:spacing w:line="240" w:lineRule="auto"/>
              <w:jc w:val="center"/>
            </w:pPr>
            <w:r>
              <w:rPr>
                <w:rFonts w:ascii="宋体" w:eastAsia="宋体" w:hAnsi="宋体" w:cs="宋体"/>
                <w:b w:val="0"/>
              </w:rPr>
              <w:t>投资者类别</w:t>
            </w:r>
          </w:p>
        </w:tc>
        <w:tc>
          <w:tcPr>
            <w:tcW w:w="3192" w:type="pct"/>
            <w:gridSpan w:val="5"/>
            <w:shd w:val="clear" w:color="auto" w:fill="D9D9D9"/>
            <w:vAlign w:val="center"/>
          </w:tcPr>
          <w:p>
            <w:pPr>
              <w:spacing w:line="240" w:lineRule="auto"/>
              <w:jc w:val="center"/>
            </w:pPr>
            <w:r>
              <w:rPr>
                <w:rFonts w:ascii="宋体" w:eastAsia="宋体" w:hAnsi="宋体" w:cs="宋体"/>
                <w:b w:val="0"/>
              </w:rPr>
              <w:t>报告期内持有基金份额变化情况</w:t>
            </w:r>
          </w:p>
        </w:tc>
        <w:tc>
          <w:tcPr>
            <w:tcW w:w="1154" w:type="pct"/>
            <w:gridSpan w:val="2"/>
            <w:shd w:val="clear" w:color="auto" w:fill="D9D9D9"/>
            <w:vAlign w:val="center"/>
          </w:tcPr>
          <w:p>
            <w:pPr>
              <w:spacing w:line="240" w:lineRule="auto"/>
              <w:jc w:val="center"/>
            </w:pPr>
            <w:r>
              <w:rPr>
                <w:rFonts w:ascii="宋体" w:eastAsia="宋体" w:hAnsi="宋体" w:cs="宋体"/>
                <w:b w:val="0"/>
              </w:rPr>
              <w:t>报告期末持有基金情况</w:t>
            </w:r>
          </w:p>
        </w:tc>
      </w:tr>
      <w:tr>
        <w:tblPrEx>
          <w:tblW w:w="5000" w:type="pct"/>
        </w:tblPrEx>
        <w:tc>
          <w:tcPr>
            <w:vMerge/>
          </w:tcPr>
          <w:p/>
        </w:tc>
        <w:tc>
          <w:tcPr>
            <w:tcW w:w="269" w:type="pct"/>
            <w:shd w:val="clear" w:color="auto" w:fill="D9D9D9"/>
            <w:vAlign w:val="center"/>
          </w:tcPr>
          <w:p>
            <w:pPr>
              <w:spacing w:line="240" w:lineRule="auto"/>
              <w:jc w:val="center"/>
            </w:pPr>
            <w:r>
              <w:rPr>
                <w:rFonts w:ascii="宋体" w:eastAsia="宋体" w:hAnsi="宋体" w:cs="宋体"/>
                <w:b w:val="0"/>
              </w:rPr>
              <w:t>序号</w:t>
            </w:r>
          </w:p>
        </w:tc>
        <w:tc>
          <w:tcPr>
            <w:tcW w:w="1346" w:type="pct"/>
            <w:shd w:val="clear" w:color="auto" w:fill="D9D9D9"/>
            <w:vAlign w:val="center"/>
          </w:tcPr>
          <w:p>
            <w:pPr>
              <w:spacing w:line="240" w:lineRule="auto"/>
              <w:jc w:val="center"/>
            </w:pPr>
            <w:r>
              <w:rPr>
                <w:rFonts w:ascii="宋体" w:eastAsia="宋体" w:hAnsi="宋体" w:cs="宋体"/>
                <w:b w:val="0"/>
              </w:rPr>
              <w:t>持有基金份额比例达到或者超过20%的时间区间</w:t>
            </w:r>
          </w:p>
        </w:tc>
        <w:tc>
          <w:tcPr>
            <w:tcW w:w="615" w:type="pct"/>
            <w:shd w:val="clear" w:color="auto" w:fill="D9D9D9"/>
            <w:vAlign w:val="center"/>
          </w:tcPr>
          <w:p>
            <w:pPr>
              <w:spacing w:line="240" w:lineRule="auto"/>
              <w:jc w:val="center"/>
            </w:pPr>
            <w:r>
              <w:rPr>
                <w:rFonts w:ascii="宋体" w:eastAsia="宋体" w:hAnsi="宋体" w:cs="宋体"/>
                <w:b w:val="0"/>
              </w:rPr>
              <w:t>期初份额</w:t>
            </w:r>
          </w:p>
        </w:tc>
        <w:tc>
          <w:tcPr>
            <w:tcW w:w="615" w:type="pct"/>
            <w:shd w:val="clear" w:color="auto" w:fill="D9D9D9"/>
            <w:vAlign w:val="center"/>
          </w:tcPr>
          <w:p>
            <w:pPr>
              <w:spacing w:line="240" w:lineRule="auto"/>
              <w:jc w:val="center"/>
            </w:pPr>
            <w:r>
              <w:rPr>
                <w:rFonts w:ascii="宋体" w:eastAsia="宋体" w:hAnsi="宋体" w:cs="宋体"/>
                <w:b w:val="0"/>
              </w:rPr>
              <w:t>申购份额</w:t>
            </w:r>
          </w:p>
        </w:tc>
        <w:tc>
          <w:tcPr>
            <w:tcW w:w="615" w:type="pct"/>
            <w:shd w:val="clear" w:color="auto" w:fill="D9D9D9"/>
            <w:vAlign w:val="center"/>
          </w:tcPr>
          <w:p>
            <w:pPr>
              <w:spacing w:line="240" w:lineRule="auto"/>
              <w:jc w:val="center"/>
            </w:pPr>
            <w:r>
              <w:rPr>
                <w:rFonts w:ascii="宋体" w:eastAsia="宋体" w:hAnsi="宋体" w:cs="宋体"/>
                <w:b w:val="0"/>
              </w:rPr>
              <w:t>赎回份额</w:t>
            </w:r>
          </w:p>
        </w:tc>
        <w:tc>
          <w:tcPr>
            <w:tcW w:w="615" w:type="pct"/>
            <w:shd w:val="clear" w:color="auto" w:fill="D9D9D9"/>
            <w:vAlign w:val="center"/>
          </w:tcPr>
          <w:p>
            <w:pPr>
              <w:spacing w:line="240" w:lineRule="auto"/>
              <w:jc w:val="center"/>
            </w:pPr>
            <w:r>
              <w:rPr>
                <w:rFonts w:ascii="宋体" w:eastAsia="宋体" w:hAnsi="宋体" w:cs="宋体"/>
                <w:b w:val="0"/>
              </w:rPr>
              <w:t>持有份额</w:t>
            </w:r>
          </w:p>
        </w:tc>
        <w:tc>
          <w:tcPr>
            <w:tcW w:w="538" w:type="pct"/>
            <w:shd w:val="clear" w:color="auto" w:fill="D9D9D9"/>
            <w:vAlign w:val="center"/>
          </w:tcPr>
          <w:p>
            <w:pPr>
              <w:spacing w:line="240" w:lineRule="auto"/>
              <w:jc w:val="center"/>
            </w:pPr>
            <w:r>
              <w:rPr>
                <w:rFonts w:ascii="宋体" w:eastAsia="宋体" w:hAnsi="宋体" w:cs="宋体"/>
                <w:b w:val="0"/>
              </w:rPr>
              <w:t>份额占比</w:t>
            </w:r>
          </w:p>
        </w:tc>
      </w:tr>
      <w:tr>
        <w:tblPrEx>
          <w:tblW w:w="5000" w:type="pct"/>
        </w:tblPrEx>
        <w:tc>
          <w:tcPr>
            <w:tcW w:w="0" w:type="dxa"/>
            <w:vMerge w:val="restart"/>
            <w:vAlign w:val="center"/>
          </w:tcPr>
          <w:p>
            <w:pPr>
              <w:spacing w:line="240" w:lineRule="auto"/>
              <w:jc w:val="center"/>
            </w:pPr>
            <w:r>
              <w:rPr>
                <w:rFonts w:ascii="宋体" w:eastAsia="宋体" w:hAnsi="宋体" w:cs="宋体"/>
                <w:b w:val="0"/>
              </w:rPr>
              <w:t>个人</w:t>
            </w:r>
          </w:p>
        </w:tc>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center"/>
            </w:pPr>
            <w:r>
              <w:rPr>
                <w:rFonts w:ascii="宋体" w:eastAsia="宋体" w:hAnsi="宋体" w:cs="宋体"/>
                <w:b w:val="0"/>
              </w:rPr>
              <w:t>2026年07月01日-2026年09月30日</w:t>
            </w:r>
          </w:p>
        </w:tc>
        <w:tc>
          <w:tcPr>
            <w:tcW w:w="0" w:type="dxa"/>
            <w:vAlign w:val="center"/>
          </w:tcPr>
          <w:p>
            <w:pPr>
              <w:spacing w:line="240" w:lineRule="auto"/>
              <w:jc w:val="right"/>
            </w:pPr>
            <w:r>
              <w:rPr>
                <w:rFonts w:ascii="宋体" w:eastAsia="宋体" w:hAnsi="宋体" w:cs="宋体"/>
                <w:b w:val="0"/>
              </w:rPr>
              <w:t>200,020,500.00</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200,020,500.00</w:t>
            </w:r>
          </w:p>
        </w:tc>
        <w:tc>
          <w:tcPr>
            <w:tcW w:w="0" w:type="dxa"/>
            <w:vAlign w:val="center"/>
          </w:tcPr>
          <w:p>
            <w:pPr>
              <w:spacing w:line="240" w:lineRule="auto"/>
              <w:jc w:val="right"/>
            </w:pPr>
            <w:r>
              <w:rPr>
                <w:rFonts w:ascii="宋体" w:eastAsia="宋体" w:hAnsi="宋体" w:cs="宋体"/>
                <w:b w:val="0"/>
              </w:rPr>
              <w:t>32.58%</w:t>
            </w:r>
          </w:p>
        </w:tc>
      </w:tr>
      <w:tr>
        <w:tblPrEx>
          <w:tblW w:w="5000" w:type="pct"/>
        </w:tblPrEx>
        <w:tc>
          <w:tcPr>
            <w:vMerge/>
          </w:tcPr>
          <w:p/>
        </w:tc>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center"/>
            </w:pPr>
            <w:r>
              <w:rPr>
                <w:rFonts w:ascii="宋体" w:eastAsia="宋体" w:hAnsi="宋体" w:cs="宋体"/>
                <w:b w:val="0"/>
              </w:rPr>
              <w:t>2026年07月01日-2026年09月30日</w:t>
            </w:r>
          </w:p>
        </w:tc>
        <w:tc>
          <w:tcPr>
            <w:tcW w:w="0" w:type="dxa"/>
            <w:vAlign w:val="center"/>
          </w:tcPr>
          <w:p>
            <w:pPr>
              <w:spacing w:line="240" w:lineRule="auto"/>
              <w:jc w:val="right"/>
            </w:pPr>
            <w:r>
              <w:rPr>
                <w:rFonts w:ascii="宋体" w:eastAsia="宋体" w:hAnsi="宋体" w:cs="宋体"/>
                <w:b w:val="0"/>
              </w:rPr>
              <w:t>200,038,500.00</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200,038,500.00</w:t>
            </w:r>
          </w:p>
        </w:tc>
        <w:tc>
          <w:tcPr>
            <w:tcW w:w="0" w:type="dxa"/>
            <w:vAlign w:val="center"/>
          </w:tcPr>
          <w:p>
            <w:pPr>
              <w:spacing w:line="240" w:lineRule="auto"/>
              <w:jc w:val="right"/>
            </w:pPr>
            <w:r>
              <w:rPr>
                <w:rFonts w:ascii="宋体" w:eastAsia="宋体" w:hAnsi="宋体" w:cs="宋体"/>
                <w:b w:val="0"/>
              </w:rPr>
              <w:t>32.58%</w:t>
            </w:r>
          </w:p>
        </w:tc>
      </w:tr>
      <w:tr>
        <w:tblPrEx>
          <w:tblW w:w="5000" w:type="pct"/>
        </w:tblPrEx>
        <w:tc>
          <w:tcPr>
            <w:tcW w:w="0" w:type="dxa"/>
            <w:gridSpan w:val="8"/>
            <w:vAlign w:val="center"/>
          </w:tcPr>
          <w:p>
            <w:pPr>
              <w:spacing w:line="240" w:lineRule="auto"/>
              <w:jc w:val="center"/>
            </w:pPr>
            <w:r>
              <w:rPr>
                <w:rFonts w:ascii="宋体" w:eastAsia="宋体" w:hAnsi="宋体" w:cs="宋体"/>
                <w:b w:val="0"/>
              </w:rPr>
              <w:t>产品特有风险</w:t>
            </w:r>
          </w:p>
        </w:tc>
      </w:tr>
      <w:tr>
        <w:tblPrEx>
          <w:tblW w:w="5000" w:type="pct"/>
        </w:tblPrEx>
        <w:tc>
          <w:tcPr>
            <w:tcW w:w="0" w:type="dxa"/>
            <w:gridSpan w:val="8"/>
            <w:vAlign w:val="center"/>
          </w:tcPr>
          <w:p>
            <w:pPr>
              <w:spacing w:line="240" w:lineRule="auto"/>
              <w:jc w:val="left"/>
            </w:pPr>
            <w:r>
              <w:rPr>
                <w:rFonts w:ascii="宋体" w:eastAsia="宋体" w:hAnsi="宋体" w:cs="宋体"/>
                <w:b w:val="0"/>
              </w:rPr>
              <w:t xml:space="preserve">    基金管理人秉承谨慎勤勉、独立决策、规范运作、充分披露原则，公平对待投资者，保障投资者合法权益。当单一投资者持有基金份额比例达到或超过20%时，由此可能导致的特有风险主要包括：</w:t>
              <w:br/>
            </w:r>
            <w:r>
              <w:rPr>
                <w:rFonts w:ascii="宋体" w:eastAsia="宋体" w:hAnsi="宋体" w:cs="宋体"/>
                <w:b w:val="0"/>
              </w:rPr>
              <w:t xml:space="preserve">    1、本基金单一投资者所持有的基金份额占比较大，单一投资者的巨额赎回，可能导致基金管理人被迫抛售证券以应付基金赎回的现金需要，对本基金的投资运作及净值表现产生较大影响。</w:t>
              <w:br/>
            </w:r>
            <w:r>
              <w:rPr>
                <w:rFonts w:ascii="宋体" w:eastAsia="宋体" w:hAnsi="宋体" w:cs="宋体"/>
                <w:b w:val="0"/>
              </w:rPr>
              <w:t xml:space="preserve">    2、持有基金份额占比较高的投资者大额赎回时容易造成本基金发生巨额赎回。在发生巨额赎回情形时，在符合基金合同约定情况下，如基金管理人认为有必要，可延期办理本基金的赎回申请，投资者可能面临赎回申请被延期办理的风险；如果连续2个开放日以上（含）发生巨额赎回，基金管理人可能根据《基金合同》的约定暂停接受基金的赎回申请，对剩余投资者的赎回办理造成影响。</w:t>
              <w:br/>
            </w:r>
            <w:r>
              <w:rPr>
                <w:rFonts w:ascii="宋体" w:eastAsia="宋体" w:hAnsi="宋体" w:cs="宋体"/>
                <w:b w:val="0"/>
              </w:rPr>
              <w:t xml:space="preserve">    3、单一投资者巨额赎回可能导致本基金在短时间内无法变现足够的资产予以应对，可能会导致基金仓位调整困难，发生流动性风险。</w:t>
              <w:br/>
            </w:r>
            <w:r>
              <w:rPr>
                <w:rFonts w:ascii="宋体" w:eastAsia="宋体" w:hAnsi="宋体" w:cs="宋体"/>
                <w:b w:val="0"/>
              </w:rPr>
              <w:t xml:space="preserve">    4、持有基金份额占比较高的投资者在召开基金份额持有人大会并对重大事项进行投票表决时，可能拥有较大话语权。</w:t>
              <w:br/>
            </w:r>
            <w:r>
              <w:rPr>
                <w:rFonts w:ascii="宋体" w:eastAsia="宋体" w:hAnsi="宋体" w:cs="宋体"/>
                <w:b w:val="0"/>
              </w:rPr>
              <w:t xml:space="preserve">    5、超出基金管理人允许的单一投资者持有基金份额比例的申购申请不被确认的风险。</w:t>
            </w:r>
          </w:p>
        </w:tc>
      </w:tr>
    </w:tbl>
    <w:p/>
    <w:p>
      <w:pPr>
        <w:pStyle w:val="Heading2"/>
        <w:jc w:val="left"/>
      </w:pPr>
      <w:r>
        <w:rPr>
          <w:rFonts w:ascii="宋体" w:eastAsia="宋体" w:hAnsi="宋体" w:cs="宋体"/>
        </w:rPr>
        <w:t>8.2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§9 备查文件目录</w:t>
      </w:r>
    </w:p>
    <w:p>
      <w:pPr>
        <w:pStyle w:val="Heading2"/>
        <w:jc w:val="left"/>
      </w:pPr>
      <w:r>
        <w:rPr>
          <w:rFonts w:ascii="宋体" w:eastAsia="宋体" w:hAnsi="宋体" w:cs="宋体"/>
        </w:rPr>
        <w:t>9.1 备查文件目录</w:t>
      </w:r>
    </w:p>
    <w:p>
      <w:r>
        <w:rPr>
          <w:rFonts w:ascii="宋体" w:eastAsia="宋体" w:hAnsi="宋体" w:cs="宋体"/>
          <w:b w:val="0"/>
        </w:rPr>
        <w:t xml:space="preserve">    1、中国证券监督管理委员会批准的东方阿尔法招阳混合型证券投资基金设立的文件；</w:t>
        <w:br/>
      </w:r>
      <w:r>
        <w:rPr>
          <w:rFonts w:ascii="宋体" w:eastAsia="宋体" w:hAnsi="宋体" w:cs="宋体"/>
          <w:b w:val="0"/>
        </w:rPr>
        <w:t xml:space="preserve">    2、《东方阿尔法招阳混合型证券投资基金基金合同》；</w:t>
        <w:br/>
      </w:r>
      <w:r>
        <w:rPr>
          <w:rFonts w:ascii="宋体" w:eastAsia="宋体" w:hAnsi="宋体" w:cs="宋体"/>
          <w:b w:val="0"/>
        </w:rPr>
        <w:t xml:space="preserve">    3、《东方阿尔法招阳混合型证券投资基金托管协议》；</w:t>
        <w:br/>
      </w:r>
      <w:r>
        <w:rPr>
          <w:rFonts w:ascii="宋体" w:eastAsia="宋体" w:hAnsi="宋体" w:cs="宋体"/>
          <w:b w:val="0"/>
        </w:rPr>
        <w:t xml:space="preserve">    4、《东方阿尔法招阳混合型证券投资基金招募说明书》（含更新）；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9.2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9.3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9"/>
      <w:headerReference w:type="default" r:id="rId10"/>
      <w:footerReference w:type="even" r:id="rId11"/>
      <w:footerReference w:type="default" r:id="rId12"/>
      <w:headerReference w:type="first" r:id="rId13"/>
      <w:footerReference w:type="first" r:id="rId14"/>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东方阿尔法招阳混合型证券投资基金2026年第3季度报告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image" Target="media/image3.jpeg" /><Relationship Id="rId9" Type="http://schemas.openxmlformats.org/officeDocument/2006/relationships/header" Target="head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朱燕婷</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