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东方阿尔法医疗健康混合型发起式证券投资基金</w:t>
      </w: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2026年第3季度报告</w:t>
      </w:r>
    </w:p>
    <w:p>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2026年09月30日</w:t>
      </w: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招商银行股份有限公司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2026年10月26日</w:t>
      </w:r>
    </w:p>
    <w:p>
      <w:pPr>
        <w:jc w:val="center"/>
      </w:pPr>
      <w:r>
        <w:br w:type="page"/>
      </w:r>
    </w:p>
    <w:p>
      <w:pPr>
        <w:pStyle w:val="2"/>
        <w:spacing w:line="576" w:lineRule="auto"/>
        <w:jc w:val="center"/>
        <w:rPr>
          <w:rFonts w:ascii="宋体" w:hAnsi="宋体" w:eastAsia="宋体"/>
          <w:sz w:val="24"/>
          <w:szCs w:val="24"/>
        </w:rPr>
      </w:pPr>
      <w:bookmarkStart w:id="0" w:name="_Toc73379713"/>
      <w:r>
        <w:rPr>
          <w:rFonts w:hint="eastAsia" w:ascii="宋体" w:hAnsi="宋体" w:eastAsia="宋体"/>
          <w:bCs w:val="0"/>
          <w:sz w:val="24"/>
          <w:szCs w:val="24"/>
        </w:rPr>
        <w:t>§1 重要提示</w:t>
      </w:r>
      <w:bookmarkEnd w:id="0"/>
    </w:p>
    <w:p>
      <w:pPr>
        <w:widowControl/>
        <w:rPr>
          <w:rFonts w:ascii="宋体" w:hAnsi="宋体" w:eastAsia="宋体"/>
        </w:rPr>
      </w:pPr>
      <w:r>
        <w:t xml:space="preserve">    基金管理人的董事会及董事保证本报告所载资料不存在虚假记载、误导性陈述或重大遗漏，并对其内容的真实性、准确性和完整性承担个别及连带责任。</w:t>
      </w:r>
      <w:r>
        <w:cr/>
      </w:r>
      <w:r>
        <w:t xml:space="preserve">    基金托管人招商银行股份有限公司根据本基金合同规定，于2026年10月23日复核了本报告中的财务指标、净值表现和投资组合报告等内容，保证复核内容不存在虚假记载、误导性陈述或者重大遗漏。</w:t>
      </w:r>
      <w:r>
        <w:cr/>
      </w:r>
      <w:r>
        <w:t xml:space="preserve">    基金管理人承诺以诚实信用、勤勉尽责的原则管理和运用基金资产，但不保证基金一定盈利。</w:t>
      </w:r>
      <w:r>
        <w:cr/>
      </w:r>
      <w:r>
        <w:t xml:space="preserve">    基金的过往业绩并不代表其未来表现。投资有风险，投资者在做出投资决策前应仔细阅读本基金的招募说明书。</w:t>
      </w:r>
      <w:r>
        <w:cr/>
      </w:r>
      <w:r>
        <w:t xml:space="preserve">    本报告中财务资料未经审计。</w:t>
      </w:r>
      <w:r>
        <w:cr/>
      </w:r>
      <w:r>
        <w:t xml:space="preserve">    本报告期自2026年07月01日起至2026年09月30日止。</w:t>
      </w:r>
    </w:p>
    <w:p/>
    <w:p>
      <w:pPr>
        <w:pStyle w:val="2"/>
        <w:jc w:val="center"/>
      </w:pPr>
      <w:r>
        <w:rPr>
          <w:rFonts w:ascii="宋体" w:hAnsi="宋体" w:eastAsia="宋体" w:cs="宋体"/>
        </w:rPr>
        <w:t>§2 基金产品概况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基金简称</w:t>
            </w:r>
          </w:p>
        </w:tc>
        <w:tc>
          <w:tcPr>
            <w:tcW w:w="3077" w:type="pct"/>
            <w:gridSpan w:val="2"/>
            <w:vAlign w:val="center"/>
          </w:tcPr>
          <w:p>
            <w:pPr>
              <w:spacing w:line="240" w:lineRule="auto"/>
              <w:jc w:val="left"/>
            </w:pPr>
            <w:r>
              <w:rPr>
                <w:rFonts w:ascii="宋体" w:hAnsi="宋体" w:eastAsia="宋体" w:cs="宋体"/>
                <w:b w:val="0"/>
              </w:rPr>
              <w:t>东方阿尔法医疗健康混合发起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基金主代码</w:t>
            </w:r>
          </w:p>
        </w:tc>
        <w:tc>
          <w:tcPr>
            <w:tcW w:w="0" w:type="dxa"/>
            <w:gridSpan w:val="2"/>
            <w:vAlign w:val="center"/>
          </w:tcPr>
          <w:p>
            <w:pPr>
              <w:spacing w:line="240" w:lineRule="auto"/>
              <w:jc w:val="left"/>
            </w:pPr>
            <w:r>
              <w:rPr>
                <w:rFonts w:ascii="宋体" w:hAnsi="宋体" w:eastAsia="宋体" w:cs="宋体"/>
                <w:b w:val="0"/>
              </w:rPr>
              <w:t>014841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基金运作方式</w:t>
            </w:r>
          </w:p>
        </w:tc>
        <w:tc>
          <w:tcPr>
            <w:tcW w:w="0" w:type="dxa"/>
            <w:gridSpan w:val="2"/>
            <w:vAlign w:val="center"/>
          </w:tcPr>
          <w:p>
            <w:pPr>
              <w:spacing w:line="240" w:lineRule="auto"/>
              <w:jc w:val="left"/>
            </w:pPr>
            <w:r>
              <w:rPr>
                <w:rFonts w:ascii="宋体" w:hAnsi="宋体" w:eastAsia="宋体" w:cs="宋体"/>
                <w:b w:val="0"/>
              </w:rPr>
              <w:t>契约型开放式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基金合同生效日</w:t>
            </w:r>
          </w:p>
        </w:tc>
        <w:tc>
          <w:tcPr>
            <w:tcW w:w="0" w:type="dxa"/>
            <w:gridSpan w:val="2"/>
            <w:vAlign w:val="center"/>
          </w:tcPr>
          <w:p>
            <w:pPr>
              <w:spacing w:line="240" w:lineRule="auto"/>
              <w:jc w:val="left"/>
            </w:pPr>
            <w:r>
              <w:rPr>
                <w:rFonts w:ascii="宋体" w:hAnsi="宋体" w:eastAsia="宋体" w:cs="宋体"/>
                <w:b w:val="0"/>
              </w:rPr>
              <w:t>2022年03月30日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报告期末基金份额总额</w:t>
            </w:r>
          </w:p>
        </w:tc>
        <w:tc>
          <w:tcPr>
            <w:tcW w:w="0" w:type="dxa"/>
            <w:gridSpan w:val="2"/>
            <w:vAlign w:val="center"/>
          </w:tcPr>
          <w:p>
            <w:pPr>
              <w:spacing w:line="240" w:lineRule="auto"/>
              <w:jc w:val="left"/>
            </w:pPr>
            <w:r>
              <w:rPr>
                <w:rFonts w:ascii="宋体" w:hAnsi="宋体" w:eastAsia="宋体" w:cs="宋体"/>
                <w:b w:val="0"/>
              </w:rPr>
              <w:t>170,795,804.77份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投资目标</w:t>
            </w:r>
          </w:p>
        </w:tc>
        <w:tc>
          <w:tcPr>
            <w:tcW w:w="2592" w:type="pct"/>
            <w:gridSpan w:val="2"/>
            <w:vAlign w:val="center"/>
          </w:tcPr>
          <w:p>
            <w:pPr>
              <w:spacing w:line="240" w:lineRule="auto"/>
              <w:jc w:val="left"/>
            </w:pPr>
            <w:r>
              <w:rPr>
                <w:rFonts w:ascii="宋体" w:hAnsi="宋体" w:eastAsia="宋体" w:cs="宋体"/>
                <w:b w:val="0"/>
              </w:rPr>
              <w:t>本基金采用自上而下与自下而上相结合的投资方法，以基本面分析为立足点，精选医疗健康相关行业证券，在科学严格管理风险的前提下，谋求基金资产的中长期稳健增值。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投资策略</w:t>
            </w:r>
          </w:p>
        </w:tc>
        <w:tc>
          <w:tcPr>
            <w:tcW w:w="0" w:type="dxa"/>
            <w:gridSpan w:val="2"/>
            <w:vAlign w:val="center"/>
          </w:tcPr>
          <w:p>
            <w:pPr>
              <w:spacing w:line="240" w:lineRule="auto"/>
              <w:jc w:val="left"/>
            </w:pPr>
            <w:r>
              <w:rPr>
                <w:rFonts w:ascii="宋体" w:hAnsi="宋体" w:eastAsia="宋体" w:cs="宋体"/>
                <w:b w:val="0"/>
              </w:rPr>
              <w:t>本基金的投资策略主要有以下11个方面内容：</w:t>
            </w:r>
            <w:r>
              <w:rPr>
                <w:rFonts w:ascii="宋体" w:hAnsi="宋体" w:eastAsia="宋体" w:cs="宋体"/>
                <w:b w:val="0"/>
              </w:rPr>
              <w:br w:type="textWrapping"/>
            </w:r>
            <w:r>
              <w:rPr>
                <w:rFonts w:ascii="宋体" w:hAnsi="宋体" w:eastAsia="宋体" w:cs="宋体"/>
                <w:b w:val="0"/>
              </w:rPr>
              <w:t>1、资产配置策略</w:t>
            </w:r>
            <w:r>
              <w:rPr>
                <w:rFonts w:ascii="宋体" w:hAnsi="宋体" w:eastAsia="宋体" w:cs="宋体"/>
                <w:b w:val="0"/>
              </w:rPr>
              <w:br w:type="textWrapping"/>
            </w:r>
            <w:r>
              <w:rPr>
                <w:rFonts w:ascii="宋体" w:hAnsi="宋体" w:eastAsia="宋体" w:cs="宋体"/>
                <w:b w:val="0"/>
              </w:rPr>
              <w:t>本基金通过定性与定量相结合的分析方法，对系统性风险以及可预见的未来时期内各大类资产的预期风险和预期收益率进行分析评估，制定本基金在各类资产之间的配置比例、调整原则和调整范围。</w:t>
            </w:r>
            <w:r>
              <w:rPr>
                <w:rFonts w:ascii="宋体" w:hAnsi="宋体" w:eastAsia="宋体" w:cs="宋体"/>
                <w:b w:val="0"/>
              </w:rPr>
              <w:br w:type="textWrapping"/>
            </w:r>
            <w:r>
              <w:rPr>
                <w:rFonts w:ascii="宋体" w:hAnsi="宋体" w:eastAsia="宋体" w:cs="宋体"/>
                <w:b w:val="0"/>
              </w:rPr>
              <w:t>2、股票投资策略</w:t>
            </w:r>
            <w:r>
              <w:rPr>
                <w:rFonts w:ascii="宋体" w:hAnsi="宋体" w:eastAsia="宋体" w:cs="宋体"/>
                <w:b w:val="0"/>
              </w:rPr>
              <w:br w:type="textWrapping"/>
            </w:r>
            <w:r>
              <w:rPr>
                <w:rFonts w:ascii="宋体" w:hAnsi="宋体" w:eastAsia="宋体" w:cs="宋体"/>
                <w:b w:val="0"/>
              </w:rPr>
              <w:t>本基金将通过系统和深入的基本面研究，专注于医疗健康产业投资，对行业发展进行密切跟踪，根据市场不同阶段充分把握各个子行业轮动带来的投资机会。</w:t>
            </w:r>
            <w:r>
              <w:rPr>
                <w:rFonts w:ascii="宋体" w:hAnsi="宋体" w:eastAsia="宋体" w:cs="宋体"/>
                <w:b w:val="0"/>
              </w:rPr>
              <w:br w:type="textWrapping"/>
            </w:r>
            <w:r>
              <w:rPr>
                <w:rFonts w:ascii="宋体" w:hAnsi="宋体" w:eastAsia="宋体" w:cs="宋体"/>
                <w:b w:val="0"/>
              </w:rPr>
              <w:t>3、港股通标的股票投资策略</w:t>
            </w:r>
            <w:r>
              <w:rPr>
                <w:rFonts w:ascii="宋体" w:hAnsi="宋体" w:eastAsia="宋体" w:cs="宋体"/>
                <w:b w:val="0"/>
              </w:rPr>
              <w:br w:type="textWrapping"/>
            </w:r>
            <w:r>
              <w:rPr>
                <w:rFonts w:ascii="宋体" w:hAnsi="宋体" w:eastAsia="宋体" w:cs="宋体"/>
                <w:b w:val="0"/>
              </w:rPr>
              <w:t>本基金从治理结构与管理层：良好的公司治理结构，优秀、诚信的公司管理层；行业集中度及行业地位：具备独特的核心竞争优势和定价能力；公司业绩表现：具备中长期持续增长的能力；与A股同类公司相比具有估值优势的公司等方面筛选港股通标的股票。</w:t>
            </w:r>
            <w:r>
              <w:rPr>
                <w:rFonts w:ascii="宋体" w:hAnsi="宋体" w:eastAsia="宋体" w:cs="宋体"/>
                <w:b w:val="0"/>
              </w:rPr>
              <w:br w:type="textWrapping"/>
            </w:r>
            <w:r>
              <w:rPr>
                <w:rFonts w:ascii="宋体" w:hAnsi="宋体" w:eastAsia="宋体" w:cs="宋体"/>
                <w:b w:val="0"/>
              </w:rPr>
              <w:t>4、存托凭证投资策略</w:t>
            </w:r>
            <w:r>
              <w:rPr>
                <w:rFonts w:ascii="宋体" w:hAnsi="宋体" w:eastAsia="宋体" w:cs="宋体"/>
                <w:b w:val="0"/>
              </w:rPr>
              <w:br w:type="textWrapping"/>
            </w:r>
            <w:r>
              <w:rPr>
                <w:rFonts w:ascii="宋体" w:hAnsi="宋体" w:eastAsia="宋体" w:cs="宋体"/>
                <w:b w:val="0"/>
              </w:rPr>
              <w:t>本基金可投资存托凭证，本基金将在深入研究的基础上，通过定性分析和定量分析相结合的方式，选择投资价值高的存托凭证进行投资。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5、债券类资产投资策略</w:t>
            </w:r>
            <w:r>
              <w:rPr>
                <w:rFonts w:ascii="宋体" w:hAnsi="宋体" w:eastAsia="宋体" w:cs="宋体"/>
                <w:b w:val="0"/>
              </w:rPr>
              <w:br w:type="textWrapping"/>
            </w:r>
            <w:r>
              <w:rPr>
                <w:rFonts w:ascii="宋体" w:hAnsi="宋体" w:eastAsia="宋体" w:cs="宋体"/>
                <w:b w:val="0"/>
              </w:rPr>
              <w:t>本基金将采取较为积极的债券投资策略，通过利率预测分析、收益率曲线变动分析、债券信用分析、收益率利差分析等，研判各类属固定收益类资产的风险趋势与收益预期，精选个券进行投资。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6、可转债（含分离交易可转债）及可交换债券投资策略</w:t>
            </w:r>
            <w:r>
              <w:rPr>
                <w:rFonts w:ascii="宋体" w:hAnsi="宋体" w:eastAsia="宋体" w:cs="宋体"/>
                <w:b w:val="0"/>
              </w:rPr>
              <w:br w:type="textWrapping"/>
            </w:r>
            <w:r>
              <w:rPr>
                <w:rFonts w:ascii="宋体" w:hAnsi="宋体" w:eastAsia="宋体" w:cs="宋体"/>
                <w:b w:val="0"/>
              </w:rPr>
              <w:t>本基金将重点关注可转债的转换价值、市场价值与其转换价值的比较、转换期限、公司经营业绩、公司当前股票价格、相关的赎回条件、回售条件等方面，以及通过对目标公司股票的投资价值分析和可交换债券的纯债部分价值分析综合开展投资决策。</w:t>
            </w:r>
            <w:r>
              <w:rPr>
                <w:rFonts w:ascii="宋体" w:hAnsi="宋体" w:eastAsia="宋体" w:cs="宋体"/>
                <w:b w:val="0"/>
              </w:rPr>
              <w:br w:type="textWrapping"/>
            </w:r>
            <w:r>
              <w:rPr>
                <w:rFonts w:ascii="宋体" w:hAnsi="宋体" w:eastAsia="宋体" w:cs="宋体"/>
                <w:b w:val="0"/>
              </w:rPr>
              <w:t>7、股指期货投资策略</w:t>
            </w:r>
            <w:r>
              <w:rPr>
                <w:rFonts w:ascii="宋体" w:hAnsi="宋体" w:eastAsia="宋体" w:cs="宋体"/>
                <w:b w:val="0"/>
              </w:rPr>
              <w:br w:type="textWrapping"/>
            </w:r>
            <w:r>
              <w:rPr>
                <w:rFonts w:ascii="宋体" w:hAnsi="宋体" w:eastAsia="宋体" w:cs="宋体"/>
                <w:b w:val="0"/>
              </w:rPr>
              <w:t>本基金以套期保值为目的，在风险可控的前提下，参与股指期货的投资。本基金还将运用股指期货来管理特殊情况下的流动性风险。</w:t>
            </w:r>
            <w:r>
              <w:rPr>
                <w:rFonts w:ascii="宋体" w:hAnsi="宋体" w:eastAsia="宋体" w:cs="宋体"/>
                <w:b w:val="0"/>
              </w:rPr>
              <w:br w:type="textWrapping"/>
            </w:r>
            <w:r>
              <w:rPr>
                <w:rFonts w:ascii="宋体" w:hAnsi="宋体" w:eastAsia="宋体" w:cs="宋体"/>
                <w:b w:val="0"/>
              </w:rPr>
              <w:t>8、融资业务的投资策略</w:t>
            </w:r>
            <w:r>
              <w:rPr>
                <w:rFonts w:ascii="宋体" w:hAnsi="宋体" w:eastAsia="宋体" w:cs="宋体"/>
                <w:b w:val="0"/>
              </w:rPr>
              <w:br w:type="textWrapping"/>
            </w:r>
            <w:r>
              <w:rPr>
                <w:rFonts w:ascii="宋体" w:hAnsi="宋体" w:eastAsia="宋体" w:cs="宋体"/>
                <w:b w:val="0"/>
              </w:rPr>
              <w:t>本基金参与融资业务，将综合考虑融资成本、保证金比例、冲抵保证金证券折算率、信用资质等条件选择合适的交易对手方。在保障基金投资组合充足流动性以及有效控制融资杠杆风险的前提下，确定融资比例。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9、国债期货的投资策略</w:t>
            </w:r>
            <w:r>
              <w:rPr>
                <w:rFonts w:ascii="宋体" w:hAnsi="宋体" w:eastAsia="宋体" w:cs="宋体"/>
                <w:b w:val="0"/>
              </w:rPr>
              <w:br w:type="textWrapping"/>
            </w:r>
            <w:r>
              <w:rPr>
                <w:rFonts w:ascii="宋体" w:hAnsi="宋体" w:eastAsia="宋体" w:cs="宋体"/>
                <w:b w:val="0"/>
              </w:rPr>
              <w:t>本基金以套期保值为目的，以回避市场风险，通过动态管理国债期货合约数量，以萃取相应债券组合的超额收益。</w:t>
            </w:r>
            <w:r>
              <w:rPr>
                <w:rFonts w:ascii="宋体" w:hAnsi="宋体" w:eastAsia="宋体" w:cs="宋体"/>
                <w:b w:val="0"/>
              </w:rPr>
              <w:br w:type="textWrapping"/>
            </w:r>
            <w:r>
              <w:rPr>
                <w:rFonts w:ascii="宋体" w:hAnsi="宋体" w:eastAsia="宋体" w:cs="宋体"/>
                <w:b w:val="0"/>
              </w:rPr>
              <w:t xml:space="preserve">10、股票期权投资策略 </w:t>
            </w:r>
            <w:r>
              <w:rPr>
                <w:rFonts w:ascii="宋体" w:hAnsi="宋体" w:eastAsia="宋体" w:cs="宋体"/>
                <w:b w:val="0"/>
              </w:rPr>
              <w:br w:type="textWrapping"/>
            </w:r>
            <w:r>
              <w:rPr>
                <w:rFonts w:ascii="宋体" w:hAnsi="宋体" w:eastAsia="宋体" w:cs="宋体"/>
                <w:b w:val="0"/>
              </w:rPr>
              <w:t>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11、资产支持证券投资策略</w:t>
            </w:r>
            <w:r>
              <w:rPr>
                <w:rFonts w:ascii="宋体" w:hAnsi="宋体" w:eastAsia="宋体" w:cs="宋体"/>
                <w:b w:val="0"/>
              </w:rPr>
              <w:br w:type="textWrapping"/>
            </w:r>
            <w:r>
              <w:rPr>
                <w:rFonts w:ascii="宋体" w:hAnsi="宋体" w:eastAsia="宋体" w:cs="宋体"/>
                <w:b w:val="0"/>
              </w:rPr>
              <w:t>基金将投资包括资产抵押贷款支持证券(ABS)、住房抵押贷款支持证券(MBS)等在内的资产支持证券。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业绩比较基准</w:t>
            </w:r>
          </w:p>
        </w:tc>
        <w:tc>
          <w:tcPr>
            <w:tcW w:w="0" w:type="dxa"/>
            <w:gridSpan w:val="2"/>
            <w:vAlign w:val="center"/>
          </w:tcPr>
          <w:p>
            <w:pPr>
              <w:spacing w:line="240" w:lineRule="auto"/>
              <w:jc w:val="left"/>
            </w:pPr>
            <w:r>
              <w:rPr>
                <w:rFonts w:ascii="宋体" w:hAnsi="宋体" w:eastAsia="宋体" w:cs="宋体"/>
                <w:b w:val="0"/>
              </w:rPr>
              <w:t>中证医药卫生指数收益率*65%+恒生医疗保健指数收益率*20%+中证综合债（全价）指数收益率*15%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风险收益特征</w:t>
            </w:r>
          </w:p>
        </w:tc>
        <w:tc>
          <w:tcPr>
            <w:tcW w:w="2592" w:type="pct"/>
            <w:gridSpan w:val="2"/>
            <w:vAlign w:val="center"/>
          </w:tcPr>
          <w:p>
            <w:pPr>
              <w:spacing w:line="240" w:lineRule="auto"/>
              <w:jc w:val="left"/>
            </w:pPr>
            <w:r>
              <w:rPr>
                <w:rFonts w:ascii="宋体" w:hAnsi="宋体" w:eastAsia="宋体" w:cs="宋体"/>
                <w:b w:val="0"/>
              </w:rPr>
              <w:t>本基金为混合型基金，其预期收益和风险高于货币型基金、债券型基金。本基金如果投资港股通标的股票，需承担汇率风险以及境外市场的风险。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基金管理人</w:t>
            </w:r>
          </w:p>
        </w:tc>
        <w:tc>
          <w:tcPr>
            <w:tcW w:w="0" w:type="dxa"/>
            <w:gridSpan w:val="2"/>
            <w:vAlign w:val="center"/>
          </w:tcPr>
          <w:p>
            <w:pPr>
              <w:spacing w:line="240" w:lineRule="auto"/>
              <w:jc w:val="left"/>
            </w:pPr>
            <w:r>
              <w:rPr>
                <w:rFonts w:ascii="宋体" w:hAnsi="宋体" w:eastAsia="宋体" w:cs="宋体"/>
                <w:b w:val="0"/>
              </w:rPr>
              <w:t>东方阿尔法基金管理有限公司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基金托管人</w:t>
            </w:r>
          </w:p>
        </w:tc>
        <w:tc>
          <w:tcPr>
            <w:tcW w:w="0" w:type="dxa"/>
            <w:gridSpan w:val="2"/>
            <w:vAlign w:val="center"/>
          </w:tcPr>
          <w:p>
            <w:pPr>
              <w:spacing w:line="240" w:lineRule="auto"/>
              <w:jc w:val="left"/>
            </w:pPr>
            <w:r>
              <w:rPr>
                <w:rFonts w:ascii="宋体" w:hAnsi="宋体" w:eastAsia="宋体" w:cs="宋体"/>
                <w:b w:val="0"/>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下属分级基金的基金简称</w:t>
            </w:r>
          </w:p>
        </w:tc>
        <w:tc>
          <w:tcPr>
            <w:tcW w:w="1500" w:type="pct"/>
            <w:vAlign w:val="center"/>
          </w:tcPr>
          <w:p>
            <w:pPr>
              <w:spacing w:line="240" w:lineRule="auto"/>
              <w:jc w:val="left"/>
            </w:pPr>
            <w:r>
              <w:rPr>
                <w:rFonts w:ascii="宋体" w:hAnsi="宋体" w:eastAsia="宋体" w:cs="宋体"/>
                <w:b w:val="0"/>
              </w:rPr>
              <w:t>东方阿尔法医疗健康混合发起A</w:t>
            </w:r>
          </w:p>
        </w:tc>
        <w:tc>
          <w:tcPr>
            <w:tcW w:w="1500" w:type="pct"/>
            <w:vAlign w:val="center"/>
          </w:tcPr>
          <w:p>
            <w:pPr>
              <w:spacing w:line="240" w:lineRule="auto"/>
              <w:jc w:val="left"/>
            </w:pPr>
            <w:r>
              <w:rPr>
                <w:rFonts w:ascii="宋体" w:hAnsi="宋体" w:eastAsia="宋体" w:cs="宋体"/>
                <w:b w:val="0"/>
              </w:rPr>
              <w:t>东方阿尔法医疗健康混合发起C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下属分级基金的交易代码</w:t>
            </w:r>
          </w:p>
        </w:tc>
        <w:tc>
          <w:tcPr>
            <w:tcW w:w="1500" w:type="pct"/>
            <w:vAlign w:val="center"/>
          </w:tcPr>
          <w:p>
            <w:pPr>
              <w:spacing w:line="240" w:lineRule="auto"/>
              <w:jc w:val="left"/>
            </w:pPr>
            <w:r>
              <w:rPr>
                <w:rFonts w:ascii="宋体" w:hAnsi="宋体" w:eastAsia="宋体" w:cs="宋体"/>
                <w:b w:val="0"/>
              </w:rPr>
              <w:t>014841</w:t>
            </w:r>
          </w:p>
        </w:tc>
        <w:tc>
          <w:tcPr>
            <w:tcW w:w="1500" w:type="pct"/>
            <w:vAlign w:val="center"/>
          </w:tcPr>
          <w:p>
            <w:pPr>
              <w:spacing w:line="240" w:lineRule="auto"/>
              <w:jc w:val="left"/>
            </w:pPr>
            <w:r>
              <w:rPr>
                <w:rFonts w:ascii="宋体" w:hAnsi="宋体" w:eastAsia="宋体" w:cs="宋体"/>
                <w:b w:val="0"/>
              </w:rPr>
              <w:t>014842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报告期末下属分级基金的份额总额</w:t>
            </w:r>
          </w:p>
        </w:tc>
        <w:tc>
          <w:tcPr>
            <w:tcW w:w="1500" w:type="pct"/>
            <w:vAlign w:val="center"/>
          </w:tcPr>
          <w:p>
            <w:pPr>
              <w:spacing w:line="240" w:lineRule="auto"/>
              <w:jc w:val="left"/>
            </w:pPr>
            <w:r>
              <w:rPr>
                <w:rFonts w:ascii="宋体" w:hAnsi="宋体" w:eastAsia="宋体" w:cs="宋体"/>
                <w:b w:val="0"/>
              </w:rPr>
              <w:t>26,322,383.89份</w:t>
            </w:r>
          </w:p>
        </w:tc>
        <w:tc>
          <w:tcPr>
            <w:tcW w:w="1500" w:type="pct"/>
            <w:vAlign w:val="center"/>
          </w:tcPr>
          <w:p>
            <w:pPr>
              <w:spacing w:line="240" w:lineRule="auto"/>
              <w:jc w:val="left"/>
            </w:pPr>
            <w:r>
              <w:rPr>
                <w:rFonts w:ascii="宋体" w:hAnsi="宋体" w:eastAsia="宋体" w:cs="宋体"/>
                <w:b w:val="0"/>
              </w:rPr>
              <w:t>144,473,420.88份</w:t>
            </w:r>
          </w:p>
        </w:tc>
      </w:tr>
    </w:tbl>
    <w:p>
      <w:r>
        <w:rPr>
          <w:rFonts w:ascii="宋体" w:hAnsi="宋体" w:eastAsia="宋体" w:cs="宋体"/>
          <w:b w:val="0"/>
        </w:rPr>
        <w:t>注：自 2026年9月21日起，本基金业绩比较基准由“中证医药卫生指数收益率*60%+恒生医疗保健指数收益率*20%+中证综合债券指数收益率*20%”调整为“中证医药卫生指数收益率*65%+恒生医疗保健指数收益率*20%+中证综合债（全价）指数收益率*15%”。</w:t>
      </w:r>
    </w:p>
    <w:p>
      <w:pPr>
        <w:pStyle w:val="2"/>
        <w:jc w:val="center"/>
      </w:pPr>
      <w:r>
        <w:rPr>
          <w:rFonts w:ascii="宋体" w:hAnsi="宋体" w:eastAsia="宋体" w:cs="宋体"/>
        </w:rPr>
        <w:t>§3 主要财务指标和基金净值表现</w:t>
      </w:r>
    </w:p>
    <w:p>
      <w:pPr>
        <w:pStyle w:val="3"/>
        <w:jc w:val="left"/>
      </w:pPr>
      <w:r>
        <w:rPr>
          <w:rFonts w:ascii="宋体" w:hAnsi="宋体" w:eastAsia="宋体" w:cs="宋体"/>
        </w:rPr>
        <w:t>3.1 主要财务指标</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pPr>
              <w:spacing w:line="240" w:lineRule="auto"/>
              <w:jc w:val="center"/>
            </w:pPr>
            <w:r>
              <w:rPr>
                <w:rFonts w:ascii="宋体" w:hAnsi="宋体" w:eastAsia="宋体" w:cs="宋体"/>
                <w:b/>
              </w:rPr>
              <w:t>主要财务指标</w:t>
            </w:r>
          </w:p>
        </w:tc>
        <w:tc>
          <w:tcPr>
            <w:tcW w:w="3077" w:type="pct"/>
            <w:gridSpan w:val="2"/>
            <w:shd w:val="clear" w:color="auto" w:fill="D9D9D9"/>
            <w:vAlign w:val="center"/>
          </w:tcPr>
          <w:p>
            <w:pPr>
              <w:spacing w:line="240" w:lineRule="auto"/>
              <w:jc w:val="center"/>
            </w:pPr>
            <w:r>
              <w:rPr>
                <w:rFonts w:ascii="宋体" w:hAnsi="宋体" w:eastAsia="宋体" w:cs="宋体"/>
                <w:b w:val="0"/>
              </w:rPr>
              <w:t>报告期（2026年07月01日-2026年09月30日）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00" w:type="pct"/>
            <w:shd w:val="clear" w:color="auto" w:fill="D9D9D9"/>
            <w:vAlign w:val="center"/>
          </w:tcPr>
          <w:p>
            <w:pPr>
              <w:spacing w:line="240" w:lineRule="auto"/>
              <w:jc w:val="center"/>
            </w:pPr>
            <w:r>
              <w:rPr>
                <w:rFonts w:ascii="宋体" w:hAnsi="宋体" w:eastAsia="宋体" w:cs="宋体"/>
                <w:b w:val="0"/>
              </w:rPr>
              <w:t>东方阿尔法医疗健康混合发起A</w:t>
            </w:r>
          </w:p>
        </w:tc>
        <w:tc>
          <w:tcPr>
            <w:tcW w:w="1500" w:type="pct"/>
            <w:shd w:val="clear" w:color="auto" w:fill="D9D9D9"/>
            <w:vAlign w:val="center"/>
          </w:tcPr>
          <w:p>
            <w:pPr>
              <w:spacing w:line="240" w:lineRule="auto"/>
              <w:jc w:val="center"/>
            </w:pPr>
            <w:r>
              <w:rPr>
                <w:rFonts w:ascii="宋体" w:hAnsi="宋体" w:eastAsia="宋体" w:cs="宋体"/>
                <w:b w:val="0"/>
              </w:rPr>
              <w:t>东方阿尔法医疗健康混合发起C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1.本期已实现收益</w:t>
            </w:r>
          </w:p>
        </w:tc>
        <w:tc>
          <w:tcPr>
            <w:tcW w:w="1500" w:type="pct"/>
            <w:vAlign w:val="center"/>
          </w:tcPr>
          <w:p>
            <w:pPr>
              <w:spacing w:line="240" w:lineRule="auto"/>
              <w:jc w:val="right"/>
            </w:pPr>
            <w:r>
              <w:rPr>
                <w:rFonts w:ascii="宋体" w:hAnsi="宋体" w:eastAsia="宋体" w:cs="宋体"/>
                <w:b w:val="0"/>
              </w:rPr>
              <w:t>2,524,621.04</w:t>
            </w:r>
          </w:p>
        </w:tc>
        <w:tc>
          <w:tcPr>
            <w:tcW w:w="1500" w:type="pct"/>
            <w:vAlign w:val="center"/>
          </w:tcPr>
          <w:p>
            <w:pPr>
              <w:spacing w:line="240" w:lineRule="auto"/>
              <w:jc w:val="right"/>
            </w:pPr>
            <w:r>
              <w:rPr>
                <w:rFonts w:ascii="宋体" w:hAnsi="宋体" w:eastAsia="宋体" w:cs="宋体"/>
                <w:b w:val="0"/>
              </w:rPr>
              <w:t>7,655,134.76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2.本期利润</w:t>
            </w:r>
          </w:p>
        </w:tc>
        <w:tc>
          <w:tcPr>
            <w:tcW w:w="1500" w:type="pct"/>
            <w:vAlign w:val="center"/>
          </w:tcPr>
          <w:p>
            <w:pPr>
              <w:spacing w:line="240" w:lineRule="auto"/>
              <w:jc w:val="right"/>
            </w:pPr>
            <w:r>
              <w:rPr>
                <w:rFonts w:ascii="宋体" w:hAnsi="宋体" w:eastAsia="宋体" w:cs="宋体"/>
                <w:b w:val="0"/>
              </w:rPr>
              <w:t>8,611,160.44</w:t>
            </w:r>
          </w:p>
        </w:tc>
        <w:tc>
          <w:tcPr>
            <w:tcW w:w="1500" w:type="pct"/>
            <w:vAlign w:val="center"/>
          </w:tcPr>
          <w:p>
            <w:pPr>
              <w:spacing w:line="240" w:lineRule="auto"/>
              <w:jc w:val="right"/>
            </w:pPr>
            <w:r>
              <w:rPr>
                <w:rFonts w:ascii="宋体" w:hAnsi="宋体" w:eastAsia="宋体" w:cs="宋体"/>
                <w:b w:val="0"/>
              </w:rPr>
              <w:t>31,165,147.86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3.加权平均基金份额本期利润</w:t>
            </w:r>
          </w:p>
        </w:tc>
        <w:tc>
          <w:tcPr>
            <w:tcW w:w="1500" w:type="pct"/>
            <w:vAlign w:val="center"/>
          </w:tcPr>
          <w:p>
            <w:pPr>
              <w:spacing w:line="240" w:lineRule="auto"/>
              <w:jc w:val="right"/>
            </w:pPr>
            <w:r>
              <w:rPr>
                <w:rFonts w:ascii="宋体" w:hAnsi="宋体" w:eastAsia="宋体" w:cs="宋体"/>
                <w:b w:val="0"/>
              </w:rPr>
              <w:t>0.3035</w:t>
            </w:r>
          </w:p>
        </w:tc>
        <w:tc>
          <w:tcPr>
            <w:tcW w:w="1500" w:type="pct"/>
            <w:vAlign w:val="center"/>
          </w:tcPr>
          <w:p>
            <w:pPr>
              <w:spacing w:line="240" w:lineRule="auto"/>
              <w:jc w:val="right"/>
            </w:pPr>
            <w:r>
              <w:rPr>
                <w:rFonts w:ascii="宋体" w:hAnsi="宋体" w:eastAsia="宋体" w:cs="宋体"/>
                <w:b w:val="0"/>
              </w:rPr>
              <w:t>0.3024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4.期末基金资产净值</w:t>
            </w:r>
          </w:p>
        </w:tc>
        <w:tc>
          <w:tcPr>
            <w:tcW w:w="1500" w:type="pct"/>
            <w:vAlign w:val="center"/>
          </w:tcPr>
          <w:p>
            <w:pPr>
              <w:spacing w:line="240" w:lineRule="auto"/>
              <w:jc w:val="right"/>
            </w:pPr>
            <w:r>
              <w:rPr>
                <w:rFonts w:ascii="宋体" w:hAnsi="宋体" w:eastAsia="宋体" w:cs="宋体"/>
                <w:b w:val="0"/>
              </w:rPr>
              <w:t>34,623,225.19</w:t>
            </w:r>
          </w:p>
        </w:tc>
        <w:tc>
          <w:tcPr>
            <w:tcW w:w="1500" w:type="pct"/>
            <w:vAlign w:val="center"/>
          </w:tcPr>
          <w:p>
            <w:pPr>
              <w:spacing w:line="240" w:lineRule="auto"/>
              <w:jc w:val="right"/>
            </w:pPr>
            <w:r>
              <w:rPr>
                <w:rFonts w:ascii="宋体" w:hAnsi="宋体" w:eastAsia="宋体" w:cs="宋体"/>
                <w:b w:val="0"/>
              </w:rPr>
              <w:t>185,753,976.26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5.期末基金份额净值</w:t>
            </w:r>
          </w:p>
        </w:tc>
        <w:tc>
          <w:tcPr>
            <w:tcW w:w="1500" w:type="pct"/>
            <w:vAlign w:val="center"/>
          </w:tcPr>
          <w:p>
            <w:pPr>
              <w:spacing w:line="240" w:lineRule="auto"/>
              <w:jc w:val="right"/>
            </w:pPr>
            <w:r>
              <w:rPr>
                <w:rFonts w:ascii="宋体" w:hAnsi="宋体" w:eastAsia="宋体" w:cs="宋体"/>
                <w:b w:val="0"/>
              </w:rPr>
              <w:t>1.3154</w:t>
            </w:r>
          </w:p>
        </w:tc>
        <w:tc>
          <w:tcPr>
            <w:tcW w:w="1500" w:type="pct"/>
            <w:vAlign w:val="center"/>
          </w:tcPr>
          <w:p>
            <w:pPr>
              <w:spacing w:line="240" w:lineRule="auto"/>
              <w:jc w:val="right"/>
            </w:pPr>
            <w:r>
              <w:rPr>
                <w:rFonts w:ascii="宋体" w:hAnsi="宋体" w:eastAsia="宋体" w:cs="宋体"/>
                <w:b w:val="0"/>
              </w:rPr>
              <w:t>1.2857</w:t>
            </w:r>
          </w:p>
        </w:tc>
      </w:tr>
    </w:tbl>
    <w:p>
      <w:r>
        <w:rPr>
          <w:rFonts w:ascii="宋体" w:hAnsi="宋体" w:eastAsia="宋体" w:cs="宋体"/>
          <w:b w:val="0"/>
        </w:rPr>
        <w:t>注：1、本期已实现收益指基金本期利息收入、投资收益、其他收入(不含公允价值变动收益)扣除相关费用后的余额，本期利润为本期已实现收益加上本期公允价值变动收益。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2、所述基金业绩指标不包括持有人认购或交易基金的各项费用，计入费用后实际收益水平要低于所列数字。</w:t>
      </w:r>
    </w:p>
    <w:p/>
    <w:p>
      <w:pPr>
        <w:pStyle w:val="3"/>
        <w:jc w:val="left"/>
      </w:pPr>
      <w:r>
        <w:rPr>
          <w:rFonts w:ascii="宋体" w:hAnsi="宋体" w:eastAsia="宋体" w:cs="宋体"/>
        </w:rPr>
        <w:t>3.2 基金净值表现</w:t>
      </w:r>
    </w:p>
    <w:p>
      <w:pPr>
        <w:pStyle w:val="58"/>
      </w:pPr>
      <w:r>
        <w:rPr>
          <w:rStyle w:val="30"/>
          <w:rFonts w:ascii="宋体" w:hAnsi="宋体" w:eastAsia="宋体" w:cs="宋体"/>
          <w:b/>
        </w:rPr>
        <w:t>3.2.1 基金份额净值增长率及其与同期业绩比较基准收益率的比较</w:t>
      </w:r>
    </w:p>
    <w:p>
      <w:pPr>
        <w:jc w:val="left"/>
      </w:pPr>
      <w:r>
        <w:rPr>
          <w:rFonts w:ascii="宋体" w:hAnsi="宋体" w:eastAsia="宋体" w:cs="宋体"/>
          <w:b/>
        </w:rPr>
        <w:t>东方阿尔法医疗健康混合发起A净值表现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30.61%</w:t>
            </w:r>
          </w:p>
        </w:tc>
        <w:tc>
          <w:tcPr>
            <w:tcW w:w="0" w:type="dxa"/>
            <w:vAlign w:val="center"/>
          </w:tcPr>
          <w:p>
            <w:pPr>
              <w:spacing w:line="240" w:lineRule="auto"/>
              <w:jc w:val="right"/>
            </w:pPr>
            <w:r>
              <w:rPr>
                <w:rFonts w:ascii="宋体" w:hAnsi="宋体" w:eastAsia="宋体" w:cs="宋体"/>
                <w:b w:val="0"/>
              </w:rPr>
              <w:t>2.91%</w:t>
            </w:r>
          </w:p>
        </w:tc>
        <w:tc>
          <w:tcPr>
            <w:tcW w:w="0" w:type="dxa"/>
            <w:vAlign w:val="center"/>
          </w:tcPr>
          <w:p>
            <w:pPr>
              <w:spacing w:line="240" w:lineRule="auto"/>
              <w:jc w:val="right"/>
            </w:pPr>
            <w:r>
              <w:rPr>
                <w:rFonts w:ascii="宋体" w:hAnsi="宋体" w:eastAsia="宋体" w:cs="宋体"/>
                <w:b w:val="0"/>
              </w:rPr>
              <w:t>10.68%</w:t>
            </w:r>
          </w:p>
        </w:tc>
        <w:tc>
          <w:tcPr>
            <w:tcW w:w="0" w:type="dxa"/>
            <w:vAlign w:val="center"/>
          </w:tcPr>
          <w:p>
            <w:pPr>
              <w:spacing w:line="240" w:lineRule="auto"/>
              <w:jc w:val="right"/>
            </w:pPr>
            <w:r>
              <w:rPr>
                <w:rFonts w:ascii="宋体" w:hAnsi="宋体" w:eastAsia="宋体" w:cs="宋体"/>
                <w:b w:val="0"/>
              </w:rPr>
              <w:t>1.45%</w:t>
            </w:r>
          </w:p>
        </w:tc>
        <w:tc>
          <w:tcPr>
            <w:tcW w:w="0" w:type="dxa"/>
            <w:vAlign w:val="center"/>
          </w:tcPr>
          <w:p>
            <w:pPr>
              <w:spacing w:line="240" w:lineRule="auto"/>
              <w:jc w:val="right"/>
            </w:pPr>
            <w:r>
              <w:rPr>
                <w:rFonts w:ascii="宋体" w:hAnsi="宋体" w:eastAsia="宋体" w:cs="宋体"/>
                <w:b w:val="0"/>
              </w:rPr>
              <w:t>19.93%</w:t>
            </w:r>
          </w:p>
        </w:tc>
        <w:tc>
          <w:tcPr>
            <w:tcW w:w="0" w:type="dxa"/>
            <w:vAlign w:val="center"/>
          </w:tcPr>
          <w:p>
            <w:pPr>
              <w:spacing w:line="240" w:lineRule="auto"/>
              <w:jc w:val="right"/>
            </w:pPr>
            <w:r>
              <w:rPr>
                <w:rFonts w:ascii="宋体" w:hAnsi="宋体" w:eastAsia="宋体" w:cs="宋体"/>
                <w:b w:val="0"/>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18.33%</w:t>
            </w:r>
          </w:p>
        </w:tc>
        <w:tc>
          <w:tcPr>
            <w:tcW w:w="0" w:type="dxa"/>
            <w:vAlign w:val="center"/>
          </w:tcPr>
          <w:p>
            <w:pPr>
              <w:spacing w:line="240" w:lineRule="auto"/>
              <w:jc w:val="right"/>
            </w:pPr>
            <w:r>
              <w:rPr>
                <w:rFonts w:ascii="宋体" w:hAnsi="宋体" w:eastAsia="宋体" w:cs="宋体"/>
                <w:b w:val="0"/>
              </w:rPr>
              <w:t>2.72%</w:t>
            </w:r>
          </w:p>
        </w:tc>
        <w:tc>
          <w:tcPr>
            <w:tcW w:w="0" w:type="dxa"/>
            <w:vAlign w:val="center"/>
          </w:tcPr>
          <w:p>
            <w:pPr>
              <w:spacing w:line="240" w:lineRule="auto"/>
              <w:jc w:val="right"/>
            </w:pPr>
            <w:r>
              <w:rPr>
                <w:rFonts w:ascii="宋体" w:hAnsi="宋体" w:eastAsia="宋体" w:cs="宋体"/>
                <w:b w:val="0"/>
              </w:rPr>
              <w:t>2.40%</w:t>
            </w:r>
          </w:p>
        </w:tc>
        <w:tc>
          <w:tcPr>
            <w:tcW w:w="0" w:type="dxa"/>
            <w:vAlign w:val="center"/>
          </w:tcPr>
          <w:p>
            <w:pPr>
              <w:spacing w:line="240" w:lineRule="auto"/>
              <w:jc w:val="right"/>
            </w:pPr>
            <w:r>
              <w:rPr>
                <w:rFonts w:ascii="宋体" w:hAnsi="宋体" w:eastAsia="宋体" w:cs="宋体"/>
                <w:b w:val="0"/>
              </w:rPr>
              <w:t>1.34%</w:t>
            </w:r>
          </w:p>
        </w:tc>
        <w:tc>
          <w:tcPr>
            <w:tcW w:w="0" w:type="dxa"/>
            <w:vAlign w:val="center"/>
          </w:tcPr>
          <w:p>
            <w:pPr>
              <w:spacing w:line="240" w:lineRule="auto"/>
              <w:jc w:val="right"/>
            </w:pPr>
            <w:r>
              <w:rPr>
                <w:rFonts w:ascii="宋体" w:hAnsi="宋体" w:eastAsia="宋体" w:cs="宋体"/>
                <w:b w:val="0"/>
              </w:rPr>
              <w:t>15.93%</w:t>
            </w:r>
          </w:p>
        </w:tc>
        <w:tc>
          <w:tcPr>
            <w:tcW w:w="0" w:type="dxa"/>
            <w:vAlign w:val="center"/>
          </w:tcPr>
          <w:p>
            <w:pPr>
              <w:spacing w:line="240" w:lineRule="auto"/>
              <w:jc w:val="right"/>
            </w:pPr>
            <w:r>
              <w:rPr>
                <w:rFonts w:ascii="宋体" w:hAnsi="宋体" w:eastAsia="宋体" w:cs="宋体"/>
                <w:b w:val="0"/>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1.84%</w:t>
            </w:r>
          </w:p>
        </w:tc>
        <w:tc>
          <w:tcPr>
            <w:tcW w:w="0" w:type="dxa"/>
            <w:vAlign w:val="center"/>
          </w:tcPr>
          <w:p>
            <w:pPr>
              <w:spacing w:line="240" w:lineRule="auto"/>
              <w:jc w:val="right"/>
            </w:pPr>
            <w:r>
              <w:rPr>
                <w:rFonts w:ascii="宋体" w:hAnsi="宋体" w:eastAsia="宋体" w:cs="宋体"/>
                <w:b w:val="0"/>
              </w:rPr>
              <w:t>2.55%</w:t>
            </w:r>
          </w:p>
        </w:tc>
        <w:tc>
          <w:tcPr>
            <w:tcW w:w="0" w:type="dxa"/>
            <w:vAlign w:val="center"/>
          </w:tcPr>
          <w:p>
            <w:pPr>
              <w:spacing w:line="240" w:lineRule="auto"/>
              <w:jc w:val="right"/>
            </w:pPr>
            <w:r>
              <w:rPr>
                <w:rFonts w:ascii="宋体" w:hAnsi="宋体" w:eastAsia="宋体" w:cs="宋体"/>
                <w:b w:val="0"/>
              </w:rPr>
              <w:t>-10.50%</w:t>
            </w:r>
          </w:p>
        </w:tc>
        <w:tc>
          <w:tcPr>
            <w:tcW w:w="0" w:type="dxa"/>
            <w:vAlign w:val="center"/>
          </w:tcPr>
          <w:p>
            <w:pPr>
              <w:spacing w:line="240" w:lineRule="auto"/>
              <w:jc w:val="right"/>
            </w:pPr>
            <w:r>
              <w:rPr>
                <w:rFonts w:ascii="宋体" w:hAnsi="宋体" w:eastAsia="宋体" w:cs="宋体"/>
                <w:b w:val="0"/>
              </w:rPr>
              <w:t>1.21%</w:t>
            </w:r>
          </w:p>
        </w:tc>
        <w:tc>
          <w:tcPr>
            <w:tcW w:w="0" w:type="dxa"/>
            <w:vAlign w:val="center"/>
          </w:tcPr>
          <w:p>
            <w:pPr>
              <w:spacing w:line="240" w:lineRule="auto"/>
              <w:jc w:val="right"/>
            </w:pPr>
            <w:r>
              <w:rPr>
                <w:rFonts w:ascii="宋体" w:hAnsi="宋体" w:eastAsia="宋体" w:cs="宋体"/>
                <w:b w:val="0"/>
              </w:rPr>
              <w:t>12.34%</w:t>
            </w:r>
          </w:p>
        </w:tc>
        <w:tc>
          <w:tcPr>
            <w:tcW w:w="0" w:type="dxa"/>
            <w:vAlign w:val="center"/>
          </w:tcPr>
          <w:p>
            <w:pPr>
              <w:spacing w:line="240" w:lineRule="auto"/>
              <w:jc w:val="right"/>
            </w:pPr>
            <w:r>
              <w:rPr>
                <w:rFonts w:ascii="宋体" w:hAnsi="宋体" w:eastAsia="宋体" w:cs="宋体"/>
                <w:b w:val="0"/>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过去三年</w:t>
            </w:r>
          </w:p>
        </w:tc>
        <w:tc>
          <w:tcPr>
            <w:tcW w:w="0" w:type="dxa"/>
            <w:vAlign w:val="center"/>
          </w:tcPr>
          <w:p>
            <w:pPr>
              <w:spacing w:line="240" w:lineRule="auto"/>
              <w:jc w:val="right"/>
            </w:pPr>
            <w:r>
              <w:rPr>
                <w:rFonts w:ascii="宋体" w:hAnsi="宋体" w:eastAsia="宋体" w:cs="宋体"/>
                <w:b w:val="0"/>
              </w:rPr>
              <w:t>38.61%</w:t>
            </w:r>
          </w:p>
        </w:tc>
        <w:tc>
          <w:tcPr>
            <w:tcW w:w="0" w:type="dxa"/>
            <w:vAlign w:val="center"/>
          </w:tcPr>
          <w:p>
            <w:pPr>
              <w:spacing w:line="240" w:lineRule="auto"/>
              <w:jc w:val="right"/>
            </w:pPr>
            <w:r>
              <w:rPr>
                <w:rFonts w:ascii="宋体" w:hAnsi="宋体" w:eastAsia="宋体" w:cs="宋体"/>
                <w:b w:val="0"/>
              </w:rPr>
              <w:t>2.09%</w:t>
            </w:r>
          </w:p>
        </w:tc>
        <w:tc>
          <w:tcPr>
            <w:tcW w:w="0" w:type="dxa"/>
            <w:vAlign w:val="center"/>
          </w:tcPr>
          <w:p>
            <w:pPr>
              <w:spacing w:line="240" w:lineRule="auto"/>
              <w:jc w:val="right"/>
            </w:pPr>
            <w:r>
              <w:rPr>
                <w:rFonts w:ascii="宋体" w:hAnsi="宋体" w:eastAsia="宋体" w:cs="宋体"/>
                <w:b w:val="0"/>
              </w:rPr>
              <w:t>1.96%</w:t>
            </w:r>
          </w:p>
        </w:tc>
        <w:tc>
          <w:tcPr>
            <w:tcW w:w="0" w:type="dxa"/>
            <w:vAlign w:val="center"/>
          </w:tcPr>
          <w:p>
            <w:pPr>
              <w:spacing w:line="240" w:lineRule="auto"/>
              <w:jc w:val="right"/>
            </w:pPr>
            <w:r>
              <w:rPr>
                <w:rFonts w:ascii="宋体" w:hAnsi="宋体" w:eastAsia="宋体" w:cs="宋体"/>
                <w:b w:val="0"/>
              </w:rPr>
              <w:t>1.25%</w:t>
            </w:r>
          </w:p>
        </w:tc>
        <w:tc>
          <w:tcPr>
            <w:tcW w:w="0" w:type="dxa"/>
            <w:vAlign w:val="center"/>
          </w:tcPr>
          <w:p>
            <w:pPr>
              <w:spacing w:line="240" w:lineRule="auto"/>
              <w:jc w:val="right"/>
            </w:pPr>
            <w:r>
              <w:rPr>
                <w:rFonts w:ascii="宋体" w:hAnsi="宋体" w:eastAsia="宋体" w:cs="宋体"/>
                <w:b w:val="0"/>
              </w:rPr>
              <w:t>36.65%</w:t>
            </w:r>
          </w:p>
        </w:tc>
        <w:tc>
          <w:tcPr>
            <w:tcW w:w="0" w:type="dxa"/>
            <w:vAlign w:val="center"/>
          </w:tcPr>
          <w:p>
            <w:pPr>
              <w:spacing w:line="240" w:lineRule="auto"/>
              <w:jc w:val="right"/>
            </w:pPr>
            <w:r>
              <w:rPr>
                <w:rFonts w:ascii="宋体" w:hAnsi="宋体" w:eastAsia="宋体" w:cs="宋体"/>
                <w:b w:val="0"/>
              </w:rPr>
              <w:t>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31.54%</w:t>
            </w:r>
          </w:p>
        </w:tc>
        <w:tc>
          <w:tcPr>
            <w:tcW w:w="0" w:type="dxa"/>
            <w:vAlign w:val="center"/>
          </w:tcPr>
          <w:p>
            <w:pPr>
              <w:spacing w:line="240" w:lineRule="auto"/>
              <w:jc w:val="right"/>
            </w:pPr>
            <w:r>
              <w:rPr>
                <w:rFonts w:ascii="宋体" w:hAnsi="宋体" w:eastAsia="宋体" w:cs="宋体"/>
                <w:b w:val="0"/>
              </w:rPr>
              <w:t>1.86%</w:t>
            </w:r>
          </w:p>
        </w:tc>
        <w:tc>
          <w:tcPr>
            <w:tcW w:w="0" w:type="dxa"/>
            <w:vAlign w:val="center"/>
          </w:tcPr>
          <w:p>
            <w:pPr>
              <w:spacing w:line="240" w:lineRule="auto"/>
              <w:jc w:val="right"/>
            </w:pPr>
            <w:r>
              <w:rPr>
                <w:rFonts w:ascii="宋体" w:hAnsi="宋体" w:eastAsia="宋体" w:cs="宋体"/>
                <w:b w:val="0"/>
              </w:rPr>
              <w:t>-9.59%</w:t>
            </w:r>
          </w:p>
        </w:tc>
        <w:tc>
          <w:tcPr>
            <w:tcW w:w="0" w:type="dxa"/>
            <w:vAlign w:val="center"/>
          </w:tcPr>
          <w:p>
            <w:pPr>
              <w:spacing w:line="240" w:lineRule="auto"/>
              <w:jc w:val="right"/>
            </w:pPr>
            <w:r>
              <w:rPr>
                <w:rFonts w:ascii="宋体" w:hAnsi="宋体" w:eastAsia="宋体" w:cs="宋体"/>
                <w:b w:val="0"/>
              </w:rPr>
              <w:t>1.24%</w:t>
            </w:r>
          </w:p>
        </w:tc>
        <w:tc>
          <w:tcPr>
            <w:tcW w:w="0" w:type="dxa"/>
            <w:vAlign w:val="center"/>
          </w:tcPr>
          <w:p>
            <w:pPr>
              <w:spacing w:line="240" w:lineRule="auto"/>
              <w:jc w:val="right"/>
            </w:pPr>
            <w:r>
              <w:rPr>
                <w:rFonts w:ascii="宋体" w:hAnsi="宋体" w:eastAsia="宋体" w:cs="宋体"/>
                <w:b w:val="0"/>
              </w:rPr>
              <w:t>41.13%</w:t>
            </w:r>
          </w:p>
        </w:tc>
        <w:tc>
          <w:tcPr>
            <w:tcW w:w="0" w:type="dxa"/>
            <w:vAlign w:val="center"/>
          </w:tcPr>
          <w:p>
            <w:pPr>
              <w:spacing w:line="240" w:lineRule="auto"/>
              <w:jc w:val="right"/>
            </w:pPr>
            <w:r>
              <w:rPr>
                <w:rFonts w:ascii="宋体" w:hAnsi="宋体" w:eastAsia="宋体" w:cs="宋体"/>
                <w:b w:val="0"/>
              </w:rPr>
              <w:t>0.62%</w:t>
            </w:r>
          </w:p>
        </w:tc>
      </w:tr>
    </w:tbl>
    <w:p>
      <w:pPr>
        <w:jc w:val="left"/>
      </w:pPr>
      <w:r>
        <w:rPr>
          <w:rFonts w:ascii="宋体" w:hAnsi="宋体" w:eastAsia="宋体" w:cs="宋体"/>
          <w:b/>
        </w:rPr>
        <w:t>东方阿尔法医疗健康混合发起C净值表现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30.42%</w:t>
            </w:r>
          </w:p>
        </w:tc>
        <w:tc>
          <w:tcPr>
            <w:tcW w:w="0" w:type="dxa"/>
            <w:vAlign w:val="center"/>
          </w:tcPr>
          <w:p>
            <w:pPr>
              <w:spacing w:line="240" w:lineRule="auto"/>
              <w:jc w:val="right"/>
            </w:pPr>
            <w:r>
              <w:rPr>
                <w:rFonts w:ascii="宋体" w:hAnsi="宋体" w:eastAsia="宋体" w:cs="宋体"/>
                <w:b w:val="0"/>
              </w:rPr>
              <w:t>2.91%</w:t>
            </w:r>
          </w:p>
        </w:tc>
        <w:tc>
          <w:tcPr>
            <w:tcW w:w="0" w:type="dxa"/>
            <w:vAlign w:val="center"/>
          </w:tcPr>
          <w:p>
            <w:pPr>
              <w:spacing w:line="240" w:lineRule="auto"/>
              <w:jc w:val="right"/>
            </w:pPr>
            <w:r>
              <w:rPr>
                <w:rFonts w:ascii="宋体" w:hAnsi="宋体" w:eastAsia="宋体" w:cs="宋体"/>
                <w:b w:val="0"/>
              </w:rPr>
              <w:t>10.68%</w:t>
            </w:r>
          </w:p>
        </w:tc>
        <w:tc>
          <w:tcPr>
            <w:tcW w:w="0" w:type="dxa"/>
            <w:vAlign w:val="center"/>
          </w:tcPr>
          <w:p>
            <w:pPr>
              <w:spacing w:line="240" w:lineRule="auto"/>
              <w:jc w:val="right"/>
            </w:pPr>
            <w:r>
              <w:rPr>
                <w:rFonts w:ascii="宋体" w:hAnsi="宋体" w:eastAsia="宋体" w:cs="宋体"/>
                <w:b w:val="0"/>
              </w:rPr>
              <w:t>1.45%</w:t>
            </w:r>
          </w:p>
        </w:tc>
        <w:tc>
          <w:tcPr>
            <w:tcW w:w="0" w:type="dxa"/>
            <w:vAlign w:val="center"/>
          </w:tcPr>
          <w:p>
            <w:pPr>
              <w:spacing w:line="240" w:lineRule="auto"/>
              <w:jc w:val="right"/>
            </w:pPr>
            <w:r>
              <w:rPr>
                <w:rFonts w:ascii="宋体" w:hAnsi="宋体" w:eastAsia="宋体" w:cs="宋体"/>
                <w:b w:val="0"/>
              </w:rPr>
              <w:t>19.74%</w:t>
            </w:r>
          </w:p>
        </w:tc>
        <w:tc>
          <w:tcPr>
            <w:tcW w:w="0" w:type="dxa"/>
            <w:vAlign w:val="center"/>
          </w:tcPr>
          <w:p>
            <w:pPr>
              <w:spacing w:line="240" w:lineRule="auto"/>
              <w:jc w:val="right"/>
            </w:pPr>
            <w:r>
              <w:rPr>
                <w:rFonts w:ascii="宋体" w:hAnsi="宋体" w:eastAsia="宋体" w:cs="宋体"/>
                <w:b w:val="0"/>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17.98%</w:t>
            </w:r>
          </w:p>
        </w:tc>
        <w:tc>
          <w:tcPr>
            <w:tcW w:w="0" w:type="dxa"/>
            <w:vAlign w:val="center"/>
          </w:tcPr>
          <w:p>
            <w:pPr>
              <w:spacing w:line="240" w:lineRule="auto"/>
              <w:jc w:val="right"/>
            </w:pPr>
            <w:r>
              <w:rPr>
                <w:rFonts w:ascii="宋体" w:hAnsi="宋体" w:eastAsia="宋体" w:cs="宋体"/>
                <w:b w:val="0"/>
              </w:rPr>
              <w:t>2.72%</w:t>
            </w:r>
          </w:p>
        </w:tc>
        <w:tc>
          <w:tcPr>
            <w:tcW w:w="0" w:type="dxa"/>
            <w:vAlign w:val="center"/>
          </w:tcPr>
          <w:p>
            <w:pPr>
              <w:spacing w:line="240" w:lineRule="auto"/>
              <w:jc w:val="right"/>
            </w:pPr>
            <w:r>
              <w:rPr>
                <w:rFonts w:ascii="宋体" w:hAnsi="宋体" w:eastAsia="宋体" w:cs="宋体"/>
                <w:b w:val="0"/>
              </w:rPr>
              <w:t>2.40%</w:t>
            </w:r>
          </w:p>
        </w:tc>
        <w:tc>
          <w:tcPr>
            <w:tcW w:w="0" w:type="dxa"/>
            <w:vAlign w:val="center"/>
          </w:tcPr>
          <w:p>
            <w:pPr>
              <w:spacing w:line="240" w:lineRule="auto"/>
              <w:jc w:val="right"/>
            </w:pPr>
            <w:r>
              <w:rPr>
                <w:rFonts w:ascii="宋体" w:hAnsi="宋体" w:eastAsia="宋体" w:cs="宋体"/>
                <w:b w:val="0"/>
              </w:rPr>
              <w:t>1.34%</w:t>
            </w:r>
          </w:p>
        </w:tc>
        <w:tc>
          <w:tcPr>
            <w:tcW w:w="0" w:type="dxa"/>
            <w:vAlign w:val="center"/>
          </w:tcPr>
          <w:p>
            <w:pPr>
              <w:spacing w:line="240" w:lineRule="auto"/>
              <w:jc w:val="right"/>
            </w:pPr>
            <w:r>
              <w:rPr>
                <w:rFonts w:ascii="宋体" w:hAnsi="宋体" w:eastAsia="宋体" w:cs="宋体"/>
                <w:b w:val="0"/>
              </w:rPr>
              <w:t>15.58%</w:t>
            </w:r>
          </w:p>
        </w:tc>
        <w:tc>
          <w:tcPr>
            <w:tcW w:w="0" w:type="dxa"/>
            <w:vAlign w:val="center"/>
          </w:tcPr>
          <w:p>
            <w:pPr>
              <w:spacing w:line="240" w:lineRule="auto"/>
              <w:jc w:val="right"/>
            </w:pPr>
            <w:r>
              <w:rPr>
                <w:rFonts w:ascii="宋体" w:hAnsi="宋体" w:eastAsia="宋体" w:cs="宋体"/>
                <w:b w:val="0"/>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1.30%</w:t>
            </w:r>
          </w:p>
        </w:tc>
        <w:tc>
          <w:tcPr>
            <w:tcW w:w="0" w:type="dxa"/>
            <w:vAlign w:val="center"/>
          </w:tcPr>
          <w:p>
            <w:pPr>
              <w:spacing w:line="240" w:lineRule="auto"/>
              <w:jc w:val="right"/>
            </w:pPr>
            <w:r>
              <w:rPr>
                <w:rFonts w:ascii="宋体" w:hAnsi="宋体" w:eastAsia="宋体" w:cs="宋体"/>
                <w:b w:val="0"/>
              </w:rPr>
              <w:t>2.55%</w:t>
            </w:r>
          </w:p>
        </w:tc>
        <w:tc>
          <w:tcPr>
            <w:tcW w:w="0" w:type="dxa"/>
            <w:vAlign w:val="center"/>
          </w:tcPr>
          <w:p>
            <w:pPr>
              <w:spacing w:line="240" w:lineRule="auto"/>
              <w:jc w:val="right"/>
            </w:pPr>
            <w:r>
              <w:rPr>
                <w:rFonts w:ascii="宋体" w:hAnsi="宋体" w:eastAsia="宋体" w:cs="宋体"/>
                <w:b w:val="0"/>
              </w:rPr>
              <w:t>-10.50%</w:t>
            </w:r>
          </w:p>
        </w:tc>
        <w:tc>
          <w:tcPr>
            <w:tcW w:w="0" w:type="dxa"/>
            <w:vAlign w:val="center"/>
          </w:tcPr>
          <w:p>
            <w:pPr>
              <w:spacing w:line="240" w:lineRule="auto"/>
              <w:jc w:val="right"/>
            </w:pPr>
            <w:r>
              <w:rPr>
                <w:rFonts w:ascii="宋体" w:hAnsi="宋体" w:eastAsia="宋体" w:cs="宋体"/>
                <w:b w:val="0"/>
              </w:rPr>
              <w:t>1.21%</w:t>
            </w:r>
          </w:p>
        </w:tc>
        <w:tc>
          <w:tcPr>
            <w:tcW w:w="0" w:type="dxa"/>
            <w:vAlign w:val="center"/>
          </w:tcPr>
          <w:p>
            <w:pPr>
              <w:spacing w:line="240" w:lineRule="auto"/>
              <w:jc w:val="right"/>
            </w:pPr>
            <w:r>
              <w:rPr>
                <w:rFonts w:ascii="宋体" w:hAnsi="宋体" w:eastAsia="宋体" w:cs="宋体"/>
                <w:b w:val="0"/>
              </w:rPr>
              <w:t>11.80%</w:t>
            </w:r>
          </w:p>
        </w:tc>
        <w:tc>
          <w:tcPr>
            <w:tcW w:w="0" w:type="dxa"/>
            <w:vAlign w:val="center"/>
          </w:tcPr>
          <w:p>
            <w:pPr>
              <w:spacing w:line="240" w:lineRule="auto"/>
              <w:jc w:val="right"/>
            </w:pPr>
            <w:r>
              <w:rPr>
                <w:rFonts w:ascii="宋体" w:hAnsi="宋体" w:eastAsia="宋体" w:cs="宋体"/>
                <w:b w:val="0"/>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过去三年</w:t>
            </w:r>
          </w:p>
        </w:tc>
        <w:tc>
          <w:tcPr>
            <w:tcW w:w="0" w:type="dxa"/>
            <w:vAlign w:val="center"/>
          </w:tcPr>
          <w:p>
            <w:pPr>
              <w:spacing w:line="240" w:lineRule="auto"/>
              <w:jc w:val="right"/>
            </w:pPr>
            <w:r>
              <w:rPr>
                <w:rFonts w:ascii="宋体" w:hAnsi="宋体" w:eastAsia="宋体" w:cs="宋体"/>
                <w:b w:val="0"/>
              </w:rPr>
              <w:t>36.50%</w:t>
            </w:r>
          </w:p>
        </w:tc>
        <w:tc>
          <w:tcPr>
            <w:tcW w:w="0" w:type="dxa"/>
            <w:vAlign w:val="center"/>
          </w:tcPr>
          <w:p>
            <w:pPr>
              <w:spacing w:line="240" w:lineRule="auto"/>
              <w:jc w:val="right"/>
            </w:pPr>
            <w:r>
              <w:rPr>
                <w:rFonts w:ascii="宋体" w:hAnsi="宋体" w:eastAsia="宋体" w:cs="宋体"/>
                <w:b w:val="0"/>
              </w:rPr>
              <w:t>2.09%</w:t>
            </w:r>
          </w:p>
        </w:tc>
        <w:tc>
          <w:tcPr>
            <w:tcW w:w="0" w:type="dxa"/>
            <w:vAlign w:val="center"/>
          </w:tcPr>
          <w:p>
            <w:pPr>
              <w:spacing w:line="240" w:lineRule="auto"/>
              <w:jc w:val="right"/>
            </w:pPr>
            <w:r>
              <w:rPr>
                <w:rFonts w:ascii="宋体" w:hAnsi="宋体" w:eastAsia="宋体" w:cs="宋体"/>
                <w:b w:val="0"/>
              </w:rPr>
              <w:t>1.96%</w:t>
            </w:r>
          </w:p>
        </w:tc>
        <w:tc>
          <w:tcPr>
            <w:tcW w:w="0" w:type="dxa"/>
            <w:vAlign w:val="center"/>
          </w:tcPr>
          <w:p>
            <w:pPr>
              <w:spacing w:line="240" w:lineRule="auto"/>
              <w:jc w:val="right"/>
            </w:pPr>
            <w:r>
              <w:rPr>
                <w:rFonts w:ascii="宋体" w:hAnsi="宋体" w:eastAsia="宋体" w:cs="宋体"/>
                <w:b w:val="0"/>
              </w:rPr>
              <w:t>1.25%</w:t>
            </w:r>
          </w:p>
        </w:tc>
        <w:tc>
          <w:tcPr>
            <w:tcW w:w="0" w:type="dxa"/>
            <w:vAlign w:val="center"/>
          </w:tcPr>
          <w:p>
            <w:pPr>
              <w:spacing w:line="240" w:lineRule="auto"/>
              <w:jc w:val="right"/>
            </w:pPr>
            <w:r>
              <w:rPr>
                <w:rFonts w:ascii="宋体" w:hAnsi="宋体" w:eastAsia="宋体" w:cs="宋体"/>
                <w:b w:val="0"/>
              </w:rPr>
              <w:t>34.54%</w:t>
            </w:r>
          </w:p>
        </w:tc>
        <w:tc>
          <w:tcPr>
            <w:tcW w:w="0" w:type="dxa"/>
            <w:vAlign w:val="center"/>
          </w:tcPr>
          <w:p>
            <w:pPr>
              <w:spacing w:line="240" w:lineRule="auto"/>
              <w:jc w:val="right"/>
            </w:pPr>
            <w:r>
              <w:rPr>
                <w:rFonts w:ascii="宋体" w:hAnsi="宋体" w:eastAsia="宋体" w:cs="宋体"/>
                <w:b w:val="0"/>
              </w:rPr>
              <w:t>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28.57%</w:t>
            </w:r>
          </w:p>
        </w:tc>
        <w:tc>
          <w:tcPr>
            <w:tcW w:w="0" w:type="dxa"/>
            <w:vAlign w:val="center"/>
          </w:tcPr>
          <w:p>
            <w:pPr>
              <w:spacing w:line="240" w:lineRule="auto"/>
              <w:jc w:val="right"/>
            </w:pPr>
            <w:r>
              <w:rPr>
                <w:rFonts w:ascii="宋体" w:hAnsi="宋体" w:eastAsia="宋体" w:cs="宋体"/>
                <w:b w:val="0"/>
              </w:rPr>
              <w:t>1.86%</w:t>
            </w:r>
          </w:p>
        </w:tc>
        <w:tc>
          <w:tcPr>
            <w:tcW w:w="0" w:type="dxa"/>
            <w:vAlign w:val="center"/>
          </w:tcPr>
          <w:p>
            <w:pPr>
              <w:spacing w:line="240" w:lineRule="auto"/>
              <w:jc w:val="right"/>
            </w:pPr>
            <w:r>
              <w:rPr>
                <w:rFonts w:ascii="宋体" w:hAnsi="宋体" w:eastAsia="宋体" w:cs="宋体"/>
                <w:b w:val="0"/>
              </w:rPr>
              <w:t>-9.59%</w:t>
            </w:r>
          </w:p>
        </w:tc>
        <w:tc>
          <w:tcPr>
            <w:tcW w:w="0" w:type="dxa"/>
            <w:vAlign w:val="center"/>
          </w:tcPr>
          <w:p>
            <w:pPr>
              <w:spacing w:line="240" w:lineRule="auto"/>
              <w:jc w:val="right"/>
            </w:pPr>
            <w:r>
              <w:rPr>
                <w:rFonts w:ascii="宋体" w:hAnsi="宋体" w:eastAsia="宋体" w:cs="宋体"/>
                <w:b w:val="0"/>
              </w:rPr>
              <w:t>1.24%</w:t>
            </w:r>
          </w:p>
        </w:tc>
        <w:tc>
          <w:tcPr>
            <w:tcW w:w="0" w:type="dxa"/>
            <w:vAlign w:val="center"/>
          </w:tcPr>
          <w:p>
            <w:pPr>
              <w:spacing w:line="240" w:lineRule="auto"/>
              <w:jc w:val="right"/>
            </w:pPr>
            <w:r>
              <w:rPr>
                <w:rFonts w:ascii="宋体" w:hAnsi="宋体" w:eastAsia="宋体" w:cs="宋体"/>
                <w:b w:val="0"/>
              </w:rPr>
              <w:t>38.16%</w:t>
            </w:r>
          </w:p>
        </w:tc>
        <w:tc>
          <w:tcPr>
            <w:tcW w:w="0" w:type="dxa"/>
            <w:vAlign w:val="center"/>
          </w:tcPr>
          <w:p>
            <w:pPr>
              <w:spacing w:line="240" w:lineRule="auto"/>
              <w:jc w:val="right"/>
            </w:pPr>
            <w:r>
              <w:rPr>
                <w:rFonts w:ascii="宋体" w:hAnsi="宋体" w:eastAsia="宋体" w:cs="宋体"/>
                <w:b w:val="0"/>
              </w:rPr>
              <w:t>0.62%</w:t>
            </w:r>
          </w:p>
        </w:tc>
      </w:tr>
    </w:tbl>
    <w:p>
      <w:r>
        <w:rPr>
          <w:rFonts w:ascii="宋体" w:hAnsi="宋体" w:eastAsia="宋体" w:cs="宋体"/>
          <w:b w:val="0"/>
        </w:rPr>
        <w:t>注：自 2026年9月21日起，本基金业绩比较基准由“中证医药卫生指数收益率*60%+恒生医疗保健指数收益率*20%+中证综合债券指数收益率*20%”调整为“中证医药卫生指数收益率*65%+恒生医疗保健指数收益率*20%+中证综合债（全价）指数收益率*15%”。基于本基金的投资目标、投资范围和投资策略，本基金的债券资产采用全市场策略，主要通过类属配置与券种选择进行投资管理。原业绩比较基准中，中证综合债券指数（指数代码H11009）选取在沪深交易所或银行间市场上市的BBB及以上、且剩余期限1个月及以上的国债、金融债、企业债等债券作为成份券，该指数旨在更全面地反映我国债券市场的整体价格变动趋势。调整后的新业绩比较基准中，中证综合债（全价）指数（指数代码H11009CNY030）为中证综合债券指数的全价算法衍生指数，适合作为本基金债券部分的业绩比较基准要素。此外，基于本基金历史持仓，并结合基金合同约定的投资比例限制以及本基金预期的资产配置比例中枢，将业绩比较基准中的股票资产所对应的基准要素权重从80%提高至85%（其中A股股票部分的基准要素权重相应从60%提高至65%，港股通标的股票部分的基准要素权重仍维持20%），将业绩比较基准中的债券资产所对应的基准要素权重从20%降低至15%，从而使得新业绩比较基准中各大资产类别所对应的基准要素权重与基金投资策略和基金过往实际投资运作等相匹配。本次调整业绩比较基准旨在提高基金业绩表现与业绩比较基准的可比性，更加清晰反映基金的风险收益特征，不会对产品投资运作、持有人利益产生实质性不利影响。基金业绩比较基准收益率在调整前后期间分别根据相应的指标计算。</w:t>
      </w:r>
    </w:p>
    <w:p/>
    <w:p>
      <w:pPr>
        <w:pStyle w:val="58"/>
      </w:pPr>
      <w:r>
        <w:rPr>
          <w:rStyle w:val="30"/>
          <w:rFonts w:ascii="宋体" w:hAnsi="宋体" w:eastAsia="宋体" w:cs="宋体"/>
          <w:b/>
        </w:rPr>
        <w:t>3.2.2 自基金合同生效以来基金累计净值增长率变动及其与同期业绩比较基准收益率变动的比较</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注：自 2026年9月21日起，本基金业绩比较基准由“中证医药卫生指数收益率*60%+恒生医疗保健指数收益率*20%+中证综合债券指数收益率*20%”调整为“中证医药卫生指数收益率*65%+恒生医疗保健指数收益率*20%+中证综合债（全价）指数收益率*15%”。</w:t>
      </w:r>
    </w:p>
    <w:p>
      <w:pPr>
        <w:pStyle w:val="2"/>
        <w:jc w:val="center"/>
      </w:pPr>
      <w:r>
        <w:rPr>
          <w:rFonts w:ascii="宋体" w:hAnsi="宋体" w:eastAsia="宋体" w:cs="宋体"/>
        </w:rPr>
        <w:t>§4 管理人报告</w:t>
      </w:r>
    </w:p>
    <w:p>
      <w:pPr>
        <w:pStyle w:val="3"/>
        <w:jc w:val="left"/>
      </w:pPr>
      <w:r>
        <w:rPr>
          <w:rFonts w:ascii="宋体" w:hAnsi="宋体" w:eastAsia="宋体" w:cs="宋体"/>
        </w:rPr>
        <w:t>4.1 基金经理（或基金经理小组）简介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229"/>
        <w:gridCol w:w="1501"/>
        <w:gridCol w:w="1501"/>
        <w:gridCol w:w="800"/>
        <w:gridCol w:w="3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pct"/>
            <w:vMerge w:val="restart"/>
            <w:shd w:val="clear" w:color="auto" w:fill="D9D9D9"/>
            <w:vAlign w:val="center"/>
          </w:tcPr>
          <w:p>
            <w:pPr>
              <w:spacing w:line="240" w:lineRule="auto"/>
              <w:jc w:val="center"/>
            </w:pPr>
            <w:r>
              <w:rPr>
                <w:rFonts w:ascii="宋体" w:hAnsi="宋体" w:eastAsia="宋体" w:cs="宋体"/>
                <w:b w:val="0"/>
              </w:rPr>
              <w:t>姓名</w:t>
            </w:r>
          </w:p>
        </w:tc>
        <w:tc>
          <w:tcPr>
            <w:tcW w:w="662" w:type="pct"/>
            <w:vMerge w:val="restart"/>
            <w:shd w:val="clear" w:color="auto" w:fill="D9D9D9"/>
            <w:vAlign w:val="center"/>
          </w:tcPr>
          <w:p>
            <w:pPr>
              <w:spacing w:line="240" w:lineRule="auto"/>
              <w:jc w:val="center"/>
            </w:pPr>
            <w:r>
              <w:rPr>
                <w:rFonts w:ascii="宋体" w:hAnsi="宋体" w:eastAsia="宋体" w:cs="宋体"/>
                <w:b w:val="0"/>
              </w:rPr>
              <w:t>职务</w:t>
            </w:r>
          </w:p>
        </w:tc>
        <w:tc>
          <w:tcPr>
            <w:tcW w:w="1615" w:type="pct"/>
            <w:gridSpan w:val="2"/>
            <w:shd w:val="clear" w:color="auto" w:fill="D9D9D9"/>
            <w:vAlign w:val="center"/>
          </w:tcPr>
          <w:p>
            <w:pPr>
              <w:spacing w:line="240" w:lineRule="auto"/>
              <w:jc w:val="center"/>
            </w:pPr>
            <w:r>
              <w:rPr>
                <w:rFonts w:ascii="宋体" w:hAnsi="宋体" w:eastAsia="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hAnsi="宋体" w:eastAsia="宋体" w:cs="宋体"/>
                <w:b w:val="0"/>
              </w:rPr>
              <w:t>证券从业年限</w:t>
            </w:r>
          </w:p>
        </w:tc>
        <w:tc>
          <w:tcPr>
            <w:tcW w:w="1631" w:type="pct"/>
            <w:vMerge w:val="restart"/>
            <w:shd w:val="clear" w:color="auto" w:fill="D9D9D9"/>
            <w:vAlign w:val="center"/>
          </w:tcPr>
          <w:p>
            <w:pPr>
              <w:spacing w:line="240" w:lineRule="auto"/>
              <w:jc w:val="center"/>
            </w:pPr>
            <w:r>
              <w:rPr>
                <w:rFonts w:ascii="宋体" w:hAnsi="宋体" w:eastAsia="宋体" w:cs="宋体"/>
                <w:b w:val="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808" w:type="pct"/>
            <w:shd w:val="clear" w:color="auto" w:fill="D9D9D9"/>
            <w:vAlign w:val="center"/>
          </w:tcPr>
          <w:p>
            <w:pPr>
              <w:spacing w:line="240" w:lineRule="auto"/>
              <w:jc w:val="center"/>
            </w:pPr>
            <w:r>
              <w:rPr>
                <w:rFonts w:ascii="宋体" w:hAnsi="宋体" w:eastAsia="宋体" w:cs="宋体"/>
                <w:b w:val="0"/>
              </w:rPr>
              <w:t>任职日期</w:t>
            </w:r>
          </w:p>
        </w:tc>
        <w:tc>
          <w:tcPr>
            <w:tcW w:w="808" w:type="pct"/>
            <w:shd w:val="clear" w:color="auto" w:fill="D9D9D9"/>
            <w:vAlign w:val="center"/>
          </w:tcPr>
          <w:p>
            <w:pPr>
              <w:spacing w:line="240" w:lineRule="auto"/>
              <w:jc w:val="center"/>
            </w:pPr>
            <w:r>
              <w:rPr>
                <w:rFonts w:ascii="宋体" w:hAnsi="宋体" w:eastAsia="宋体" w:cs="宋体"/>
                <w:b w:val="0"/>
              </w:rPr>
              <w:t>离任日期</w:t>
            </w:r>
          </w:p>
        </w:tc>
        <w:tc>
          <w:tcPr>
            <w:vMerge w:val="continue"/>
          </w:tcP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孙振波</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center"/>
            </w:pPr>
            <w:r>
              <w:rPr>
                <w:rFonts w:ascii="宋体" w:hAnsi="宋体" w:eastAsia="宋体" w:cs="宋体"/>
                <w:b w:val="0"/>
              </w:rPr>
              <w:t>2026-08-05</w:t>
            </w:r>
          </w:p>
        </w:tc>
        <w:tc>
          <w:tcPr>
            <w:tcW w:w="0" w:type="dxa"/>
            <w:vAlign w:val="center"/>
          </w:tcPr>
          <w:p>
            <w:pPr>
              <w:spacing w:line="240" w:lineRule="auto"/>
              <w:jc w:val="center"/>
            </w:pPr>
            <w:r>
              <w:rPr>
                <w:rFonts w:ascii="宋体" w:hAnsi="宋体" w:eastAsia="宋体" w:cs="宋体"/>
                <w:b w:val="0"/>
              </w:rPr>
              <w:t>-</w:t>
            </w:r>
          </w:p>
        </w:tc>
        <w:tc>
          <w:tcPr>
            <w:tcW w:w="0" w:type="dxa"/>
            <w:vAlign w:val="center"/>
          </w:tcPr>
          <w:p>
            <w:pPr>
              <w:spacing w:line="240" w:lineRule="auto"/>
              <w:jc w:val="center"/>
            </w:pPr>
            <w:r>
              <w:rPr>
                <w:rFonts w:ascii="宋体" w:hAnsi="宋体" w:eastAsia="宋体" w:cs="宋体"/>
                <w:b w:val="0"/>
              </w:rPr>
              <w:t>7年</w:t>
            </w:r>
          </w:p>
        </w:tc>
        <w:tc>
          <w:tcPr>
            <w:tcW w:w="0" w:type="dxa"/>
            <w:vAlign w:val="center"/>
          </w:tcPr>
          <w:p>
            <w:pPr>
              <w:spacing w:line="240" w:lineRule="auto"/>
              <w:jc w:val="left"/>
            </w:pPr>
            <w:r>
              <w:rPr>
                <w:rFonts w:ascii="宋体" w:hAnsi="宋体" w:eastAsia="宋体" w:cs="宋体"/>
                <w:b w:val="0"/>
              </w:rPr>
              <w:t>孙振波先生，中国科学技术大学理学学士，复旦大学理学硕士。于2019年6月入职东方阿尔法基金管理有限公司，历任研究员、基金经理助理。现任东方阿尔法基金管理有限公司基金经理。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孟昱</w:t>
            </w:r>
          </w:p>
        </w:tc>
        <w:tc>
          <w:tcPr>
            <w:tcW w:w="0" w:type="dxa"/>
            <w:vAlign w:val="center"/>
          </w:tcPr>
          <w:p>
            <w:pPr>
              <w:spacing w:line="240" w:lineRule="auto"/>
              <w:jc w:val="left"/>
            </w:pPr>
            <w:r>
              <w:rPr>
                <w:rFonts w:ascii="宋体" w:hAnsi="宋体" w:eastAsia="宋体" w:cs="宋体"/>
                <w:b w:val="0"/>
              </w:rPr>
              <w:t>基金经理（已离任）</w:t>
            </w:r>
          </w:p>
        </w:tc>
        <w:tc>
          <w:tcPr>
            <w:tcW w:w="0" w:type="dxa"/>
            <w:vAlign w:val="center"/>
          </w:tcPr>
          <w:p>
            <w:pPr>
              <w:spacing w:line="240" w:lineRule="auto"/>
              <w:jc w:val="center"/>
            </w:pPr>
            <w:r>
              <w:rPr>
                <w:rFonts w:ascii="宋体" w:hAnsi="宋体" w:eastAsia="宋体" w:cs="宋体"/>
                <w:b w:val="0"/>
              </w:rPr>
              <w:t>2023-11-29</w:t>
            </w:r>
          </w:p>
        </w:tc>
        <w:tc>
          <w:tcPr>
            <w:tcW w:w="0" w:type="dxa"/>
            <w:vAlign w:val="center"/>
          </w:tcPr>
          <w:p>
            <w:pPr>
              <w:spacing w:line="240" w:lineRule="auto"/>
              <w:jc w:val="center"/>
            </w:pPr>
            <w:r>
              <w:rPr>
                <w:rFonts w:ascii="宋体" w:hAnsi="宋体" w:eastAsia="宋体" w:cs="宋体"/>
                <w:b w:val="0"/>
              </w:rPr>
              <w:t>2026-08-05</w:t>
            </w:r>
          </w:p>
        </w:tc>
        <w:tc>
          <w:tcPr>
            <w:tcW w:w="0" w:type="dxa"/>
            <w:vAlign w:val="center"/>
          </w:tcPr>
          <w:p>
            <w:pPr>
              <w:spacing w:line="240" w:lineRule="auto"/>
              <w:jc w:val="center"/>
            </w:pPr>
            <w:r>
              <w:rPr>
                <w:rFonts w:ascii="宋体" w:hAnsi="宋体" w:eastAsia="宋体" w:cs="宋体"/>
                <w:b w:val="0"/>
              </w:rPr>
              <w:t>6年</w:t>
            </w:r>
          </w:p>
        </w:tc>
        <w:tc>
          <w:tcPr>
            <w:tcW w:w="0" w:type="dxa"/>
            <w:vAlign w:val="center"/>
          </w:tcPr>
          <w:p>
            <w:pPr>
              <w:spacing w:line="240" w:lineRule="auto"/>
              <w:jc w:val="left"/>
            </w:pPr>
            <w:r>
              <w:rPr>
                <w:rFonts w:ascii="宋体" w:hAnsi="宋体" w:eastAsia="宋体" w:cs="宋体"/>
                <w:b w:val="0"/>
              </w:rPr>
              <w:t>孟昱先生，中山大学理学硕士，2020年8月至2021年9月，在深圳市涌容资产管理有限公司工作，任研究部研究员；2021年10月至2023年10月，在深圳市中欧瑞博投资管理股份有限公司工作，历任医药投研部研究员、基金经理；2023年10月，入职东方阿尔法基金管理有限公司公募投资部。</w:t>
            </w:r>
          </w:p>
        </w:tc>
      </w:tr>
    </w:tbl>
    <w:p>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p>
      <w:pPr>
        <w:pStyle w:val="58"/>
      </w:pPr>
      <w:r>
        <w:rPr>
          <w:rStyle w:val="30"/>
          <w:rFonts w:ascii="宋体" w:hAnsi="宋体" w:eastAsia="宋体" w:cs="宋体"/>
          <w:b/>
        </w:rPr>
        <w:t>4.1.1 期末兼任私募资产管理计划投资经理的基金经理同时管理的产品情况</w:t>
      </w:r>
    </w:p>
    <w:p>
      <w:r>
        <w:rPr>
          <w:rFonts w:ascii="宋体" w:hAnsi="宋体" w:eastAsia="宋体" w:cs="宋体"/>
          <w:b w:val="0"/>
        </w:rPr>
        <w:t xml:space="preserve">    本基金基金经理不存在兼任私募资产管理计划的投资经理的情况。</w:t>
      </w:r>
    </w:p>
    <w:p/>
    <w:p>
      <w:pPr>
        <w:pStyle w:val="3"/>
        <w:jc w:val="left"/>
      </w:pPr>
      <w:r>
        <w:rPr>
          <w:rFonts w:ascii="宋体" w:hAnsi="宋体" w:eastAsia="宋体" w:cs="宋体"/>
        </w:rPr>
        <w:t>4.2 管理人对报告期内本基金运作遵规守信情况的说明</w:t>
      </w:r>
    </w:p>
    <w:p>
      <w:r>
        <w:rPr>
          <w:rFonts w:ascii="宋体" w:hAnsi="宋体" w:eastAsia="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3"/>
        <w:jc w:val="left"/>
      </w:pPr>
      <w:r>
        <w:rPr>
          <w:rFonts w:ascii="宋体" w:hAnsi="宋体" w:eastAsia="宋体" w:cs="宋体"/>
        </w:rPr>
        <w:t>4.3 公平交易专项说明</w:t>
      </w:r>
    </w:p>
    <w:p>
      <w:pPr>
        <w:pStyle w:val="58"/>
      </w:pPr>
      <w:r>
        <w:rPr>
          <w:rStyle w:val="30"/>
          <w:rFonts w:ascii="宋体" w:hAnsi="宋体" w:eastAsia="宋体" w:cs="宋体"/>
          <w:b/>
        </w:rPr>
        <w:t>4.3.1 公平交易制度的执行情况</w:t>
      </w:r>
    </w:p>
    <w:p>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58"/>
      </w:pPr>
      <w:r>
        <w:rPr>
          <w:rStyle w:val="30"/>
          <w:rFonts w:ascii="宋体" w:hAnsi="宋体" w:eastAsia="宋体" w:cs="宋体"/>
          <w:b/>
        </w:rPr>
        <w:t>4.3.2 异常交易行为的专项说明</w:t>
      </w:r>
    </w:p>
    <w:p>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3"/>
        <w:jc w:val="left"/>
      </w:pPr>
      <w:r>
        <w:rPr>
          <w:rFonts w:ascii="宋体" w:hAnsi="宋体" w:eastAsia="宋体" w:cs="宋体"/>
        </w:rPr>
        <w:t>4.4 报告期内基金的投资策略和运作分析</w:t>
      </w:r>
    </w:p>
    <w:p>
      <w:r>
        <w:rPr>
          <w:rFonts w:ascii="宋体" w:hAnsi="宋体" w:eastAsia="宋体" w:cs="宋体"/>
          <w:b w:val="0"/>
        </w:rPr>
        <w:t xml:space="preserve">    2026年三季度，全球创新药研发投融资延续回暖，医药研发外包（CXO）及上游科研服务板块进入景气度持续向上、业绩高增的黄金周期。从2026 年中报和二季度经营数据看，国内外头部企业如药明康德、药明生物、康龙化成、金斯瑞生物科技等，营收和净利润同比大幅增长，订单充裕，业绩指引多次上调，体现出产业链由需求端到业绩端逐步传导、景气趋势加速兑现。全球创新药研发投融资回暖推动创新早研、药物发现、临床前研究、CDMO 等环节量价齐升；GLP-1、多肽、ADC、小核酸等新分子商业化推进，成为拉动高价值订单和产能扩张的更强驱动。产业链头部公司持续加码产能、优化结构，集中度提升、规模扩张进展良好，盈利能力与现金流状况显著改善，行业长期成长逻辑进一步夯实。</w:t>
      </w:r>
      <w:r>
        <w:rPr>
          <w:rFonts w:ascii="宋体" w:hAnsi="宋体" w:eastAsia="宋体" w:cs="宋体"/>
          <w:b w:val="0"/>
        </w:rPr>
        <w:br w:type="textWrapping"/>
      </w:r>
      <w:r>
        <w:rPr>
          <w:rFonts w:ascii="宋体" w:hAnsi="宋体" w:eastAsia="宋体" w:cs="宋体"/>
          <w:b w:val="0"/>
        </w:rPr>
        <w:t xml:space="preserve">    与此同时，AIDD（人工智能驱动药物发现）正在成为产业链需求新周期的核心增量。AI技术深度渗透药物研发从靶点挖掘、分子设计到工艺优化、临床试验等全流程，大幅提升研发效率、压缩开发周期。AIDD 催生的大量候选分子通过高通量湿实验进行表达、筛选、验证，再将实验结果反馈模型，形成“设计—构建—测试—学习”（DBTL）研发闭环。这一模式推动基因合成、蛋白表达、检测试剂、模式动物、分离纯化耗材等上游环节需求爆发，实验通量和自动化平台升级成为关键，国内涉及蛋白合成的头部科研服务公司订单和业绩实现高速增长并大幅提升利润率，AIDD相关订单毛利率显著高于传统业务。海外产业趋势亦已印证这一逻辑，Twist、Anthropic等AI药物发现平台订单持续高速增长，更多科技巨头及创新药企加快与AI平台、上游实验室深度合作，推动封闭式研发向开放式、自动化、标准化转型，形成模型—实验—产业三位一体的创新生态，为产业长期景气提供持续增量支撑。</w:t>
      </w:r>
      <w:r>
        <w:rPr>
          <w:rFonts w:ascii="宋体" w:hAnsi="宋体" w:eastAsia="宋体" w:cs="宋体"/>
          <w:b w:val="0"/>
        </w:rPr>
        <w:br w:type="textWrapping"/>
      </w:r>
      <w:r>
        <w:rPr>
          <w:rFonts w:ascii="宋体" w:hAnsi="宋体" w:eastAsia="宋体" w:cs="宋体"/>
          <w:b w:val="0"/>
        </w:rPr>
        <w:t xml:space="preserve">    基于对“产业链景气上行+AIDD驱动需求扩容”的双重长期判断，本基金在2026年三季度大幅调整仓位配置，以CXO及上游科研服务板块为主，力求捕捉创新药研发周期回升与人工智能赋能产业升级的共振机遇，核心操作如下：</w:t>
      </w:r>
      <w:r>
        <w:rPr>
          <w:rFonts w:ascii="宋体" w:hAnsi="宋体" w:eastAsia="宋体" w:cs="宋体"/>
          <w:b w:val="0"/>
        </w:rPr>
        <w:br w:type="textWrapping"/>
      </w:r>
      <w:r>
        <w:rPr>
          <w:rFonts w:ascii="宋体" w:hAnsi="宋体" w:eastAsia="宋体" w:cs="宋体"/>
          <w:b w:val="0"/>
        </w:rPr>
        <w:t xml:space="preserve">    一、重点配置一体化CRDMO/CDMO龙头。在需求回暖与产能扩张共振的窗口期，具备一体化服务平台、在手订单充裕、业绩指引持续上调的龙头企业盈利弹性最强。我们优选治理结构优秀、全球产能布局清晰、订单与产能双升的公司，作为组合的核心底仓。</w:t>
      </w:r>
      <w:r>
        <w:rPr>
          <w:rFonts w:ascii="宋体" w:hAnsi="宋体" w:eastAsia="宋体" w:cs="宋体"/>
          <w:b w:val="0"/>
        </w:rPr>
        <w:br w:type="textWrapping"/>
      </w:r>
      <w:r>
        <w:rPr>
          <w:rFonts w:ascii="宋体" w:hAnsi="宋体" w:eastAsia="宋体" w:cs="宋体"/>
          <w:b w:val="0"/>
        </w:rPr>
        <w:t xml:space="preserve">    二、超配高弹性上游科研服务与实验室耗材。AIDD带来的湿实验需求，最先体现在蛋白表达与试剂、培养基、色谱填料、分子砌块、模式动物及测序等“卖铲人”环节，订单量价齐升、毛利率结构性抬升。我们重点配置具备蛋白/试剂研发与自动化平台能力、AIDD相关订单占比快速提升的公司，把握需求爆发与国产替代的双重红利。</w:t>
      </w:r>
      <w:r>
        <w:rPr>
          <w:rFonts w:ascii="宋体" w:hAnsi="宋体" w:eastAsia="宋体" w:cs="宋体"/>
          <w:b w:val="0"/>
        </w:rPr>
        <w:br w:type="textWrapping"/>
      </w:r>
      <w:r>
        <w:rPr>
          <w:rFonts w:ascii="宋体" w:hAnsi="宋体" w:eastAsia="宋体" w:cs="宋体"/>
          <w:b w:val="0"/>
        </w:rPr>
        <w:t xml:space="preserve">    三、前瞻布局AIDD平台与差异化新分子板块。具备AI驱动能力和自动化优势的平台型公司，以及多肽、细胞与基因治疗等高壁垒新分子方向，有望在订单获取与估值两端同时受益；临床CRO与临床前评价环节则受益于国内临床需求修复与订单回补，我们对其中的优势企业维持配置。</w:t>
      </w:r>
      <w:r>
        <w:rPr>
          <w:rFonts w:ascii="宋体" w:hAnsi="宋体" w:eastAsia="宋体" w:cs="宋体"/>
          <w:b w:val="0"/>
        </w:rPr>
        <w:br w:type="textWrapping"/>
      </w:r>
      <w:r>
        <w:rPr>
          <w:rFonts w:ascii="宋体" w:hAnsi="宋体" w:eastAsia="宋体" w:cs="宋体"/>
          <w:b w:val="0"/>
        </w:rPr>
        <w:t xml:space="preserve">    总结来看，我们的投资逻辑并非基于对板块短期涨跌的博弈，而是基于两点长期判断：第一，创新药研发投入的长期增长与外包渗透率提升是确定性方向，CXO及上游科研服务作为“卖铲人”，其需求曲线随研发景气与产能扩张持续陡峭；第二，AIDD推动的研发模式升级将带来结构性需求扩容与产业链价值重估，具备AI驱动能力、自动化与规模化优势的企业将获得超额增长。这与我们投资科技成长股时关注“供需两旺”和“基本面驱动”的理念内核一致。管理人将密切关注全球医药投融资数据、龙头企业在手订单与业绩指引、AIDD相关订单及产能投放节奏、新分子商业化进度与月度景气数据，动态评估持仓，努力为投资人创造回报。</w:t>
      </w:r>
    </w:p>
    <w:p/>
    <w:p>
      <w:pPr>
        <w:pStyle w:val="3"/>
        <w:jc w:val="left"/>
      </w:pPr>
      <w:r>
        <w:rPr>
          <w:rFonts w:ascii="宋体" w:hAnsi="宋体" w:eastAsia="宋体" w:cs="宋体"/>
        </w:rPr>
        <w:t>4.5 报告期内基金的业绩表现</w:t>
      </w:r>
    </w:p>
    <w:p>
      <w:r>
        <w:rPr>
          <w:rFonts w:ascii="宋体" w:hAnsi="宋体" w:eastAsia="宋体" w:cs="宋体"/>
          <w:b w:val="0"/>
        </w:rPr>
        <w:t xml:space="preserve">    截至报告期末东方阿尔法医疗健康混合发起A基金份额净值为1.3154元，本报告期内，该类基金份额净值增长率为30.61%，同期业绩比较基准收益率为10.68%；截至报告期末东方阿尔法医疗健康混合发起C基金份额净值为1.2857元，本报告期内，该类基金份额净值增长率为30.42%，同期业绩比较基准收益率为10.68%。</w:t>
      </w:r>
    </w:p>
    <w:p/>
    <w:p>
      <w:pPr>
        <w:pStyle w:val="3"/>
        <w:jc w:val="left"/>
      </w:pPr>
      <w:r>
        <w:rPr>
          <w:rFonts w:ascii="宋体" w:hAnsi="宋体" w:eastAsia="宋体" w:cs="宋体"/>
        </w:rPr>
        <w:t>4.6 报告期内基金持有人数或基金资产净值预警说明</w:t>
      </w:r>
    </w:p>
    <w:p>
      <w:r>
        <w:rPr>
          <w:rFonts w:ascii="宋体" w:hAnsi="宋体" w:eastAsia="宋体" w:cs="宋体"/>
          <w:b w:val="0"/>
        </w:rPr>
        <w:t xml:space="preserve">    本报告期内，本基金未出现连续20个工作日基金份额持有人数量不满200人或者基金资产净值低于5000万的情形。</w:t>
      </w:r>
    </w:p>
    <w:p>
      <w:pPr>
        <w:pStyle w:val="2"/>
        <w:jc w:val="center"/>
      </w:pPr>
      <w:r>
        <w:rPr>
          <w:rFonts w:ascii="宋体" w:hAnsi="宋体" w:eastAsia="宋体" w:cs="宋体"/>
        </w:rPr>
        <w:t>§5 投资组合报告</w:t>
      </w:r>
    </w:p>
    <w:p>
      <w:pPr>
        <w:pStyle w:val="3"/>
        <w:jc w:val="left"/>
      </w:pPr>
      <w:r>
        <w:rPr>
          <w:rFonts w:ascii="宋体" w:hAnsi="宋体" w:eastAsia="宋体" w:cs="宋体"/>
        </w:rPr>
        <w:t>5.1 报告期末基金资产组合情况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2856"/>
        <w:gridCol w:w="2856"/>
        <w:gridCol w:w="2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金额(元)</w:t>
            </w:r>
          </w:p>
        </w:tc>
        <w:tc>
          <w:tcPr>
            <w:tcW w:w="1538" w:type="pct"/>
            <w:shd w:val="clear" w:color="auto" w:fill="D9D9D9"/>
            <w:vAlign w:val="center"/>
          </w:tcPr>
          <w:p>
            <w:pPr>
              <w:spacing w:line="240" w:lineRule="auto"/>
              <w:jc w:val="center"/>
            </w:pPr>
            <w:r>
              <w:rPr>
                <w:rFonts w:ascii="宋体" w:hAnsi="宋体" w:eastAsia="宋体" w:cs="宋体"/>
                <w:b w:val="0"/>
              </w:rPr>
              <w:t>占基金总资产的比例（%）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权益投资</w:t>
            </w:r>
          </w:p>
        </w:tc>
        <w:tc>
          <w:tcPr>
            <w:tcW w:w="0" w:type="dxa"/>
            <w:vAlign w:val="center"/>
          </w:tcPr>
          <w:p>
            <w:pPr>
              <w:spacing w:line="240" w:lineRule="auto"/>
              <w:jc w:val="right"/>
            </w:pPr>
            <w:r>
              <w:rPr>
                <w:rFonts w:ascii="宋体" w:hAnsi="宋体" w:eastAsia="宋体" w:cs="宋体"/>
                <w:b w:val="0"/>
              </w:rPr>
              <w:t>190,289,083.24</w:t>
            </w:r>
          </w:p>
        </w:tc>
        <w:tc>
          <w:tcPr>
            <w:tcW w:w="0" w:type="dxa"/>
            <w:vAlign w:val="center"/>
          </w:tcPr>
          <w:p>
            <w:pPr>
              <w:spacing w:line="240" w:lineRule="auto"/>
              <w:jc w:val="right"/>
            </w:pPr>
            <w:r>
              <w:rPr>
                <w:rFonts w:ascii="宋体" w:hAnsi="宋体" w:eastAsia="宋体" w:cs="宋体"/>
                <w:b w:val="0"/>
              </w:rPr>
              <w:t>81.23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其中：股票</w:t>
            </w:r>
          </w:p>
        </w:tc>
        <w:tc>
          <w:tcPr>
            <w:tcW w:w="0" w:type="dxa"/>
            <w:vAlign w:val="center"/>
          </w:tcPr>
          <w:p>
            <w:pPr>
              <w:spacing w:line="240" w:lineRule="auto"/>
              <w:jc w:val="right"/>
            </w:pPr>
            <w:r>
              <w:rPr>
                <w:rFonts w:ascii="宋体" w:hAnsi="宋体" w:eastAsia="宋体" w:cs="宋体"/>
                <w:b w:val="0"/>
              </w:rPr>
              <w:t>190,289,083.24</w:t>
            </w:r>
          </w:p>
        </w:tc>
        <w:tc>
          <w:tcPr>
            <w:tcW w:w="0" w:type="dxa"/>
            <w:vAlign w:val="center"/>
          </w:tcPr>
          <w:p>
            <w:pPr>
              <w:spacing w:line="240" w:lineRule="auto"/>
              <w:jc w:val="right"/>
            </w:pPr>
            <w:r>
              <w:rPr>
                <w:rFonts w:ascii="宋体" w:hAnsi="宋体" w:eastAsia="宋体" w:cs="宋体"/>
                <w:b w:val="0"/>
              </w:rPr>
              <w:t>81.23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固定收益投资</w:t>
            </w:r>
          </w:p>
        </w:tc>
        <w:tc>
          <w:tcPr>
            <w:tcW w:w="0" w:type="dxa"/>
            <w:vAlign w:val="center"/>
          </w:tcPr>
          <w:p>
            <w:pPr>
              <w:spacing w:line="240" w:lineRule="auto"/>
              <w:jc w:val="right"/>
            </w:pPr>
            <w:r>
              <w:rPr>
                <w:rFonts w:ascii="宋体" w:hAnsi="宋体" w:eastAsia="宋体" w:cs="宋体"/>
                <w:b w:val="0"/>
              </w:rPr>
              <w:t>11,652,864.14</w:t>
            </w:r>
          </w:p>
        </w:tc>
        <w:tc>
          <w:tcPr>
            <w:tcW w:w="0" w:type="dxa"/>
            <w:vAlign w:val="center"/>
          </w:tcPr>
          <w:p>
            <w:pPr>
              <w:spacing w:line="240" w:lineRule="auto"/>
              <w:jc w:val="right"/>
            </w:pPr>
            <w:r>
              <w:rPr>
                <w:rFonts w:ascii="宋体" w:hAnsi="宋体" w:eastAsia="宋体" w:cs="宋体"/>
                <w:b w:val="0"/>
              </w:rPr>
              <w:t>4.97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其中：债券</w:t>
            </w:r>
          </w:p>
        </w:tc>
        <w:tc>
          <w:tcPr>
            <w:tcW w:w="0" w:type="dxa"/>
            <w:vAlign w:val="center"/>
          </w:tcPr>
          <w:p>
            <w:pPr>
              <w:spacing w:line="240" w:lineRule="auto"/>
              <w:jc w:val="right"/>
            </w:pPr>
            <w:r>
              <w:rPr>
                <w:rFonts w:ascii="宋体" w:hAnsi="宋体" w:eastAsia="宋体" w:cs="宋体"/>
                <w:b w:val="0"/>
              </w:rPr>
              <w:t>11,652,864.14</w:t>
            </w:r>
          </w:p>
        </w:tc>
        <w:tc>
          <w:tcPr>
            <w:tcW w:w="0" w:type="dxa"/>
            <w:vAlign w:val="center"/>
          </w:tcPr>
          <w:p>
            <w:pPr>
              <w:spacing w:line="240" w:lineRule="auto"/>
              <w:jc w:val="right"/>
            </w:pPr>
            <w:r>
              <w:rPr>
                <w:rFonts w:ascii="宋体" w:hAnsi="宋体" w:eastAsia="宋体" w:cs="宋体"/>
                <w:b w:val="0"/>
              </w:rPr>
              <w:t>4.97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 xml:space="preserve">      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金融衍生品投资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其中：买断式回购的买入返售金融资产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银行存款和结算备付金合计</w:t>
            </w:r>
          </w:p>
        </w:tc>
        <w:tc>
          <w:tcPr>
            <w:tcW w:w="0" w:type="dxa"/>
            <w:vAlign w:val="center"/>
          </w:tcPr>
          <w:p>
            <w:pPr>
              <w:spacing w:line="240" w:lineRule="auto"/>
              <w:jc w:val="right"/>
            </w:pPr>
            <w:r>
              <w:rPr>
                <w:rFonts w:ascii="宋体" w:hAnsi="宋体" w:eastAsia="宋体" w:cs="宋体"/>
                <w:b w:val="0"/>
              </w:rPr>
              <w:t>13,407,897.67</w:t>
            </w:r>
          </w:p>
        </w:tc>
        <w:tc>
          <w:tcPr>
            <w:tcW w:w="0" w:type="dxa"/>
            <w:vAlign w:val="center"/>
          </w:tcPr>
          <w:p>
            <w:pPr>
              <w:spacing w:line="240" w:lineRule="auto"/>
              <w:jc w:val="right"/>
            </w:pPr>
            <w:r>
              <w:rPr>
                <w:rFonts w:ascii="宋体" w:hAnsi="宋体" w:eastAsia="宋体" w:cs="宋体"/>
                <w:b w:val="0"/>
              </w:rPr>
              <w:t>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其他资产</w:t>
            </w:r>
          </w:p>
        </w:tc>
        <w:tc>
          <w:tcPr>
            <w:tcW w:w="0" w:type="dxa"/>
            <w:vAlign w:val="center"/>
          </w:tcPr>
          <w:p>
            <w:pPr>
              <w:spacing w:line="240" w:lineRule="auto"/>
              <w:jc w:val="right"/>
            </w:pPr>
            <w:r>
              <w:rPr>
                <w:rFonts w:ascii="宋体" w:hAnsi="宋体" w:eastAsia="宋体" w:cs="宋体"/>
                <w:b w:val="0"/>
              </w:rPr>
              <w:t>18,899,900.17</w:t>
            </w:r>
          </w:p>
        </w:tc>
        <w:tc>
          <w:tcPr>
            <w:tcW w:w="0" w:type="dxa"/>
            <w:vAlign w:val="center"/>
          </w:tcPr>
          <w:p>
            <w:pPr>
              <w:spacing w:line="240" w:lineRule="auto"/>
              <w:jc w:val="right"/>
            </w:pPr>
            <w:r>
              <w:rPr>
                <w:rFonts w:ascii="宋体" w:hAnsi="宋体" w:eastAsia="宋体" w:cs="宋体"/>
                <w:b w:val="0"/>
              </w:rPr>
              <w:t>8.07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234,249,745.22</w:t>
            </w:r>
          </w:p>
        </w:tc>
        <w:tc>
          <w:tcPr>
            <w:tcW w:w="0" w:type="dxa"/>
            <w:vAlign w:val="center"/>
          </w:tcPr>
          <w:p>
            <w:pPr>
              <w:spacing w:line="240" w:lineRule="auto"/>
              <w:jc w:val="right"/>
            </w:pPr>
            <w:r>
              <w:rPr>
                <w:rFonts w:ascii="宋体" w:hAnsi="宋体" w:eastAsia="宋体" w:cs="宋体"/>
                <w:b w:val="0"/>
              </w:rPr>
              <w:t>100.00</w:t>
            </w:r>
          </w:p>
        </w:tc>
      </w:tr>
    </w:tbl>
    <w:p>
      <w:r>
        <w:rPr>
          <w:rFonts w:ascii="宋体" w:hAnsi="宋体" w:eastAsia="宋体" w:cs="宋体"/>
          <w:b w:val="0"/>
        </w:rPr>
        <w:t>注：报告期末本基金通过港股通交易机制投资的港股公允价值合计68,139,293.63元，占基金资产净值的比例为30.92%。</w:t>
      </w:r>
    </w:p>
    <w:p/>
    <w:p>
      <w:pPr>
        <w:pStyle w:val="3"/>
        <w:jc w:val="left"/>
      </w:pPr>
      <w:r>
        <w:rPr>
          <w:rFonts w:ascii="宋体" w:hAnsi="宋体" w:eastAsia="宋体" w:cs="宋体"/>
        </w:rPr>
        <w:t>5.2 报告期末按行业分类的股票投资组合</w:t>
      </w:r>
    </w:p>
    <w:p>
      <w:pPr>
        <w:pStyle w:val="58"/>
      </w:pPr>
      <w:r>
        <w:rPr>
          <w:rStyle w:val="30"/>
          <w:rFonts w:ascii="宋体" w:hAnsi="宋体" w:eastAsia="宋体" w:cs="宋体"/>
          <w:b/>
        </w:rPr>
        <w:t>5.2.1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3095"/>
        <w:gridCol w:w="1858"/>
        <w:gridCol w:w="3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代码</w:t>
            </w:r>
          </w:p>
        </w:tc>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A</w:t>
            </w:r>
          </w:p>
        </w:tc>
        <w:tc>
          <w:tcPr>
            <w:tcW w:w="0" w:type="dxa"/>
            <w:vAlign w:val="center"/>
          </w:tcPr>
          <w:p>
            <w:pPr>
              <w:spacing w:line="240" w:lineRule="auto"/>
              <w:jc w:val="left"/>
            </w:pPr>
            <w:r>
              <w:rPr>
                <w:rFonts w:ascii="宋体" w:hAnsi="宋体" w:eastAsia="宋体" w:cs="宋体"/>
                <w:b w:val="0"/>
              </w:rPr>
              <w:t>农、林、牧、渔业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B</w:t>
            </w:r>
          </w:p>
        </w:tc>
        <w:tc>
          <w:tcPr>
            <w:tcW w:w="0" w:type="dxa"/>
            <w:vAlign w:val="center"/>
          </w:tcPr>
          <w:p>
            <w:pPr>
              <w:spacing w:line="240" w:lineRule="auto"/>
              <w:jc w:val="left"/>
            </w:pPr>
            <w:r>
              <w:rPr>
                <w:rFonts w:ascii="宋体" w:hAnsi="宋体" w:eastAsia="宋体" w:cs="宋体"/>
                <w:b w:val="0"/>
              </w:rPr>
              <w:t>采矿业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C</w:t>
            </w:r>
          </w:p>
        </w:tc>
        <w:tc>
          <w:tcPr>
            <w:tcW w:w="0" w:type="dxa"/>
            <w:vAlign w:val="center"/>
          </w:tcPr>
          <w:p>
            <w:pPr>
              <w:spacing w:line="240" w:lineRule="auto"/>
              <w:jc w:val="left"/>
            </w:pPr>
            <w:r>
              <w:rPr>
                <w:rFonts w:ascii="宋体" w:hAnsi="宋体" w:eastAsia="宋体" w:cs="宋体"/>
                <w:b w:val="0"/>
              </w:rPr>
              <w:t>制造业</w:t>
            </w:r>
          </w:p>
        </w:tc>
        <w:tc>
          <w:tcPr>
            <w:tcW w:w="0" w:type="dxa"/>
            <w:vAlign w:val="center"/>
          </w:tcPr>
          <w:p>
            <w:pPr>
              <w:spacing w:line="240" w:lineRule="auto"/>
              <w:jc w:val="right"/>
            </w:pPr>
            <w:r>
              <w:rPr>
                <w:rFonts w:ascii="宋体" w:hAnsi="宋体" w:eastAsia="宋体" w:cs="宋体"/>
                <w:b w:val="0"/>
              </w:rPr>
              <w:t>36,075,911.23</w:t>
            </w:r>
          </w:p>
        </w:tc>
        <w:tc>
          <w:tcPr>
            <w:tcW w:w="0" w:type="dxa"/>
            <w:vAlign w:val="center"/>
          </w:tcPr>
          <w:p>
            <w:pPr>
              <w:spacing w:line="240" w:lineRule="auto"/>
              <w:jc w:val="right"/>
            </w:pPr>
            <w:r>
              <w:rPr>
                <w:rFonts w:ascii="宋体" w:hAnsi="宋体" w:eastAsia="宋体" w:cs="宋体"/>
                <w:b w:val="0"/>
              </w:rPr>
              <w:t>16.37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D</w:t>
            </w:r>
          </w:p>
        </w:tc>
        <w:tc>
          <w:tcPr>
            <w:tcW w:w="0" w:type="dxa"/>
            <w:vAlign w:val="center"/>
          </w:tcPr>
          <w:p>
            <w:pPr>
              <w:spacing w:line="240" w:lineRule="auto"/>
              <w:jc w:val="left"/>
            </w:pPr>
            <w:r>
              <w:rPr>
                <w:rFonts w:ascii="宋体" w:hAnsi="宋体" w:eastAsia="宋体" w:cs="宋体"/>
                <w:b w:val="0"/>
              </w:rPr>
              <w:t>电力、热力、燃气及水生产和供应业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E</w:t>
            </w:r>
          </w:p>
        </w:tc>
        <w:tc>
          <w:tcPr>
            <w:tcW w:w="0" w:type="dxa"/>
            <w:vAlign w:val="center"/>
          </w:tcPr>
          <w:p>
            <w:pPr>
              <w:spacing w:line="240" w:lineRule="auto"/>
              <w:jc w:val="left"/>
            </w:pPr>
            <w:r>
              <w:rPr>
                <w:rFonts w:ascii="宋体" w:hAnsi="宋体" w:eastAsia="宋体" w:cs="宋体"/>
                <w:b w:val="0"/>
              </w:rPr>
              <w:t>建筑业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F</w:t>
            </w:r>
          </w:p>
        </w:tc>
        <w:tc>
          <w:tcPr>
            <w:tcW w:w="0" w:type="dxa"/>
            <w:vAlign w:val="center"/>
          </w:tcPr>
          <w:p>
            <w:pPr>
              <w:spacing w:line="240" w:lineRule="auto"/>
              <w:jc w:val="left"/>
            </w:pPr>
            <w:r>
              <w:rPr>
                <w:rFonts w:ascii="宋体" w:hAnsi="宋体" w:eastAsia="宋体" w:cs="宋体"/>
                <w:b w:val="0"/>
              </w:rPr>
              <w:t>批发和零售业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G</w:t>
            </w:r>
          </w:p>
        </w:tc>
        <w:tc>
          <w:tcPr>
            <w:tcW w:w="0" w:type="dxa"/>
            <w:vAlign w:val="center"/>
          </w:tcPr>
          <w:p>
            <w:pPr>
              <w:spacing w:line="240" w:lineRule="auto"/>
              <w:jc w:val="left"/>
            </w:pPr>
            <w:r>
              <w:rPr>
                <w:rFonts w:ascii="宋体" w:hAnsi="宋体" w:eastAsia="宋体" w:cs="宋体"/>
                <w:b w:val="0"/>
              </w:rPr>
              <w:t>交通运输、仓储和邮政业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H</w:t>
            </w:r>
          </w:p>
        </w:tc>
        <w:tc>
          <w:tcPr>
            <w:tcW w:w="0" w:type="dxa"/>
            <w:vAlign w:val="center"/>
          </w:tcPr>
          <w:p>
            <w:pPr>
              <w:spacing w:line="240" w:lineRule="auto"/>
              <w:jc w:val="left"/>
            </w:pPr>
            <w:r>
              <w:rPr>
                <w:rFonts w:ascii="宋体" w:hAnsi="宋体" w:eastAsia="宋体" w:cs="宋体"/>
                <w:b w:val="0"/>
              </w:rPr>
              <w:t>住宿和餐饮业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I</w:t>
            </w:r>
          </w:p>
        </w:tc>
        <w:tc>
          <w:tcPr>
            <w:tcW w:w="0" w:type="dxa"/>
            <w:vAlign w:val="center"/>
          </w:tcPr>
          <w:p>
            <w:pPr>
              <w:spacing w:line="240" w:lineRule="auto"/>
              <w:jc w:val="left"/>
            </w:pPr>
            <w:r>
              <w:rPr>
                <w:rFonts w:ascii="宋体" w:hAnsi="宋体" w:eastAsia="宋体" w:cs="宋体"/>
                <w:b w:val="0"/>
              </w:rPr>
              <w:t>信息传输、软件和信息技术服务业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J</w:t>
            </w:r>
          </w:p>
        </w:tc>
        <w:tc>
          <w:tcPr>
            <w:tcW w:w="0" w:type="dxa"/>
            <w:vAlign w:val="center"/>
          </w:tcPr>
          <w:p>
            <w:pPr>
              <w:spacing w:line="240" w:lineRule="auto"/>
              <w:jc w:val="left"/>
            </w:pPr>
            <w:r>
              <w:rPr>
                <w:rFonts w:ascii="宋体" w:hAnsi="宋体" w:eastAsia="宋体" w:cs="宋体"/>
                <w:b w:val="0"/>
              </w:rPr>
              <w:t>金融业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K</w:t>
            </w:r>
          </w:p>
        </w:tc>
        <w:tc>
          <w:tcPr>
            <w:tcW w:w="0" w:type="dxa"/>
            <w:vAlign w:val="center"/>
          </w:tcPr>
          <w:p>
            <w:pPr>
              <w:spacing w:line="240" w:lineRule="auto"/>
              <w:jc w:val="left"/>
            </w:pPr>
            <w:r>
              <w:rPr>
                <w:rFonts w:ascii="宋体" w:hAnsi="宋体" w:eastAsia="宋体" w:cs="宋体"/>
                <w:b w:val="0"/>
              </w:rPr>
              <w:t>房地产业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L</w:t>
            </w:r>
          </w:p>
        </w:tc>
        <w:tc>
          <w:tcPr>
            <w:tcW w:w="0" w:type="dxa"/>
            <w:vAlign w:val="center"/>
          </w:tcPr>
          <w:p>
            <w:pPr>
              <w:spacing w:line="240" w:lineRule="auto"/>
              <w:jc w:val="left"/>
            </w:pPr>
            <w:r>
              <w:rPr>
                <w:rFonts w:ascii="宋体" w:hAnsi="宋体" w:eastAsia="宋体" w:cs="宋体"/>
                <w:b w:val="0"/>
              </w:rPr>
              <w:t>租赁和商务服务业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M</w:t>
            </w:r>
          </w:p>
        </w:tc>
        <w:tc>
          <w:tcPr>
            <w:tcW w:w="0" w:type="dxa"/>
            <w:vAlign w:val="center"/>
          </w:tcPr>
          <w:p>
            <w:pPr>
              <w:spacing w:line="240" w:lineRule="auto"/>
              <w:jc w:val="left"/>
            </w:pPr>
            <w:r>
              <w:rPr>
                <w:rFonts w:ascii="宋体" w:hAnsi="宋体" w:eastAsia="宋体" w:cs="宋体"/>
                <w:b w:val="0"/>
              </w:rPr>
              <w:t>科学研究和技术服务业</w:t>
            </w:r>
          </w:p>
        </w:tc>
        <w:tc>
          <w:tcPr>
            <w:tcW w:w="0" w:type="dxa"/>
            <w:vAlign w:val="center"/>
          </w:tcPr>
          <w:p>
            <w:pPr>
              <w:spacing w:line="240" w:lineRule="auto"/>
              <w:jc w:val="right"/>
            </w:pPr>
            <w:r>
              <w:rPr>
                <w:rFonts w:ascii="宋体" w:hAnsi="宋体" w:eastAsia="宋体" w:cs="宋体"/>
                <w:b w:val="0"/>
              </w:rPr>
              <w:t>86,073,878.38</w:t>
            </w:r>
          </w:p>
        </w:tc>
        <w:tc>
          <w:tcPr>
            <w:tcW w:w="0" w:type="dxa"/>
            <w:vAlign w:val="center"/>
          </w:tcPr>
          <w:p>
            <w:pPr>
              <w:spacing w:line="240" w:lineRule="auto"/>
              <w:jc w:val="right"/>
            </w:pPr>
            <w:r>
              <w:rPr>
                <w:rFonts w:ascii="宋体" w:hAnsi="宋体" w:eastAsia="宋体" w:cs="宋体"/>
                <w:b w:val="0"/>
              </w:rPr>
              <w:t>39.06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N</w:t>
            </w:r>
          </w:p>
        </w:tc>
        <w:tc>
          <w:tcPr>
            <w:tcW w:w="0" w:type="dxa"/>
            <w:vAlign w:val="center"/>
          </w:tcPr>
          <w:p>
            <w:pPr>
              <w:spacing w:line="240" w:lineRule="auto"/>
              <w:jc w:val="left"/>
            </w:pPr>
            <w:r>
              <w:rPr>
                <w:rFonts w:ascii="宋体" w:hAnsi="宋体" w:eastAsia="宋体" w:cs="宋体"/>
                <w:b w:val="0"/>
              </w:rPr>
              <w:t>水利、环境和公共设施管理业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O</w:t>
            </w:r>
          </w:p>
        </w:tc>
        <w:tc>
          <w:tcPr>
            <w:tcW w:w="0" w:type="dxa"/>
            <w:vAlign w:val="center"/>
          </w:tcPr>
          <w:p>
            <w:pPr>
              <w:spacing w:line="240" w:lineRule="auto"/>
              <w:jc w:val="left"/>
            </w:pPr>
            <w:r>
              <w:rPr>
                <w:rFonts w:ascii="宋体" w:hAnsi="宋体" w:eastAsia="宋体" w:cs="宋体"/>
                <w:b w:val="0"/>
              </w:rPr>
              <w:t>居民服务、修理和其他服务业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P</w:t>
            </w:r>
          </w:p>
        </w:tc>
        <w:tc>
          <w:tcPr>
            <w:tcW w:w="0" w:type="dxa"/>
            <w:vAlign w:val="center"/>
          </w:tcPr>
          <w:p>
            <w:pPr>
              <w:spacing w:line="240" w:lineRule="auto"/>
              <w:jc w:val="left"/>
            </w:pPr>
            <w:r>
              <w:rPr>
                <w:rFonts w:ascii="宋体" w:hAnsi="宋体" w:eastAsia="宋体" w:cs="宋体"/>
                <w:b w:val="0"/>
              </w:rPr>
              <w:t>教育</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Q</w:t>
            </w:r>
          </w:p>
        </w:tc>
        <w:tc>
          <w:tcPr>
            <w:tcW w:w="0" w:type="dxa"/>
            <w:vAlign w:val="center"/>
          </w:tcPr>
          <w:p>
            <w:pPr>
              <w:spacing w:line="240" w:lineRule="auto"/>
              <w:jc w:val="left"/>
            </w:pPr>
            <w:r>
              <w:rPr>
                <w:rFonts w:ascii="宋体" w:hAnsi="宋体" w:eastAsia="宋体" w:cs="宋体"/>
                <w:b w:val="0"/>
              </w:rPr>
              <w:t>卫生和社会工作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R</w:t>
            </w:r>
          </w:p>
        </w:tc>
        <w:tc>
          <w:tcPr>
            <w:tcW w:w="0" w:type="dxa"/>
            <w:vAlign w:val="center"/>
          </w:tcPr>
          <w:p>
            <w:pPr>
              <w:spacing w:line="240" w:lineRule="auto"/>
              <w:jc w:val="left"/>
            </w:pPr>
            <w:r>
              <w:rPr>
                <w:rFonts w:ascii="宋体" w:hAnsi="宋体" w:eastAsia="宋体" w:cs="宋体"/>
                <w:b w:val="0"/>
              </w:rPr>
              <w:t>文化、体育和娱乐业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S</w:t>
            </w:r>
          </w:p>
        </w:tc>
        <w:tc>
          <w:tcPr>
            <w:tcW w:w="0" w:type="dxa"/>
            <w:vAlign w:val="center"/>
          </w:tcPr>
          <w:p>
            <w:pPr>
              <w:spacing w:line="240" w:lineRule="auto"/>
              <w:jc w:val="left"/>
            </w:pPr>
            <w:r>
              <w:rPr>
                <w:rFonts w:ascii="宋体" w:hAnsi="宋体" w:eastAsia="宋体" w:cs="宋体"/>
                <w:b w:val="0"/>
              </w:rPr>
              <w:t>综合</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122,149,789.61</w:t>
            </w:r>
          </w:p>
        </w:tc>
        <w:tc>
          <w:tcPr>
            <w:tcW w:w="0" w:type="dxa"/>
            <w:vAlign w:val="center"/>
          </w:tcPr>
          <w:p>
            <w:pPr>
              <w:spacing w:line="240" w:lineRule="auto"/>
              <w:jc w:val="right"/>
            </w:pPr>
            <w:r>
              <w:rPr>
                <w:rFonts w:ascii="宋体" w:hAnsi="宋体" w:eastAsia="宋体" w:cs="宋体"/>
                <w:b w:val="0"/>
              </w:rPr>
              <w:t>55.43</w:t>
            </w:r>
          </w:p>
        </w:tc>
      </w:tr>
    </w:tbl>
    <w:p/>
    <w:p>
      <w:pPr>
        <w:pStyle w:val="58"/>
      </w:pPr>
      <w:r>
        <w:rPr>
          <w:rStyle w:val="30"/>
          <w:rFonts w:ascii="宋体" w:hAnsi="宋体" w:eastAsia="宋体" w:cs="宋体"/>
          <w:b/>
        </w:rPr>
        <w:t>5.2.2 报告期末按行业分类的港股通投资股票投资组合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1538" w:type="pct"/>
            <w:shd w:val="clear" w:color="auto" w:fill="D9D9D9"/>
            <w:vAlign w:val="center"/>
          </w:tcPr>
          <w:p>
            <w:pPr>
              <w:spacing w:line="240" w:lineRule="auto"/>
              <w:jc w:val="center"/>
            </w:pPr>
            <w:r>
              <w:rPr>
                <w:rFonts w:ascii="宋体" w:hAnsi="宋体" w:eastAsia="宋体" w:cs="宋体"/>
                <w:b w:val="0"/>
              </w:rPr>
              <w:t>公允价值（人民币）</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医疗保健</w:t>
            </w:r>
          </w:p>
        </w:tc>
        <w:tc>
          <w:tcPr>
            <w:tcW w:w="0" w:type="dxa"/>
            <w:vAlign w:val="center"/>
          </w:tcPr>
          <w:p>
            <w:pPr>
              <w:spacing w:line="240" w:lineRule="auto"/>
              <w:jc w:val="right"/>
            </w:pPr>
            <w:r>
              <w:rPr>
                <w:rFonts w:ascii="宋体" w:hAnsi="宋体" w:eastAsia="宋体" w:cs="宋体"/>
                <w:b w:val="0"/>
              </w:rPr>
              <w:t>68,139,293.63</w:t>
            </w:r>
          </w:p>
        </w:tc>
        <w:tc>
          <w:tcPr>
            <w:tcW w:w="0" w:type="dxa"/>
            <w:vAlign w:val="center"/>
          </w:tcPr>
          <w:p>
            <w:pPr>
              <w:spacing w:line="240" w:lineRule="auto"/>
              <w:jc w:val="right"/>
            </w:pPr>
            <w:r>
              <w:rPr>
                <w:rFonts w:ascii="宋体" w:hAnsi="宋体" w:eastAsia="宋体" w:cs="宋体"/>
                <w:b w:val="0"/>
              </w:rPr>
              <w:t>30.92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68,139,293.63</w:t>
            </w:r>
          </w:p>
        </w:tc>
        <w:tc>
          <w:tcPr>
            <w:tcW w:w="0" w:type="dxa"/>
            <w:vAlign w:val="center"/>
          </w:tcPr>
          <w:p>
            <w:pPr>
              <w:spacing w:line="240" w:lineRule="auto"/>
              <w:jc w:val="right"/>
            </w:pPr>
            <w:r>
              <w:rPr>
                <w:rFonts w:ascii="宋体" w:hAnsi="宋体" w:eastAsia="宋体" w:cs="宋体"/>
                <w:b w:val="0"/>
              </w:rPr>
              <w:t>30.92</w:t>
            </w:r>
          </w:p>
        </w:tc>
      </w:tr>
    </w:tbl>
    <w:p/>
    <w:p>
      <w:pPr>
        <w:pStyle w:val="3"/>
        <w:jc w:val="left"/>
      </w:pPr>
      <w:r>
        <w:rPr>
          <w:rFonts w:ascii="宋体" w:hAnsi="宋体" w:eastAsia="宋体" w:cs="宋体"/>
        </w:rPr>
        <w:t>5.3 报告期末按公允价值占基金资产净值比例大小排序的前十名股票投资明细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615" w:type="pct"/>
            <w:shd w:val="clear" w:color="auto" w:fill="D9D9D9"/>
            <w:vAlign w:val="center"/>
          </w:tcPr>
          <w:p>
            <w:pPr>
              <w:spacing w:line="240" w:lineRule="auto"/>
              <w:jc w:val="center"/>
            </w:pPr>
            <w:r>
              <w:rPr>
                <w:rFonts w:ascii="宋体" w:hAnsi="宋体" w:eastAsia="宋体" w:cs="宋体"/>
                <w:b w:val="0"/>
              </w:rPr>
              <w:t>数量(股)</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603259</w:t>
            </w:r>
          </w:p>
        </w:tc>
        <w:tc>
          <w:tcPr>
            <w:tcW w:w="0" w:type="dxa"/>
            <w:vAlign w:val="center"/>
          </w:tcPr>
          <w:p>
            <w:pPr>
              <w:spacing w:line="240" w:lineRule="auto"/>
              <w:jc w:val="left"/>
            </w:pPr>
            <w:r>
              <w:rPr>
                <w:rFonts w:ascii="宋体" w:hAnsi="宋体" w:eastAsia="宋体" w:cs="宋体"/>
                <w:b w:val="0"/>
              </w:rPr>
              <w:t>药明康德</w:t>
            </w:r>
          </w:p>
        </w:tc>
        <w:tc>
          <w:tcPr>
            <w:tcW w:w="0" w:type="dxa"/>
            <w:vAlign w:val="center"/>
          </w:tcPr>
          <w:p>
            <w:pPr>
              <w:spacing w:line="240" w:lineRule="auto"/>
              <w:jc w:val="right"/>
            </w:pPr>
            <w:r>
              <w:rPr>
                <w:rFonts w:ascii="宋体" w:hAnsi="宋体" w:eastAsia="宋体" w:cs="宋体"/>
                <w:b w:val="0"/>
              </w:rPr>
              <w:t>108,720</w:t>
            </w:r>
          </w:p>
        </w:tc>
        <w:tc>
          <w:tcPr>
            <w:tcW w:w="0" w:type="dxa"/>
            <w:vAlign w:val="center"/>
          </w:tcPr>
          <w:p>
            <w:pPr>
              <w:spacing w:line="240" w:lineRule="auto"/>
              <w:jc w:val="right"/>
            </w:pPr>
            <w:r>
              <w:rPr>
                <w:rFonts w:ascii="宋体" w:hAnsi="宋体" w:eastAsia="宋体" w:cs="宋体"/>
                <w:b w:val="0"/>
              </w:rPr>
              <w:t>18,193,204.80</w:t>
            </w:r>
          </w:p>
        </w:tc>
        <w:tc>
          <w:tcPr>
            <w:tcW w:w="0" w:type="dxa"/>
            <w:vAlign w:val="center"/>
          </w:tcPr>
          <w:p>
            <w:pPr>
              <w:spacing w:line="240" w:lineRule="auto"/>
              <w:jc w:val="right"/>
            </w:pPr>
            <w:r>
              <w:rPr>
                <w:rFonts w:ascii="宋体" w:hAnsi="宋体" w:eastAsia="宋体" w:cs="宋体"/>
                <w:b w:val="0"/>
              </w:rPr>
              <w:t>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01548</w:t>
            </w:r>
          </w:p>
        </w:tc>
        <w:tc>
          <w:tcPr>
            <w:tcW w:w="0" w:type="dxa"/>
            <w:vAlign w:val="center"/>
          </w:tcPr>
          <w:p>
            <w:pPr>
              <w:spacing w:line="240" w:lineRule="auto"/>
              <w:jc w:val="left"/>
            </w:pPr>
            <w:r>
              <w:rPr>
                <w:rFonts w:ascii="宋体" w:hAnsi="宋体" w:eastAsia="宋体" w:cs="宋体"/>
                <w:b w:val="0"/>
              </w:rPr>
              <w:t>金斯瑞生物科技</w:t>
            </w:r>
          </w:p>
        </w:tc>
        <w:tc>
          <w:tcPr>
            <w:tcW w:w="0" w:type="dxa"/>
            <w:vAlign w:val="center"/>
          </w:tcPr>
          <w:p>
            <w:pPr>
              <w:spacing w:line="240" w:lineRule="auto"/>
              <w:jc w:val="right"/>
            </w:pPr>
            <w:r>
              <w:rPr>
                <w:rFonts w:ascii="宋体" w:hAnsi="宋体" w:eastAsia="宋体" w:cs="宋体"/>
                <w:b w:val="0"/>
              </w:rPr>
              <w:t>420,000</w:t>
            </w:r>
          </w:p>
        </w:tc>
        <w:tc>
          <w:tcPr>
            <w:tcW w:w="0" w:type="dxa"/>
            <w:vAlign w:val="center"/>
          </w:tcPr>
          <w:p>
            <w:pPr>
              <w:spacing w:line="240" w:lineRule="auto"/>
              <w:jc w:val="right"/>
            </w:pPr>
            <w:r>
              <w:rPr>
                <w:rFonts w:ascii="宋体" w:hAnsi="宋体" w:eastAsia="宋体" w:cs="宋体"/>
                <w:b w:val="0"/>
              </w:rPr>
              <w:t>16,173,662.90</w:t>
            </w:r>
          </w:p>
        </w:tc>
        <w:tc>
          <w:tcPr>
            <w:tcW w:w="0" w:type="dxa"/>
            <w:vAlign w:val="center"/>
          </w:tcPr>
          <w:p>
            <w:pPr>
              <w:spacing w:line="240" w:lineRule="auto"/>
              <w:jc w:val="right"/>
            </w:pPr>
            <w:r>
              <w:rPr>
                <w:rFonts w:ascii="宋体" w:hAnsi="宋体" w:eastAsia="宋体" w:cs="宋体"/>
                <w:b w:val="0"/>
              </w:rPr>
              <w:t>7.34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002821</w:t>
            </w:r>
          </w:p>
        </w:tc>
        <w:tc>
          <w:tcPr>
            <w:tcW w:w="0" w:type="dxa"/>
            <w:vAlign w:val="center"/>
          </w:tcPr>
          <w:p>
            <w:pPr>
              <w:spacing w:line="240" w:lineRule="auto"/>
              <w:jc w:val="left"/>
            </w:pPr>
            <w:r>
              <w:rPr>
                <w:rFonts w:ascii="宋体" w:hAnsi="宋体" w:eastAsia="宋体" w:cs="宋体"/>
                <w:b w:val="0"/>
              </w:rPr>
              <w:t>凯莱英</w:t>
            </w:r>
          </w:p>
        </w:tc>
        <w:tc>
          <w:tcPr>
            <w:tcW w:w="0" w:type="dxa"/>
            <w:vAlign w:val="center"/>
          </w:tcPr>
          <w:p>
            <w:pPr>
              <w:spacing w:line="240" w:lineRule="auto"/>
              <w:jc w:val="right"/>
            </w:pPr>
            <w:r>
              <w:rPr>
                <w:rFonts w:ascii="宋体" w:hAnsi="宋体" w:eastAsia="宋体" w:cs="宋体"/>
                <w:b w:val="0"/>
              </w:rPr>
              <w:t>41,300</w:t>
            </w:r>
          </w:p>
        </w:tc>
        <w:tc>
          <w:tcPr>
            <w:tcW w:w="0" w:type="dxa"/>
            <w:vAlign w:val="center"/>
          </w:tcPr>
          <w:p>
            <w:pPr>
              <w:spacing w:line="240" w:lineRule="auto"/>
              <w:jc w:val="right"/>
            </w:pPr>
            <w:r>
              <w:rPr>
                <w:rFonts w:ascii="宋体" w:hAnsi="宋体" w:eastAsia="宋体" w:cs="宋体"/>
                <w:b w:val="0"/>
              </w:rPr>
              <w:t>7,790,006.00</w:t>
            </w:r>
          </w:p>
        </w:tc>
        <w:tc>
          <w:tcPr>
            <w:tcW w:w="0" w:type="dxa"/>
            <w:vAlign w:val="center"/>
          </w:tcPr>
          <w:p>
            <w:pPr>
              <w:spacing w:line="240" w:lineRule="auto"/>
              <w:jc w:val="right"/>
            </w:pPr>
            <w:r>
              <w:rPr>
                <w:rFonts w:ascii="宋体" w:hAnsi="宋体" w:eastAsia="宋体" w:cs="宋体"/>
                <w:b w:val="0"/>
              </w:rPr>
              <w:t>3.53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06821</w:t>
            </w:r>
          </w:p>
        </w:tc>
        <w:tc>
          <w:tcPr>
            <w:tcW w:w="0" w:type="dxa"/>
            <w:vAlign w:val="center"/>
          </w:tcPr>
          <w:p>
            <w:pPr>
              <w:spacing w:line="240" w:lineRule="auto"/>
              <w:jc w:val="left"/>
            </w:pPr>
            <w:r>
              <w:rPr>
                <w:rFonts w:ascii="宋体" w:hAnsi="宋体" w:eastAsia="宋体" w:cs="宋体"/>
                <w:b w:val="0"/>
              </w:rPr>
              <w:t>凯莱英</w:t>
            </w:r>
          </w:p>
        </w:tc>
        <w:tc>
          <w:tcPr>
            <w:tcW w:w="0" w:type="dxa"/>
            <w:vAlign w:val="center"/>
          </w:tcPr>
          <w:p>
            <w:pPr>
              <w:spacing w:line="240" w:lineRule="auto"/>
              <w:jc w:val="right"/>
            </w:pPr>
            <w:r>
              <w:rPr>
                <w:rFonts w:ascii="宋体" w:hAnsi="宋体" w:eastAsia="宋体" w:cs="宋体"/>
                <w:b w:val="0"/>
              </w:rPr>
              <w:t>51,300</w:t>
            </w:r>
          </w:p>
        </w:tc>
        <w:tc>
          <w:tcPr>
            <w:tcW w:w="0" w:type="dxa"/>
            <w:vAlign w:val="center"/>
          </w:tcPr>
          <w:p>
            <w:pPr>
              <w:spacing w:line="240" w:lineRule="auto"/>
              <w:jc w:val="right"/>
            </w:pPr>
            <w:r>
              <w:rPr>
                <w:rFonts w:ascii="宋体" w:hAnsi="宋体" w:eastAsia="宋体" w:cs="宋体"/>
                <w:b w:val="0"/>
              </w:rPr>
              <w:t>7,503,895.60</w:t>
            </w:r>
          </w:p>
        </w:tc>
        <w:tc>
          <w:tcPr>
            <w:tcW w:w="0" w:type="dxa"/>
            <w:vAlign w:val="center"/>
          </w:tcPr>
          <w:p>
            <w:pPr>
              <w:spacing w:line="240" w:lineRule="auto"/>
              <w:jc w:val="right"/>
            </w:pPr>
            <w:r>
              <w:rPr>
                <w:rFonts w:ascii="宋体" w:hAnsi="宋体" w:eastAsia="宋体" w:cs="宋体"/>
                <w:b w:val="0"/>
              </w:rPr>
              <w:t>3.41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300759</w:t>
            </w:r>
          </w:p>
        </w:tc>
        <w:tc>
          <w:tcPr>
            <w:tcW w:w="0" w:type="dxa"/>
            <w:vAlign w:val="center"/>
          </w:tcPr>
          <w:p>
            <w:pPr>
              <w:spacing w:line="240" w:lineRule="auto"/>
              <w:jc w:val="left"/>
            </w:pPr>
            <w:r>
              <w:rPr>
                <w:rFonts w:ascii="宋体" w:hAnsi="宋体" w:eastAsia="宋体" w:cs="宋体"/>
                <w:b w:val="0"/>
              </w:rPr>
              <w:t>康龙化成</w:t>
            </w:r>
          </w:p>
        </w:tc>
        <w:tc>
          <w:tcPr>
            <w:tcW w:w="0" w:type="dxa"/>
            <w:vAlign w:val="center"/>
          </w:tcPr>
          <w:p>
            <w:pPr>
              <w:spacing w:line="240" w:lineRule="auto"/>
              <w:jc w:val="right"/>
            </w:pPr>
            <w:r>
              <w:rPr>
                <w:rFonts w:ascii="宋体" w:hAnsi="宋体" w:eastAsia="宋体" w:cs="宋体"/>
                <w:b w:val="0"/>
              </w:rPr>
              <w:t>204,000</w:t>
            </w:r>
          </w:p>
        </w:tc>
        <w:tc>
          <w:tcPr>
            <w:tcW w:w="0" w:type="dxa"/>
            <w:vAlign w:val="center"/>
          </w:tcPr>
          <w:p>
            <w:pPr>
              <w:spacing w:line="240" w:lineRule="auto"/>
              <w:jc w:val="right"/>
            </w:pPr>
            <w:r>
              <w:rPr>
                <w:rFonts w:ascii="宋体" w:hAnsi="宋体" w:eastAsia="宋体" w:cs="宋体"/>
                <w:b w:val="0"/>
              </w:rPr>
              <w:t>9,173,880.00</w:t>
            </w:r>
          </w:p>
        </w:tc>
        <w:tc>
          <w:tcPr>
            <w:tcW w:w="0" w:type="dxa"/>
            <w:vAlign w:val="center"/>
          </w:tcPr>
          <w:p>
            <w:pPr>
              <w:spacing w:line="240" w:lineRule="auto"/>
              <w:jc w:val="right"/>
            </w:pPr>
            <w:r>
              <w:rPr>
                <w:rFonts w:ascii="宋体" w:hAnsi="宋体" w:eastAsia="宋体" w:cs="宋体"/>
                <w:b w:val="0"/>
              </w:rPr>
              <w:t>4.16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03759</w:t>
            </w:r>
          </w:p>
        </w:tc>
        <w:tc>
          <w:tcPr>
            <w:tcW w:w="0" w:type="dxa"/>
            <w:vAlign w:val="center"/>
          </w:tcPr>
          <w:p>
            <w:pPr>
              <w:spacing w:line="240" w:lineRule="auto"/>
              <w:jc w:val="left"/>
            </w:pPr>
            <w:r>
              <w:rPr>
                <w:rFonts w:ascii="宋体" w:hAnsi="宋体" w:eastAsia="宋体" w:cs="宋体"/>
                <w:b w:val="0"/>
              </w:rPr>
              <w:t>康龙化成</w:t>
            </w:r>
          </w:p>
        </w:tc>
        <w:tc>
          <w:tcPr>
            <w:tcW w:w="0" w:type="dxa"/>
            <w:vAlign w:val="center"/>
          </w:tcPr>
          <w:p>
            <w:pPr>
              <w:spacing w:line="240" w:lineRule="auto"/>
              <w:jc w:val="right"/>
            </w:pPr>
            <w:r>
              <w:rPr>
                <w:rFonts w:ascii="宋体" w:hAnsi="宋体" w:eastAsia="宋体" w:cs="宋体"/>
                <w:b w:val="0"/>
              </w:rPr>
              <w:t>202,400</w:t>
            </w:r>
          </w:p>
        </w:tc>
        <w:tc>
          <w:tcPr>
            <w:tcW w:w="0" w:type="dxa"/>
            <w:vAlign w:val="center"/>
          </w:tcPr>
          <w:p>
            <w:pPr>
              <w:spacing w:line="240" w:lineRule="auto"/>
              <w:jc w:val="right"/>
            </w:pPr>
            <w:r>
              <w:rPr>
                <w:rFonts w:ascii="宋体" w:hAnsi="宋体" w:eastAsia="宋体" w:cs="宋体"/>
                <w:b w:val="0"/>
              </w:rPr>
              <w:t>5,528,540.70</w:t>
            </w:r>
          </w:p>
        </w:tc>
        <w:tc>
          <w:tcPr>
            <w:tcW w:w="0" w:type="dxa"/>
            <w:vAlign w:val="center"/>
          </w:tcPr>
          <w:p>
            <w:pPr>
              <w:spacing w:line="240" w:lineRule="auto"/>
              <w:jc w:val="right"/>
            </w:pPr>
            <w:r>
              <w:rPr>
                <w:rFonts w:ascii="宋体" w:hAnsi="宋体" w:eastAsia="宋体" w:cs="宋体"/>
                <w:b w:val="0"/>
              </w:rPr>
              <w:t>2.51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03347</w:t>
            </w:r>
          </w:p>
        </w:tc>
        <w:tc>
          <w:tcPr>
            <w:tcW w:w="0" w:type="dxa"/>
            <w:vAlign w:val="center"/>
          </w:tcPr>
          <w:p>
            <w:pPr>
              <w:spacing w:line="240" w:lineRule="auto"/>
              <w:jc w:val="left"/>
            </w:pPr>
            <w:r>
              <w:rPr>
                <w:rFonts w:ascii="宋体" w:hAnsi="宋体" w:eastAsia="宋体" w:cs="宋体"/>
                <w:b w:val="0"/>
              </w:rPr>
              <w:t>泰格医药</w:t>
            </w:r>
          </w:p>
        </w:tc>
        <w:tc>
          <w:tcPr>
            <w:tcW w:w="0" w:type="dxa"/>
            <w:vAlign w:val="center"/>
          </w:tcPr>
          <w:p>
            <w:pPr>
              <w:spacing w:line="240" w:lineRule="auto"/>
              <w:jc w:val="right"/>
            </w:pPr>
            <w:r>
              <w:rPr>
                <w:rFonts w:ascii="宋体" w:hAnsi="宋体" w:eastAsia="宋体" w:cs="宋体"/>
                <w:b w:val="0"/>
              </w:rPr>
              <w:t>263,900</w:t>
            </w:r>
          </w:p>
        </w:tc>
        <w:tc>
          <w:tcPr>
            <w:tcW w:w="0" w:type="dxa"/>
            <w:vAlign w:val="center"/>
          </w:tcPr>
          <w:p>
            <w:pPr>
              <w:spacing w:line="240" w:lineRule="auto"/>
              <w:jc w:val="right"/>
            </w:pPr>
            <w:r>
              <w:rPr>
                <w:rFonts w:ascii="宋体" w:hAnsi="宋体" w:eastAsia="宋体" w:cs="宋体"/>
                <w:b w:val="0"/>
              </w:rPr>
              <w:t>10,620,056.34</w:t>
            </w:r>
          </w:p>
        </w:tc>
        <w:tc>
          <w:tcPr>
            <w:tcW w:w="0" w:type="dxa"/>
            <w:vAlign w:val="center"/>
          </w:tcPr>
          <w:p>
            <w:pPr>
              <w:spacing w:line="240" w:lineRule="auto"/>
              <w:jc w:val="right"/>
            </w:pPr>
            <w:r>
              <w:rPr>
                <w:rFonts w:ascii="宋体" w:hAnsi="宋体" w:eastAsia="宋体" w:cs="宋体"/>
                <w:b w:val="0"/>
              </w:rPr>
              <w:t>4.82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300347</w:t>
            </w:r>
          </w:p>
        </w:tc>
        <w:tc>
          <w:tcPr>
            <w:tcW w:w="0" w:type="dxa"/>
            <w:vAlign w:val="center"/>
          </w:tcPr>
          <w:p>
            <w:pPr>
              <w:spacing w:line="240" w:lineRule="auto"/>
              <w:jc w:val="left"/>
            </w:pPr>
            <w:r>
              <w:rPr>
                <w:rFonts w:ascii="宋体" w:hAnsi="宋体" w:eastAsia="宋体" w:cs="宋体"/>
                <w:b w:val="0"/>
              </w:rPr>
              <w:t>泰格医药</w:t>
            </w:r>
          </w:p>
        </w:tc>
        <w:tc>
          <w:tcPr>
            <w:tcW w:w="0" w:type="dxa"/>
            <w:vAlign w:val="center"/>
          </w:tcPr>
          <w:p>
            <w:pPr>
              <w:spacing w:line="240" w:lineRule="auto"/>
              <w:jc w:val="right"/>
            </w:pPr>
            <w:r>
              <w:rPr>
                <w:rFonts w:ascii="宋体" w:hAnsi="宋体" w:eastAsia="宋体" w:cs="宋体"/>
                <w:b w:val="0"/>
              </w:rPr>
              <w:t>57,300</w:t>
            </w:r>
          </w:p>
        </w:tc>
        <w:tc>
          <w:tcPr>
            <w:tcW w:w="0" w:type="dxa"/>
            <w:vAlign w:val="center"/>
          </w:tcPr>
          <w:p>
            <w:pPr>
              <w:spacing w:line="240" w:lineRule="auto"/>
              <w:jc w:val="right"/>
            </w:pPr>
            <w:r>
              <w:rPr>
                <w:rFonts w:ascii="宋体" w:hAnsi="宋体" w:eastAsia="宋体" w:cs="宋体"/>
                <w:b w:val="0"/>
              </w:rPr>
              <w:t>3,346,320.00</w:t>
            </w:r>
          </w:p>
        </w:tc>
        <w:tc>
          <w:tcPr>
            <w:tcW w:w="0" w:type="dxa"/>
            <w:vAlign w:val="center"/>
          </w:tcPr>
          <w:p>
            <w:pPr>
              <w:spacing w:line="240" w:lineRule="auto"/>
              <w:jc w:val="right"/>
            </w:pPr>
            <w:r>
              <w:rPr>
                <w:rFonts w:ascii="宋体" w:hAnsi="宋体" w:eastAsia="宋体" w:cs="宋体"/>
                <w:b w:val="0"/>
              </w:rPr>
              <w:t>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301080</w:t>
            </w:r>
          </w:p>
        </w:tc>
        <w:tc>
          <w:tcPr>
            <w:tcW w:w="0" w:type="dxa"/>
            <w:vAlign w:val="center"/>
          </w:tcPr>
          <w:p>
            <w:pPr>
              <w:spacing w:line="240" w:lineRule="auto"/>
              <w:jc w:val="left"/>
            </w:pPr>
            <w:r>
              <w:rPr>
                <w:rFonts w:ascii="宋体" w:hAnsi="宋体" w:eastAsia="宋体" w:cs="宋体"/>
                <w:b w:val="0"/>
              </w:rPr>
              <w:t>百普赛斯</w:t>
            </w:r>
          </w:p>
        </w:tc>
        <w:tc>
          <w:tcPr>
            <w:tcW w:w="0" w:type="dxa"/>
            <w:vAlign w:val="center"/>
          </w:tcPr>
          <w:p>
            <w:pPr>
              <w:spacing w:line="240" w:lineRule="auto"/>
              <w:jc w:val="right"/>
            </w:pPr>
            <w:r>
              <w:rPr>
                <w:rFonts w:ascii="宋体" w:hAnsi="宋体" w:eastAsia="宋体" w:cs="宋体"/>
                <w:b w:val="0"/>
              </w:rPr>
              <w:t>87,388</w:t>
            </w:r>
          </w:p>
        </w:tc>
        <w:tc>
          <w:tcPr>
            <w:tcW w:w="0" w:type="dxa"/>
            <w:vAlign w:val="center"/>
          </w:tcPr>
          <w:p>
            <w:pPr>
              <w:spacing w:line="240" w:lineRule="auto"/>
              <w:jc w:val="right"/>
            </w:pPr>
            <w:r>
              <w:rPr>
                <w:rFonts w:ascii="宋体" w:hAnsi="宋体" w:eastAsia="宋体" w:cs="宋体"/>
                <w:b w:val="0"/>
              </w:rPr>
              <w:t>12,327,825.16</w:t>
            </w:r>
          </w:p>
        </w:tc>
        <w:tc>
          <w:tcPr>
            <w:tcW w:w="0" w:type="dxa"/>
            <w:vAlign w:val="center"/>
          </w:tcPr>
          <w:p>
            <w:pPr>
              <w:spacing w:line="240" w:lineRule="auto"/>
              <w:jc w:val="right"/>
            </w:pPr>
            <w:r>
              <w:rPr>
                <w:rFonts w:ascii="宋体" w:hAnsi="宋体" w:eastAsia="宋体" w:cs="宋体"/>
                <w:b w:val="0"/>
              </w:rPr>
              <w:t>5.59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02269</w:t>
            </w:r>
          </w:p>
        </w:tc>
        <w:tc>
          <w:tcPr>
            <w:tcW w:w="0" w:type="dxa"/>
            <w:vAlign w:val="center"/>
          </w:tcPr>
          <w:p>
            <w:pPr>
              <w:spacing w:line="240" w:lineRule="auto"/>
              <w:jc w:val="left"/>
            </w:pPr>
            <w:r>
              <w:rPr>
                <w:rFonts w:ascii="宋体" w:hAnsi="宋体" w:eastAsia="宋体" w:cs="宋体"/>
                <w:b w:val="0"/>
              </w:rPr>
              <w:t>药明生物</w:t>
            </w:r>
          </w:p>
        </w:tc>
        <w:tc>
          <w:tcPr>
            <w:tcW w:w="0" w:type="dxa"/>
            <w:vAlign w:val="center"/>
          </w:tcPr>
          <w:p>
            <w:pPr>
              <w:spacing w:line="240" w:lineRule="auto"/>
              <w:jc w:val="right"/>
            </w:pPr>
            <w:r>
              <w:rPr>
                <w:rFonts w:ascii="宋体" w:hAnsi="宋体" w:eastAsia="宋体" w:cs="宋体"/>
                <w:b w:val="0"/>
              </w:rPr>
              <w:t>204,000</w:t>
            </w:r>
          </w:p>
        </w:tc>
        <w:tc>
          <w:tcPr>
            <w:tcW w:w="0" w:type="dxa"/>
            <w:vAlign w:val="center"/>
          </w:tcPr>
          <w:p>
            <w:pPr>
              <w:spacing w:line="240" w:lineRule="auto"/>
              <w:jc w:val="right"/>
            </w:pPr>
            <w:r>
              <w:rPr>
                <w:rFonts w:ascii="宋体" w:hAnsi="宋体" w:eastAsia="宋体" w:cs="宋体"/>
                <w:b w:val="0"/>
              </w:rPr>
              <w:t>9,815,345.96</w:t>
            </w:r>
          </w:p>
        </w:tc>
        <w:tc>
          <w:tcPr>
            <w:tcW w:w="0" w:type="dxa"/>
            <w:vAlign w:val="center"/>
          </w:tcPr>
          <w:p>
            <w:pPr>
              <w:spacing w:line="240" w:lineRule="auto"/>
              <w:jc w:val="right"/>
            </w:pPr>
            <w:r>
              <w:rPr>
                <w:rFonts w:ascii="宋体" w:hAnsi="宋体" w:eastAsia="宋体" w:cs="宋体"/>
                <w:b w:val="0"/>
              </w:rPr>
              <w:t>4.45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02268</w:t>
            </w:r>
          </w:p>
        </w:tc>
        <w:tc>
          <w:tcPr>
            <w:tcW w:w="0" w:type="dxa"/>
            <w:vAlign w:val="center"/>
          </w:tcPr>
          <w:p>
            <w:pPr>
              <w:spacing w:line="240" w:lineRule="auto"/>
              <w:jc w:val="left"/>
            </w:pPr>
            <w:r>
              <w:rPr>
                <w:rFonts w:ascii="宋体" w:hAnsi="宋体" w:eastAsia="宋体" w:cs="宋体"/>
                <w:b w:val="0"/>
              </w:rPr>
              <w:t>药明合联</w:t>
            </w:r>
          </w:p>
        </w:tc>
        <w:tc>
          <w:tcPr>
            <w:tcW w:w="0" w:type="dxa"/>
            <w:vAlign w:val="center"/>
          </w:tcPr>
          <w:p>
            <w:pPr>
              <w:spacing w:line="240" w:lineRule="auto"/>
              <w:jc w:val="right"/>
            </w:pPr>
            <w:r>
              <w:rPr>
                <w:rFonts w:ascii="宋体" w:hAnsi="宋体" w:eastAsia="宋体" w:cs="宋体"/>
                <w:b w:val="0"/>
              </w:rPr>
              <w:t>137,500</w:t>
            </w:r>
          </w:p>
        </w:tc>
        <w:tc>
          <w:tcPr>
            <w:tcW w:w="0" w:type="dxa"/>
            <w:vAlign w:val="center"/>
          </w:tcPr>
          <w:p>
            <w:pPr>
              <w:spacing w:line="240" w:lineRule="auto"/>
              <w:jc w:val="right"/>
            </w:pPr>
            <w:r>
              <w:rPr>
                <w:rFonts w:ascii="宋体" w:hAnsi="宋体" w:eastAsia="宋体" w:cs="宋体"/>
                <w:b w:val="0"/>
              </w:rPr>
              <w:t>9,678,685.50</w:t>
            </w:r>
          </w:p>
        </w:tc>
        <w:tc>
          <w:tcPr>
            <w:tcW w:w="0" w:type="dxa"/>
            <w:vAlign w:val="center"/>
          </w:tcPr>
          <w:p>
            <w:pPr>
              <w:spacing w:line="240" w:lineRule="auto"/>
              <w:jc w:val="right"/>
            </w:pPr>
            <w:r>
              <w:rPr>
                <w:rFonts w:ascii="宋体" w:hAnsi="宋体" w:eastAsia="宋体" w:cs="宋体"/>
                <w:b w:val="0"/>
              </w:rPr>
              <w:t>4.39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688137</w:t>
            </w:r>
          </w:p>
        </w:tc>
        <w:tc>
          <w:tcPr>
            <w:tcW w:w="0" w:type="dxa"/>
            <w:vAlign w:val="center"/>
          </w:tcPr>
          <w:p>
            <w:pPr>
              <w:spacing w:line="240" w:lineRule="auto"/>
              <w:jc w:val="left"/>
            </w:pPr>
            <w:r>
              <w:rPr>
                <w:rFonts w:ascii="宋体" w:hAnsi="宋体" w:eastAsia="宋体" w:cs="宋体"/>
                <w:b w:val="0"/>
              </w:rPr>
              <w:t>近岸蛋白</w:t>
            </w:r>
          </w:p>
        </w:tc>
        <w:tc>
          <w:tcPr>
            <w:tcW w:w="0" w:type="dxa"/>
            <w:vAlign w:val="center"/>
          </w:tcPr>
          <w:p>
            <w:pPr>
              <w:spacing w:line="240" w:lineRule="auto"/>
              <w:jc w:val="right"/>
            </w:pPr>
            <w:r>
              <w:rPr>
                <w:rFonts w:ascii="宋体" w:hAnsi="宋体" w:eastAsia="宋体" w:cs="宋体"/>
                <w:b w:val="0"/>
              </w:rPr>
              <w:t>57,307</w:t>
            </w:r>
          </w:p>
        </w:tc>
        <w:tc>
          <w:tcPr>
            <w:tcW w:w="0" w:type="dxa"/>
            <w:vAlign w:val="center"/>
          </w:tcPr>
          <w:p>
            <w:pPr>
              <w:spacing w:line="240" w:lineRule="auto"/>
              <w:jc w:val="right"/>
            </w:pPr>
            <w:r>
              <w:rPr>
                <w:rFonts w:ascii="宋体" w:hAnsi="宋体" w:eastAsia="宋体" w:cs="宋体"/>
                <w:b w:val="0"/>
              </w:rPr>
              <w:t>9,191,469.73</w:t>
            </w:r>
          </w:p>
        </w:tc>
        <w:tc>
          <w:tcPr>
            <w:tcW w:w="0" w:type="dxa"/>
            <w:vAlign w:val="center"/>
          </w:tcPr>
          <w:p>
            <w:pPr>
              <w:spacing w:line="240" w:lineRule="auto"/>
              <w:jc w:val="right"/>
            </w:pPr>
            <w:r>
              <w:rPr>
                <w:rFonts w:ascii="宋体" w:hAnsi="宋体" w:eastAsia="宋体" w:cs="宋体"/>
                <w:b w:val="0"/>
              </w:rPr>
              <w:t>4.17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688293</w:t>
            </w:r>
          </w:p>
        </w:tc>
        <w:tc>
          <w:tcPr>
            <w:tcW w:w="0" w:type="dxa"/>
            <w:vAlign w:val="center"/>
          </w:tcPr>
          <w:p>
            <w:pPr>
              <w:spacing w:line="240" w:lineRule="auto"/>
              <w:jc w:val="left"/>
            </w:pPr>
            <w:r>
              <w:rPr>
                <w:rFonts w:ascii="宋体" w:hAnsi="宋体" w:eastAsia="宋体" w:cs="宋体"/>
                <w:b w:val="0"/>
              </w:rPr>
              <w:t>奥浦迈</w:t>
            </w:r>
          </w:p>
        </w:tc>
        <w:tc>
          <w:tcPr>
            <w:tcW w:w="0" w:type="dxa"/>
            <w:vAlign w:val="center"/>
          </w:tcPr>
          <w:p>
            <w:pPr>
              <w:spacing w:line="240" w:lineRule="auto"/>
              <w:jc w:val="right"/>
            </w:pPr>
            <w:r>
              <w:rPr>
                <w:rFonts w:ascii="宋体" w:hAnsi="宋体" w:eastAsia="宋体" w:cs="宋体"/>
                <w:b w:val="0"/>
              </w:rPr>
              <w:t>95,371</w:t>
            </w:r>
          </w:p>
        </w:tc>
        <w:tc>
          <w:tcPr>
            <w:tcW w:w="0" w:type="dxa"/>
            <w:vAlign w:val="center"/>
          </w:tcPr>
          <w:p>
            <w:pPr>
              <w:spacing w:line="240" w:lineRule="auto"/>
              <w:jc w:val="right"/>
            </w:pPr>
            <w:r>
              <w:rPr>
                <w:rFonts w:ascii="宋体" w:hAnsi="宋体" w:eastAsia="宋体" w:cs="宋体"/>
                <w:b w:val="0"/>
              </w:rPr>
              <w:t>7,592,485.31</w:t>
            </w:r>
          </w:p>
        </w:tc>
        <w:tc>
          <w:tcPr>
            <w:tcW w:w="0" w:type="dxa"/>
            <w:vAlign w:val="center"/>
          </w:tcPr>
          <w:p>
            <w:pPr>
              <w:spacing w:line="240" w:lineRule="auto"/>
              <w:jc w:val="right"/>
            </w:pPr>
            <w:r>
              <w:rPr>
                <w:rFonts w:ascii="宋体" w:hAnsi="宋体" w:eastAsia="宋体" w:cs="宋体"/>
                <w:b w:val="0"/>
              </w:rPr>
              <w:t>3.45</w:t>
            </w:r>
          </w:p>
        </w:tc>
      </w:tr>
    </w:tbl>
    <w:p/>
    <w:p>
      <w:pPr>
        <w:pStyle w:val="3"/>
        <w:jc w:val="left"/>
      </w:pPr>
      <w:r>
        <w:rPr>
          <w:rFonts w:ascii="宋体" w:hAnsi="宋体" w:eastAsia="宋体" w:cs="宋体"/>
        </w:rPr>
        <w:t>5.4 报告期末按债券品种分类的债券投资组合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3571"/>
        <w:gridCol w:w="1786"/>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债券品种</w:t>
            </w:r>
          </w:p>
        </w:tc>
        <w:tc>
          <w:tcPr>
            <w:tcW w:w="769" w:type="pct"/>
            <w:shd w:val="clear" w:color="auto" w:fill="D9D9D9"/>
            <w:vAlign w:val="center"/>
          </w:tcPr>
          <w:p>
            <w:pPr>
              <w:spacing w:line="240" w:lineRule="auto"/>
              <w:jc w:val="center"/>
            </w:pPr>
            <w:r>
              <w:rPr>
                <w:rFonts w:ascii="宋体" w:hAnsi="宋体" w:eastAsia="宋体" w:cs="宋体"/>
                <w:b w:val="0"/>
              </w:rPr>
              <w:t>公允价值(元)</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国家债券</w:t>
            </w:r>
          </w:p>
        </w:tc>
        <w:tc>
          <w:tcPr>
            <w:tcW w:w="0" w:type="dxa"/>
            <w:vAlign w:val="center"/>
          </w:tcPr>
          <w:p>
            <w:pPr>
              <w:spacing w:line="240" w:lineRule="auto"/>
              <w:jc w:val="right"/>
            </w:pPr>
            <w:r>
              <w:rPr>
                <w:rFonts w:ascii="宋体" w:hAnsi="宋体" w:eastAsia="宋体" w:cs="宋体"/>
                <w:b w:val="0"/>
              </w:rPr>
              <w:t>11,652,864.14</w:t>
            </w:r>
          </w:p>
        </w:tc>
        <w:tc>
          <w:tcPr>
            <w:tcW w:w="0" w:type="dxa"/>
            <w:vAlign w:val="center"/>
          </w:tcPr>
          <w:p>
            <w:pPr>
              <w:spacing w:line="240" w:lineRule="auto"/>
              <w:jc w:val="right"/>
            </w:pPr>
            <w:r>
              <w:rPr>
                <w:rFonts w:ascii="宋体" w:hAnsi="宋体" w:eastAsia="宋体" w:cs="宋体"/>
                <w:b w:val="0"/>
              </w:rPr>
              <w:t>5.29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央行票据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金融债券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其中：政策性金融债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企业债券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企业短期融资券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中期票据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可转债（可交换债）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同业存单</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11,652,864.14</w:t>
            </w:r>
          </w:p>
        </w:tc>
        <w:tc>
          <w:tcPr>
            <w:tcW w:w="0" w:type="dxa"/>
            <w:vAlign w:val="center"/>
          </w:tcPr>
          <w:p>
            <w:pPr>
              <w:spacing w:line="240" w:lineRule="auto"/>
              <w:jc w:val="right"/>
            </w:pPr>
            <w:r>
              <w:rPr>
                <w:rFonts w:ascii="宋体" w:hAnsi="宋体" w:eastAsia="宋体" w:cs="宋体"/>
                <w:b w:val="0"/>
              </w:rPr>
              <w:t>5.29</w:t>
            </w:r>
          </w:p>
        </w:tc>
      </w:tr>
    </w:tbl>
    <w:p/>
    <w:p>
      <w:pPr>
        <w:pStyle w:val="3"/>
        <w:jc w:val="left"/>
      </w:pPr>
      <w:r>
        <w:rPr>
          <w:rFonts w:ascii="宋体" w:hAnsi="宋体" w:eastAsia="宋体" w:cs="宋体"/>
        </w:rPr>
        <w:t>5.5 报告期末按公允价值占基金资产净值比例大小排序的前五名债券投资明细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债券代码</w:t>
            </w:r>
          </w:p>
        </w:tc>
        <w:tc>
          <w:tcPr>
            <w:tcW w:w="769" w:type="pct"/>
            <w:shd w:val="clear" w:color="auto" w:fill="D9D9D9"/>
            <w:vAlign w:val="center"/>
          </w:tcPr>
          <w:p>
            <w:pPr>
              <w:spacing w:line="240" w:lineRule="auto"/>
              <w:jc w:val="center"/>
            </w:pPr>
            <w:r>
              <w:rPr>
                <w:rFonts w:ascii="宋体" w:hAnsi="宋体" w:eastAsia="宋体" w:cs="宋体"/>
                <w:b w:val="0"/>
              </w:rPr>
              <w:t>债券名称</w:t>
            </w:r>
          </w:p>
        </w:tc>
        <w:tc>
          <w:tcPr>
            <w:tcW w:w="615" w:type="pct"/>
            <w:shd w:val="clear" w:color="auto" w:fill="D9D9D9"/>
            <w:vAlign w:val="center"/>
          </w:tcPr>
          <w:p>
            <w:pPr>
              <w:spacing w:line="240" w:lineRule="auto"/>
              <w:jc w:val="center"/>
            </w:pPr>
            <w:r>
              <w:rPr>
                <w:rFonts w:ascii="宋体" w:hAnsi="宋体" w:eastAsia="宋体" w:cs="宋体"/>
                <w:b w:val="0"/>
              </w:rPr>
              <w:t>数量(张)</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019846</w:t>
            </w:r>
          </w:p>
        </w:tc>
        <w:tc>
          <w:tcPr>
            <w:tcW w:w="0" w:type="dxa"/>
            <w:vAlign w:val="center"/>
          </w:tcPr>
          <w:p>
            <w:pPr>
              <w:spacing w:line="240" w:lineRule="auto"/>
              <w:jc w:val="left"/>
            </w:pPr>
            <w:r>
              <w:rPr>
                <w:rFonts w:ascii="宋体" w:hAnsi="宋体" w:eastAsia="宋体" w:cs="宋体"/>
                <w:b w:val="0"/>
              </w:rPr>
              <w:t>26国债14</w:t>
            </w:r>
          </w:p>
        </w:tc>
        <w:tc>
          <w:tcPr>
            <w:tcW w:w="0" w:type="dxa"/>
            <w:vAlign w:val="center"/>
          </w:tcPr>
          <w:p>
            <w:pPr>
              <w:spacing w:line="240" w:lineRule="auto"/>
              <w:jc w:val="right"/>
            </w:pPr>
            <w:r>
              <w:rPr>
                <w:rFonts w:ascii="宋体" w:hAnsi="宋体" w:eastAsia="宋体" w:cs="宋体"/>
                <w:b w:val="0"/>
              </w:rPr>
              <w:t>43,000</w:t>
            </w:r>
          </w:p>
        </w:tc>
        <w:tc>
          <w:tcPr>
            <w:tcW w:w="0" w:type="dxa"/>
            <w:vAlign w:val="center"/>
          </w:tcPr>
          <w:p>
            <w:pPr>
              <w:spacing w:line="240" w:lineRule="auto"/>
              <w:jc w:val="right"/>
            </w:pPr>
            <w:r>
              <w:rPr>
                <w:rFonts w:ascii="宋体" w:hAnsi="宋体" w:eastAsia="宋体" w:cs="宋体"/>
                <w:b w:val="0"/>
              </w:rPr>
              <w:t>4,305,102.27</w:t>
            </w:r>
          </w:p>
        </w:tc>
        <w:tc>
          <w:tcPr>
            <w:tcW w:w="0" w:type="dxa"/>
            <w:vAlign w:val="center"/>
          </w:tcPr>
          <w:p>
            <w:pPr>
              <w:spacing w:line="240" w:lineRule="auto"/>
              <w:jc w:val="right"/>
            </w:pPr>
            <w:r>
              <w:rPr>
                <w:rFonts w:ascii="宋体" w:hAnsi="宋体" w:eastAsia="宋体" w:cs="宋体"/>
                <w:b w:val="0"/>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019827</w:t>
            </w:r>
          </w:p>
        </w:tc>
        <w:tc>
          <w:tcPr>
            <w:tcW w:w="0" w:type="dxa"/>
            <w:vAlign w:val="center"/>
          </w:tcPr>
          <w:p>
            <w:pPr>
              <w:spacing w:line="240" w:lineRule="auto"/>
              <w:jc w:val="left"/>
            </w:pPr>
            <w:r>
              <w:rPr>
                <w:rFonts w:ascii="宋体" w:hAnsi="宋体" w:eastAsia="宋体" w:cs="宋体"/>
                <w:b w:val="0"/>
              </w:rPr>
              <w:t>26国债01</w:t>
            </w:r>
          </w:p>
        </w:tc>
        <w:tc>
          <w:tcPr>
            <w:tcW w:w="0" w:type="dxa"/>
            <w:vAlign w:val="center"/>
          </w:tcPr>
          <w:p>
            <w:pPr>
              <w:spacing w:line="240" w:lineRule="auto"/>
              <w:jc w:val="right"/>
            </w:pPr>
            <w:r>
              <w:rPr>
                <w:rFonts w:ascii="宋体" w:hAnsi="宋体" w:eastAsia="宋体" w:cs="宋体"/>
                <w:b w:val="0"/>
              </w:rPr>
              <w:t>39,000</w:t>
            </w:r>
          </w:p>
        </w:tc>
        <w:tc>
          <w:tcPr>
            <w:tcW w:w="0" w:type="dxa"/>
            <w:vAlign w:val="center"/>
          </w:tcPr>
          <w:p>
            <w:pPr>
              <w:spacing w:line="240" w:lineRule="auto"/>
              <w:jc w:val="right"/>
            </w:pPr>
            <w:r>
              <w:rPr>
                <w:rFonts w:ascii="宋体" w:hAnsi="宋体" w:eastAsia="宋体" w:cs="宋体"/>
                <w:b w:val="0"/>
              </w:rPr>
              <w:t>3,933,762.25</w:t>
            </w:r>
          </w:p>
        </w:tc>
        <w:tc>
          <w:tcPr>
            <w:tcW w:w="0" w:type="dxa"/>
            <w:vAlign w:val="center"/>
          </w:tcPr>
          <w:p>
            <w:pPr>
              <w:spacing w:line="240" w:lineRule="auto"/>
              <w:jc w:val="right"/>
            </w:pPr>
            <w:r>
              <w:rPr>
                <w:rFonts w:ascii="宋体" w:hAnsi="宋体" w:eastAsia="宋体" w:cs="宋体"/>
                <w:b w:val="0"/>
              </w:rPr>
              <w:t>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019835</w:t>
            </w:r>
          </w:p>
        </w:tc>
        <w:tc>
          <w:tcPr>
            <w:tcW w:w="0" w:type="dxa"/>
            <w:vAlign w:val="center"/>
          </w:tcPr>
          <w:p>
            <w:pPr>
              <w:spacing w:line="240" w:lineRule="auto"/>
              <w:jc w:val="left"/>
            </w:pPr>
            <w:r>
              <w:rPr>
                <w:rFonts w:ascii="宋体" w:hAnsi="宋体" w:eastAsia="宋体" w:cs="宋体"/>
                <w:b w:val="0"/>
              </w:rPr>
              <w:t>26国债09</w:t>
            </w:r>
          </w:p>
        </w:tc>
        <w:tc>
          <w:tcPr>
            <w:tcW w:w="0" w:type="dxa"/>
            <w:vAlign w:val="center"/>
          </w:tcPr>
          <w:p>
            <w:pPr>
              <w:spacing w:line="240" w:lineRule="auto"/>
              <w:jc w:val="right"/>
            </w:pPr>
            <w:r>
              <w:rPr>
                <w:rFonts w:ascii="宋体" w:hAnsi="宋体" w:eastAsia="宋体" w:cs="宋体"/>
                <w:b w:val="0"/>
              </w:rPr>
              <w:t>34,000</w:t>
            </w:r>
          </w:p>
        </w:tc>
        <w:tc>
          <w:tcPr>
            <w:tcW w:w="0" w:type="dxa"/>
            <w:vAlign w:val="center"/>
          </w:tcPr>
          <w:p>
            <w:pPr>
              <w:spacing w:line="240" w:lineRule="auto"/>
              <w:jc w:val="right"/>
            </w:pPr>
            <w:r>
              <w:rPr>
                <w:rFonts w:ascii="宋体" w:hAnsi="宋体" w:eastAsia="宋体" w:cs="宋体"/>
                <w:b w:val="0"/>
              </w:rPr>
              <w:t>3,413,999.62</w:t>
            </w:r>
          </w:p>
        </w:tc>
        <w:tc>
          <w:tcPr>
            <w:tcW w:w="0" w:type="dxa"/>
            <w:vAlign w:val="center"/>
          </w:tcPr>
          <w:p>
            <w:pPr>
              <w:spacing w:line="240" w:lineRule="auto"/>
              <w:jc w:val="right"/>
            </w:pPr>
            <w:r>
              <w:rPr>
                <w:rFonts w:ascii="宋体" w:hAnsi="宋体" w:eastAsia="宋体" w:cs="宋体"/>
                <w:b w:val="0"/>
              </w:rPr>
              <w:t>1.55</w:t>
            </w:r>
          </w:p>
        </w:tc>
      </w:tr>
    </w:tbl>
    <w:p>
      <w:r>
        <w:rPr>
          <w:rFonts w:ascii="宋体" w:hAnsi="宋体" w:eastAsia="宋体" w:cs="宋体"/>
          <w:b w:val="0"/>
        </w:rPr>
        <w:t>注：本基金本报告期末仅持有上述债券。</w:t>
      </w:r>
    </w:p>
    <w:p/>
    <w:p>
      <w:pPr>
        <w:pStyle w:val="3"/>
        <w:jc w:val="left"/>
      </w:pPr>
      <w:r>
        <w:rPr>
          <w:rFonts w:ascii="宋体" w:hAnsi="宋体" w:eastAsia="宋体" w:cs="宋体"/>
        </w:rPr>
        <w:t>5.6 报告期末按公允价值占基金资产净值比例大小排序的前十名资产支持证券投资明细</w:t>
      </w:r>
    </w:p>
    <w:p>
      <w:r>
        <w:rPr>
          <w:rFonts w:ascii="宋体" w:hAnsi="宋体" w:eastAsia="宋体" w:cs="宋体"/>
          <w:b w:val="0"/>
        </w:rPr>
        <w:t xml:space="preserve">    本基金本报告期末未持有资产支持证券。</w:t>
      </w:r>
    </w:p>
    <w:p/>
    <w:p>
      <w:pPr>
        <w:pStyle w:val="3"/>
        <w:jc w:val="left"/>
      </w:pPr>
      <w:r>
        <w:rPr>
          <w:rFonts w:ascii="宋体" w:hAnsi="宋体" w:eastAsia="宋体" w:cs="宋体"/>
        </w:rPr>
        <w:t>5.7 报告期末按公允价值占基金资产净值比例大小排序的前五名贵金属投资明细</w:t>
      </w:r>
    </w:p>
    <w:p>
      <w:r>
        <w:rPr>
          <w:rFonts w:ascii="宋体" w:hAnsi="宋体" w:eastAsia="宋体" w:cs="宋体"/>
          <w:b w:val="0"/>
        </w:rPr>
        <w:t xml:space="preserve">    本基金本报告期末未持有贵金属。</w:t>
      </w:r>
    </w:p>
    <w:p/>
    <w:p>
      <w:pPr>
        <w:pStyle w:val="3"/>
        <w:jc w:val="left"/>
      </w:pPr>
      <w:r>
        <w:rPr>
          <w:rFonts w:ascii="宋体" w:hAnsi="宋体" w:eastAsia="宋体" w:cs="宋体"/>
        </w:rPr>
        <w:t>5.8 报告期末按公允价值占基金资产净值比例大小排序的前五名权证投资明细</w:t>
      </w:r>
    </w:p>
    <w:p>
      <w:r>
        <w:rPr>
          <w:rFonts w:ascii="宋体" w:hAnsi="宋体" w:eastAsia="宋体" w:cs="宋体"/>
          <w:b w:val="0"/>
        </w:rPr>
        <w:t xml:space="preserve">    本基金本报告期末未持有权证。</w:t>
      </w:r>
    </w:p>
    <w:p/>
    <w:p>
      <w:pPr>
        <w:pStyle w:val="3"/>
        <w:jc w:val="left"/>
      </w:pPr>
      <w:r>
        <w:rPr>
          <w:rFonts w:ascii="宋体" w:hAnsi="宋体" w:eastAsia="宋体" w:cs="宋体"/>
        </w:rPr>
        <w:t>5.9 报告期末本基金投资的股指期货交易情况说明</w:t>
      </w:r>
    </w:p>
    <w:p>
      <w:r>
        <w:rPr>
          <w:rFonts w:ascii="宋体" w:hAnsi="宋体" w:eastAsia="宋体" w:cs="宋体"/>
          <w:b w:val="0"/>
        </w:rPr>
        <w:t xml:space="preserve">    本基金本报告期末未持有股指期货。</w:t>
      </w:r>
    </w:p>
    <w:p/>
    <w:p>
      <w:pPr>
        <w:pStyle w:val="3"/>
        <w:jc w:val="left"/>
      </w:pPr>
      <w:r>
        <w:rPr>
          <w:rFonts w:ascii="宋体" w:hAnsi="宋体" w:eastAsia="宋体" w:cs="宋体"/>
        </w:rPr>
        <w:t>5.10 报告期末本基金投资的国债期货交易情况说明</w:t>
      </w:r>
    </w:p>
    <w:p>
      <w:r>
        <w:rPr>
          <w:rFonts w:ascii="宋体" w:hAnsi="宋体" w:eastAsia="宋体" w:cs="宋体"/>
          <w:b w:val="0"/>
        </w:rPr>
        <w:t xml:space="preserve">    本基金本报告期末未持有国债期货。</w:t>
      </w:r>
    </w:p>
    <w:p/>
    <w:p>
      <w:pPr>
        <w:pStyle w:val="3"/>
        <w:jc w:val="left"/>
      </w:pPr>
      <w:r>
        <w:rPr>
          <w:rFonts w:ascii="宋体" w:hAnsi="宋体" w:eastAsia="宋体" w:cs="宋体"/>
        </w:rPr>
        <w:t>5.11 投资组合报告附注</w:t>
      </w:r>
    </w:p>
    <w:p>
      <w:pPr>
        <w:pStyle w:val="58"/>
      </w:pPr>
      <w:r>
        <w:rPr>
          <w:rStyle w:val="30"/>
          <w:rFonts w:ascii="宋体" w:hAnsi="宋体" w:eastAsia="宋体" w:cs="宋体"/>
          <w:b/>
        </w:rPr>
        <w:t>5.11.1 本基金投资的前十名证券的发行主体本期受到监管部门立案调查或报告编制日前一年内受到公开谴责、处罚的情形说明</w:t>
      </w:r>
    </w:p>
    <w:p>
      <w:r>
        <w:rPr>
          <w:rFonts w:ascii="宋体" w:hAnsi="宋体" w:eastAsia="宋体" w:cs="宋体"/>
          <w:b w:val="0"/>
        </w:rPr>
        <w:t xml:space="preserve">    本基金投资的前十名证券的发行主体本期未出现被监管部门立案调查，或在报告编制日前一年内受到公开谴责、处罚的情形。</w:t>
      </w:r>
    </w:p>
    <w:p/>
    <w:p>
      <w:pPr>
        <w:pStyle w:val="58"/>
      </w:pPr>
      <w:r>
        <w:rPr>
          <w:rStyle w:val="30"/>
          <w:rFonts w:ascii="宋体" w:hAnsi="宋体" w:eastAsia="宋体" w:cs="宋体"/>
          <w:b/>
        </w:rPr>
        <w:t>5.11.2 基金投资的前十名股票超出基金合同约定的备选股票库情况的说明</w:t>
      </w:r>
    </w:p>
    <w:p>
      <w:r>
        <w:rPr>
          <w:rFonts w:ascii="宋体" w:hAnsi="宋体" w:eastAsia="宋体" w:cs="宋体"/>
          <w:b w:val="0"/>
        </w:rPr>
        <w:t xml:space="preserve">    基金投资的前十名股票，均为基金合同约定备选股票库之内的股票。</w:t>
      </w:r>
    </w:p>
    <w:p/>
    <w:p>
      <w:pPr>
        <w:pStyle w:val="58"/>
      </w:pPr>
      <w:r>
        <w:rPr>
          <w:rStyle w:val="30"/>
          <w:rFonts w:ascii="宋体" w:hAnsi="宋体" w:eastAsia="宋体" w:cs="宋体"/>
          <w:b/>
        </w:rPr>
        <w:t>5.11.3 其他资产构成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4804"/>
        <w:gridCol w:w="3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2308" w:type="pct"/>
            <w:shd w:val="clear" w:color="auto" w:fill="D9D9D9"/>
            <w:vAlign w:val="center"/>
          </w:tcPr>
          <w:p>
            <w:pPr>
              <w:spacing w:line="240" w:lineRule="auto"/>
              <w:jc w:val="center"/>
            </w:pPr>
            <w:r>
              <w:rPr>
                <w:rFonts w:ascii="宋体" w:hAnsi="宋体" w:eastAsia="宋体" w:cs="宋体"/>
                <w:b w:val="0"/>
              </w:rPr>
              <w:t>名称</w:t>
            </w:r>
          </w:p>
        </w:tc>
        <w:tc>
          <w:tcPr>
            <w:tcW w:w="1538" w:type="pct"/>
            <w:shd w:val="clear" w:color="auto" w:fill="D9D9D9"/>
            <w:vAlign w:val="center"/>
          </w:tcPr>
          <w:p>
            <w:pPr>
              <w:spacing w:line="240" w:lineRule="auto"/>
              <w:jc w:val="center"/>
            </w:pPr>
            <w:r>
              <w:rPr>
                <w:rFonts w:ascii="宋体" w:hAnsi="宋体" w:eastAsia="宋体" w:cs="宋体"/>
                <w:b w:val="0"/>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应收证券清算款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应收利息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18,899,900.17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其他应收款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18,899,900.17</w:t>
            </w:r>
          </w:p>
        </w:tc>
      </w:tr>
    </w:tbl>
    <w:p/>
    <w:p>
      <w:pPr>
        <w:pStyle w:val="58"/>
      </w:pPr>
      <w:r>
        <w:rPr>
          <w:rStyle w:val="30"/>
          <w:rFonts w:ascii="宋体" w:hAnsi="宋体" w:eastAsia="宋体" w:cs="宋体"/>
          <w:b/>
        </w:rPr>
        <w:t>5.11.4 报告期末持有的处于转股期的可转换债券明细</w:t>
      </w:r>
    </w:p>
    <w:p>
      <w:r>
        <w:rPr>
          <w:rFonts w:ascii="宋体" w:hAnsi="宋体" w:eastAsia="宋体" w:cs="宋体"/>
          <w:b w:val="0"/>
        </w:rPr>
        <w:t xml:space="preserve">    本基金本报告期末未持有处于转股期的可转换债券。</w:t>
      </w:r>
    </w:p>
    <w:p/>
    <w:p>
      <w:pPr>
        <w:pStyle w:val="58"/>
      </w:pPr>
      <w:r>
        <w:rPr>
          <w:rStyle w:val="30"/>
          <w:rFonts w:ascii="宋体" w:hAnsi="宋体" w:eastAsia="宋体" w:cs="宋体"/>
          <w:b/>
        </w:rPr>
        <w:t>5.11.5 报告期末前十名股票中存在流通受限情况的说明</w:t>
      </w:r>
    </w:p>
    <w:p>
      <w:r>
        <w:rPr>
          <w:rFonts w:ascii="宋体" w:hAnsi="宋体" w:eastAsia="宋体" w:cs="宋体"/>
          <w:b w:val="0"/>
        </w:rPr>
        <w:t xml:space="preserve">    本基金本报告期末前十名股票中不存在流通受限的情况。</w:t>
      </w:r>
    </w:p>
    <w:p/>
    <w:p>
      <w:pPr>
        <w:pStyle w:val="58"/>
      </w:pPr>
      <w:r>
        <w:rPr>
          <w:rStyle w:val="30"/>
          <w:rFonts w:ascii="宋体" w:hAnsi="宋体" w:eastAsia="宋体" w:cs="宋体"/>
          <w:b/>
        </w:rPr>
        <w:t>5.11.6 投资组合报告附注的其他文字描述部分</w:t>
      </w:r>
    </w:p>
    <w:p>
      <w:r>
        <w:rPr>
          <w:rFonts w:ascii="宋体" w:hAnsi="宋体" w:eastAsia="宋体" w:cs="宋体"/>
          <w:b w:val="0"/>
        </w:rPr>
        <w:t xml:space="preserve">    由于四舍五入原因，分项之和与合计项之间可能存在尾差。</w:t>
      </w:r>
    </w:p>
    <w:p>
      <w:pPr>
        <w:pStyle w:val="2"/>
        <w:jc w:val="center"/>
      </w:pPr>
      <w:r>
        <w:rPr>
          <w:rFonts w:ascii="宋体" w:hAnsi="宋体" w:eastAsia="宋体" w:cs="宋体"/>
        </w:rPr>
        <w:t>§6 开放式基金份额变动</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246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center"/>
            </w:pPr>
          </w:p>
        </w:tc>
        <w:tc>
          <w:tcPr>
            <w:tcW w:w="1300" w:type="pct"/>
            <w:vAlign w:val="center"/>
          </w:tcPr>
          <w:p>
            <w:pPr>
              <w:spacing w:line="240" w:lineRule="auto"/>
              <w:jc w:val="center"/>
            </w:pPr>
            <w:r>
              <w:rPr>
                <w:rFonts w:ascii="宋体" w:hAnsi="宋体" w:eastAsia="宋体" w:cs="宋体"/>
                <w:b w:val="0"/>
              </w:rPr>
              <w:t>东方阿尔法医疗健康混合发起A</w:t>
            </w:r>
          </w:p>
        </w:tc>
        <w:tc>
          <w:tcPr>
            <w:tcW w:w="1300" w:type="pct"/>
            <w:vAlign w:val="center"/>
          </w:tcPr>
          <w:p>
            <w:pPr>
              <w:spacing w:line="240" w:lineRule="auto"/>
              <w:jc w:val="center"/>
            </w:pPr>
            <w:r>
              <w:rPr>
                <w:rFonts w:ascii="宋体" w:hAnsi="宋体" w:eastAsia="宋体" w:cs="宋体"/>
                <w:b w:val="0"/>
              </w:rPr>
              <w:t>东方阿尔法医疗健康混合发起C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21" w:type="dxa"/>
            <w:vAlign w:val="center"/>
          </w:tcPr>
          <w:p>
            <w:pPr>
              <w:spacing w:line="240" w:lineRule="auto"/>
              <w:jc w:val="left"/>
            </w:pPr>
            <w:r>
              <w:rPr>
                <w:rFonts w:ascii="宋体" w:hAnsi="宋体" w:eastAsia="宋体" w:cs="宋体"/>
                <w:b w:val="0"/>
              </w:rPr>
              <w:t>报告期期初基金份额总额</w:t>
            </w:r>
          </w:p>
        </w:tc>
        <w:tc>
          <w:tcPr>
            <w:tcW w:w="1300" w:type="pct"/>
            <w:vAlign w:val="center"/>
          </w:tcPr>
          <w:p>
            <w:pPr>
              <w:spacing w:line="240" w:lineRule="auto"/>
              <w:jc w:val="right"/>
            </w:pPr>
            <w:r>
              <w:rPr>
                <w:rFonts w:ascii="宋体" w:hAnsi="宋体" w:eastAsia="宋体" w:cs="宋体"/>
                <w:b w:val="0"/>
              </w:rPr>
              <w:t>31,651,961.77</w:t>
            </w:r>
          </w:p>
        </w:tc>
        <w:tc>
          <w:tcPr>
            <w:tcW w:w="1300" w:type="pct"/>
            <w:vAlign w:val="center"/>
          </w:tcPr>
          <w:p>
            <w:pPr>
              <w:spacing w:line="240" w:lineRule="auto"/>
              <w:jc w:val="right"/>
            </w:pPr>
            <w:r>
              <w:rPr>
                <w:rFonts w:ascii="宋体" w:hAnsi="宋体" w:eastAsia="宋体" w:cs="宋体"/>
                <w:b w:val="0"/>
              </w:rPr>
              <w:t>102,804,218.04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报告期期间基金总申购份额</w:t>
            </w:r>
          </w:p>
        </w:tc>
        <w:tc>
          <w:tcPr>
            <w:tcW w:w="1300" w:type="pct"/>
            <w:vAlign w:val="center"/>
          </w:tcPr>
          <w:p>
            <w:pPr>
              <w:spacing w:line="240" w:lineRule="auto"/>
              <w:jc w:val="right"/>
            </w:pPr>
            <w:r>
              <w:rPr>
                <w:rFonts w:ascii="宋体" w:hAnsi="宋体" w:eastAsia="宋体" w:cs="宋体"/>
                <w:b w:val="0"/>
              </w:rPr>
              <w:t>9,131,291.74</w:t>
            </w:r>
          </w:p>
        </w:tc>
        <w:tc>
          <w:tcPr>
            <w:tcW w:w="1300" w:type="pct"/>
            <w:vAlign w:val="center"/>
          </w:tcPr>
          <w:p>
            <w:pPr>
              <w:spacing w:line="240" w:lineRule="auto"/>
              <w:jc w:val="right"/>
            </w:pPr>
            <w:r>
              <w:rPr>
                <w:rFonts w:ascii="宋体" w:hAnsi="宋体" w:eastAsia="宋体" w:cs="宋体"/>
                <w:b w:val="0"/>
              </w:rPr>
              <w:t>145,493,907.90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减：报告期期间基金总赎回份额</w:t>
            </w:r>
          </w:p>
        </w:tc>
        <w:tc>
          <w:tcPr>
            <w:tcW w:w="1300" w:type="pct"/>
            <w:vAlign w:val="center"/>
          </w:tcPr>
          <w:p>
            <w:pPr>
              <w:spacing w:line="240" w:lineRule="auto"/>
              <w:jc w:val="right"/>
            </w:pPr>
            <w:r>
              <w:rPr>
                <w:rFonts w:ascii="宋体" w:hAnsi="宋体" w:eastAsia="宋体" w:cs="宋体"/>
                <w:b w:val="0"/>
              </w:rPr>
              <w:t>14,460,869.62</w:t>
            </w:r>
          </w:p>
        </w:tc>
        <w:tc>
          <w:tcPr>
            <w:tcW w:w="1300" w:type="pct"/>
            <w:vAlign w:val="center"/>
          </w:tcPr>
          <w:p>
            <w:pPr>
              <w:spacing w:line="240" w:lineRule="auto"/>
              <w:jc w:val="right"/>
            </w:pPr>
            <w:r>
              <w:rPr>
                <w:rFonts w:ascii="宋体" w:hAnsi="宋体" w:eastAsia="宋体" w:cs="宋体"/>
                <w:b w:val="0"/>
              </w:rPr>
              <w:t>103,824,705.06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报告期期间基金拆分变动份额（份额减少以“-”填列）</w:t>
            </w:r>
          </w:p>
        </w:tc>
        <w:tc>
          <w:tcPr>
            <w:tcW w:w="1300" w:type="pct"/>
            <w:vAlign w:val="center"/>
          </w:tcPr>
          <w:p>
            <w:pPr>
              <w:spacing w:line="240" w:lineRule="auto"/>
              <w:jc w:val="right"/>
            </w:pPr>
            <w:r>
              <w:rPr>
                <w:rFonts w:ascii="宋体" w:hAnsi="宋体" w:eastAsia="宋体" w:cs="宋体"/>
                <w:b w:val="0"/>
              </w:rPr>
              <w:t>-</w:t>
            </w:r>
          </w:p>
        </w:tc>
        <w:tc>
          <w:tcPr>
            <w:tcW w:w="130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报告期期末基金份额总额</w:t>
            </w:r>
          </w:p>
        </w:tc>
        <w:tc>
          <w:tcPr>
            <w:tcW w:w="1300" w:type="pct"/>
            <w:vAlign w:val="center"/>
          </w:tcPr>
          <w:p>
            <w:pPr>
              <w:spacing w:line="240" w:lineRule="auto"/>
              <w:jc w:val="right"/>
            </w:pPr>
            <w:r>
              <w:rPr>
                <w:rFonts w:ascii="宋体" w:hAnsi="宋体" w:eastAsia="宋体" w:cs="宋体"/>
                <w:b w:val="0"/>
              </w:rPr>
              <w:t>26,322,383.89</w:t>
            </w:r>
          </w:p>
        </w:tc>
        <w:tc>
          <w:tcPr>
            <w:tcW w:w="1300" w:type="pct"/>
            <w:vAlign w:val="center"/>
          </w:tcPr>
          <w:p>
            <w:pPr>
              <w:spacing w:line="240" w:lineRule="auto"/>
              <w:jc w:val="right"/>
            </w:pPr>
            <w:r>
              <w:rPr>
                <w:rFonts w:ascii="宋体" w:hAnsi="宋体" w:eastAsia="宋体" w:cs="宋体"/>
                <w:b w:val="0"/>
              </w:rPr>
              <w:t>144,473,420.88</w:t>
            </w:r>
          </w:p>
        </w:tc>
      </w:tr>
    </w:tbl>
    <w:p>
      <w:pPr>
        <w:pStyle w:val="2"/>
        <w:jc w:val="center"/>
      </w:pPr>
      <w:r>
        <w:rPr>
          <w:rFonts w:ascii="宋体" w:hAnsi="宋体" w:eastAsia="宋体" w:cs="宋体"/>
        </w:rPr>
        <w:t>§7 基金管理人运用固有资金投资本基金情况</w:t>
      </w:r>
    </w:p>
    <w:p>
      <w:pPr>
        <w:pStyle w:val="3"/>
        <w:jc w:val="left"/>
      </w:pPr>
      <w:r>
        <w:rPr>
          <w:rFonts w:ascii="宋体" w:hAnsi="宋体" w:eastAsia="宋体" w:cs="宋体"/>
        </w:rPr>
        <w:t>7.1 基金管理人持有本基金份额变动情况</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2"/>
        <w:gridCol w:w="177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pct"/>
            <w:vAlign w:val="center"/>
          </w:tcPr>
          <w:p>
            <w:pPr>
              <w:spacing w:line="240" w:lineRule="auto"/>
              <w:jc w:val="center"/>
            </w:pPr>
          </w:p>
        </w:tc>
        <w:tc>
          <w:tcPr>
            <w:tcW w:w="950" w:type="pct"/>
            <w:vAlign w:val="center"/>
          </w:tcPr>
          <w:p>
            <w:pPr>
              <w:spacing w:line="240" w:lineRule="auto"/>
              <w:jc w:val="center"/>
            </w:pPr>
            <w:r>
              <w:rPr>
                <w:rFonts w:ascii="宋体" w:hAnsi="宋体" w:eastAsia="宋体" w:cs="宋体"/>
                <w:b w:val="0"/>
              </w:rPr>
              <w:t>东方阿尔法医疗健康混合发起A</w:t>
            </w:r>
          </w:p>
        </w:tc>
        <w:tc>
          <w:tcPr>
            <w:tcW w:w="950" w:type="pct"/>
            <w:vAlign w:val="center"/>
          </w:tcPr>
          <w:p>
            <w:pPr>
              <w:spacing w:line="240" w:lineRule="auto"/>
              <w:jc w:val="center"/>
            </w:pPr>
            <w:r>
              <w:rPr>
                <w:rFonts w:ascii="宋体" w:hAnsi="宋体" w:eastAsia="宋体" w:cs="宋体"/>
                <w:b w:val="0"/>
              </w:rPr>
              <w:t>东方阿尔法医疗健康混合发起C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7" w:type="pct"/>
            <w:vAlign w:val="center"/>
          </w:tcPr>
          <w:p>
            <w:pPr>
              <w:spacing w:line="240" w:lineRule="auto"/>
              <w:jc w:val="left"/>
            </w:pPr>
            <w:r>
              <w:rPr>
                <w:rFonts w:ascii="宋体" w:hAnsi="宋体" w:eastAsia="宋体" w:cs="宋体"/>
                <w:b w:val="0"/>
              </w:rPr>
              <w:t>报告期期初管理人持有的本基金份额</w:t>
            </w:r>
          </w:p>
        </w:tc>
        <w:tc>
          <w:tcPr>
            <w:tcW w:w="950" w:type="pct"/>
            <w:vAlign w:val="center"/>
          </w:tcPr>
          <w:p>
            <w:pPr>
              <w:spacing w:line="240" w:lineRule="auto"/>
              <w:jc w:val="right"/>
            </w:pPr>
            <w:r>
              <w:rPr>
                <w:rFonts w:ascii="宋体" w:hAnsi="宋体" w:eastAsia="宋体" w:cs="宋体"/>
                <w:b w:val="0"/>
              </w:rPr>
              <w:t>387,295.34</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报告期期间买入/申购总份额</w:t>
            </w:r>
          </w:p>
        </w:tc>
        <w:tc>
          <w:tcPr>
            <w:tcW w:w="950" w:type="pct"/>
            <w:vAlign w:val="center"/>
          </w:tcPr>
          <w:p>
            <w:pPr>
              <w:spacing w:line="240" w:lineRule="auto"/>
              <w:jc w:val="right"/>
            </w:pPr>
            <w:r>
              <w:rPr>
                <w:rFonts w:ascii="宋体" w:hAnsi="宋体" w:eastAsia="宋体" w:cs="宋体"/>
                <w:b w:val="0"/>
              </w:rPr>
              <w:t>-</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报告期期间卖出/赎回总份额</w:t>
            </w:r>
          </w:p>
        </w:tc>
        <w:tc>
          <w:tcPr>
            <w:tcW w:w="950" w:type="pct"/>
            <w:vAlign w:val="center"/>
          </w:tcPr>
          <w:p>
            <w:pPr>
              <w:spacing w:line="240" w:lineRule="auto"/>
              <w:jc w:val="right"/>
            </w:pPr>
            <w:r>
              <w:rPr>
                <w:rFonts w:ascii="宋体" w:hAnsi="宋体" w:eastAsia="宋体" w:cs="宋体"/>
                <w:b w:val="0"/>
              </w:rPr>
              <w:t>-</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报告期期末管理人持有的本基金份额</w:t>
            </w:r>
          </w:p>
        </w:tc>
        <w:tc>
          <w:tcPr>
            <w:tcW w:w="950" w:type="pct"/>
            <w:vAlign w:val="center"/>
          </w:tcPr>
          <w:p>
            <w:pPr>
              <w:spacing w:line="240" w:lineRule="auto"/>
              <w:jc w:val="right"/>
            </w:pPr>
            <w:r>
              <w:rPr>
                <w:rFonts w:ascii="宋体" w:hAnsi="宋体" w:eastAsia="宋体" w:cs="宋体"/>
                <w:b w:val="0"/>
              </w:rPr>
              <w:t>387,295.34</w:t>
            </w:r>
          </w:p>
        </w:tc>
        <w:tc>
          <w:tcPr>
            <w:tcW w:w="95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报告期期末持有的本基金份额占基金总份额比例（%）</w:t>
            </w:r>
          </w:p>
        </w:tc>
        <w:tc>
          <w:tcPr>
            <w:tcW w:w="950" w:type="pct"/>
            <w:vAlign w:val="center"/>
          </w:tcPr>
          <w:p>
            <w:pPr>
              <w:spacing w:line="240" w:lineRule="auto"/>
              <w:jc w:val="right"/>
            </w:pPr>
            <w:r>
              <w:rPr>
                <w:rFonts w:ascii="宋体" w:hAnsi="宋体" w:eastAsia="宋体" w:cs="宋体"/>
                <w:b w:val="0"/>
              </w:rPr>
              <w:t>0.23</w:t>
            </w:r>
          </w:p>
        </w:tc>
        <w:tc>
          <w:tcPr>
            <w:tcW w:w="950" w:type="pct"/>
            <w:vAlign w:val="center"/>
          </w:tcPr>
          <w:p>
            <w:pPr>
              <w:spacing w:line="240" w:lineRule="auto"/>
              <w:jc w:val="right"/>
            </w:pPr>
            <w:r>
              <w:rPr>
                <w:rFonts w:ascii="宋体" w:hAnsi="宋体" w:eastAsia="宋体" w:cs="宋体"/>
                <w:b w:val="0"/>
              </w:rPr>
              <w:t>-</w:t>
            </w:r>
          </w:p>
        </w:tc>
      </w:tr>
    </w:tbl>
    <w:p>
      <w:r>
        <w:rPr>
          <w:rFonts w:ascii="宋体" w:hAnsi="宋体" w:eastAsia="宋体" w:cs="宋体"/>
          <w:b w:val="0"/>
        </w:rPr>
        <w:t>注：报告期期末持有的本基金份额占基金总份额比例的分母采用期末基金份额总额，不区分下属不同类别基金。</w:t>
      </w:r>
    </w:p>
    <w:p/>
    <w:p>
      <w:pPr>
        <w:pStyle w:val="3"/>
        <w:jc w:val="left"/>
      </w:pPr>
      <w:r>
        <w:rPr>
          <w:rFonts w:ascii="宋体" w:hAnsi="宋体" w:eastAsia="宋体" w:cs="宋体"/>
        </w:rPr>
        <w:t>7.2 基金管理人运用固有资金投资本基金交易明细</w:t>
      </w:r>
    </w:p>
    <w:p>
      <w:r>
        <w:rPr>
          <w:rFonts w:ascii="宋体" w:hAnsi="宋体" w:eastAsia="宋体" w:cs="宋体"/>
          <w:b w:val="0"/>
        </w:rPr>
        <w:t xml:space="preserve">    本报告期内，本基金管理人未运用固有资金投资本基金。</w:t>
      </w:r>
    </w:p>
    <w:p>
      <w:pPr>
        <w:pStyle w:val="2"/>
        <w:spacing w:line="240" w:lineRule="auto"/>
        <w:jc w:val="center"/>
      </w:pPr>
      <w:r>
        <w:rPr>
          <w:rFonts w:ascii="宋体" w:hAnsi="宋体" w:eastAsia="宋体" w:cs="宋体"/>
        </w:rPr>
        <w:t>§8 报告期末发起式基金发起资金持有份额情况</w:t>
      </w:r>
    </w:p>
    <w:p>
      <w:r>
        <w:rPr>
          <w:rFonts w:ascii="宋体" w:hAnsi="宋体" w:eastAsia="宋体" w:cs="宋体"/>
          <w:b w:val="0"/>
        </w:rPr>
        <w:t xml:space="preserve">    本基金基金合同于2022年03月30日生效。根据本基金基金合同的约定，发起资金认购本基金金额不少于1000万元，且发起资金认购的基金份额持有期限自基金合同生效日起不少于3年。自基金合同生效日起至本报告期末，发起资金认购的本基金基金份额持有期限已满3年。</w:t>
      </w:r>
    </w:p>
    <w:p>
      <w:pPr>
        <w:pStyle w:val="2"/>
        <w:spacing w:line="240" w:lineRule="auto"/>
        <w:jc w:val="center"/>
      </w:pPr>
      <w:r>
        <w:rPr>
          <w:rFonts w:ascii="宋体" w:hAnsi="宋体" w:eastAsia="宋体" w:cs="宋体"/>
        </w:rPr>
        <w:t>§9 影响投资者决策的其他重要信息</w:t>
      </w:r>
    </w:p>
    <w:p>
      <w:pPr>
        <w:pStyle w:val="3"/>
        <w:jc w:val="left"/>
      </w:pPr>
      <w:r>
        <w:rPr>
          <w:rFonts w:ascii="宋体" w:hAnsi="宋体" w:eastAsia="宋体" w:cs="宋体"/>
        </w:rPr>
        <w:t>9.1 报告期内单一投资者持有基金份额比例达到或超过20%的情况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2030"/>
        <w:gridCol w:w="1581"/>
        <w:gridCol w:w="919"/>
        <w:gridCol w:w="1476"/>
        <w:gridCol w:w="1581"/>
        <w:gridCol w:w="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Merge w:val="restart"/>
            <w:shd w:val="clear" w:color="auto" w:fill="D9D9D9"/>
            <w:vAlign w:val="center"/>
          </w:tcPr>
          <w:p>
            <w:pPr>
              <w:spacing w:line="240" w:lineRule="auto"/>
              <w:jc w:val="center"/>
            </w:pPr>
            <w:r>
              <w:rPr>
                <w:rFonts w:ascii="宋体" w:hAnsi="宋体" w:eastAsia="宋体" w:cs="宋体"/>
                <w:b w:val="0"/>
              </w:rPr>
              <w:t>投资者类别</w:t>
            </w:r>
          </w:p>
        </w:tc>
        <w:tc>
          <w:tcPr>
            <w:tcW w:w="3192" w:type="pct"/>
            <w:gridSpan w:val="5"/>
            <w:shd w:val="clear" w:color="auto" w:fill="D9D9D9"/>
            <w:vAlign w:val="center"/>
          </w:tcPr>
          <w:p>
            <w:pPr>
              <w:spacing w:line="240" w:lineRule="auto"/>
              <w:jc w:val="center"/>
            </w:pPr>
            <w:r>
              <w:rPr>
                <w:rFonts w:ascii="宋体" w:hAnsi="宋体" w:eastAsia="宋体" w:cs="宋体"/>
                <w:b w:val="0"/>
              </w:rPr>
              <w:t>报告期内持有基金份额变化情况</w:t>
            </w:r>
          </w:p>
        </w:tc>
        <w:tc>
          <w:tcPr>
            <w:tcW w:w="1154" w:type="pct"/>
            <w:gridSpan w:val="2"/>
            <w:shd w:val="clear" w:color="auto" w:fill="D9D9D9"/>
            <w:vAlign w:val="center"/>
          </w:tcPr>
          <w:p>
            <w:pPr>
              <w:spacing w:line="240" w:lineRule="auto"/>
              <w:jc w:val="center"/>
            </w:pPr>
            <w:r>
              <w:rPr>
                <w:rFonts w:ascii="宋体" w:hAnsi="宋体" w:eastAsia="宋体" w:cs="宋体"/>
                <w:b w:val="0"/>
              </w:rPr>
              <w:t>报告期末持有基金情况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269" w:type="pct"/>
            <w:shd w:val="clear" w:color="auto" w:fill="D9D9D9"/>
            <w:vAlign w:val="center"/>
          </w:tcPr>
          <w:p>
            <w:pPr>
              <w:spacing w:line="240" w:lineRule="auto"/>
              <w:jc w:val="center"/>
            </w:pPr>
            <w:r>
              <w:rPr>
                <w:rFonts w:ascii="宋体" w:hAnsi="宋体" w:eastAsia="宋体" w:cs="宋体"/>
                <w:b w:val="0"/>
              </w:rPr>
              <w:t>序号</w:t>
            </w:r>
          </w:p>
        </w:tc>
        <w:tc>
          <w:tcPr>
            <w:tcW w:w="1346" w:type="pct"/>
            <w:shd w:val="clear" w:color="auto" w:fill="D9D9D9"/>
            <w:vAlign w:val="center"/>
          </w:tcPr>
          <w:p>
            <w:pPr>
              <w:spacing w:line="240" w:lineRule="auto"/>
              <w:jc w:val="center"/>
            </w:pPr>
            <w:r>
              <w:rPr>
                <w:rFonts w:ascii="宋体" w:hAnsi="宋体" w:eastAsia="宋体" w:cs="宋体"/>
                <w:b w:val="0"/>
              </w:rPr>
              <w:t>持有基金份额比例达到或者超过20%的时间区间</w:t>
            </w:r>
          </w:p>
        </w:tc>
        <w:tc>
          <w:tcPr>
            <w:tcW w:w="615" w:type="pct"/>
            <w:shd w:val="clear" w:color="auto" w:fill="D9D9D9"/>
            <w:vAlign w:val="center"/>
          </w:tcPr>
          <w:p>
            <w:pPr>
              <w:spacing w:line="240" w:lineRule="auto"/>
              <w:jc w:val="center"/>
            </w:pPr>
            <w:r>
              <w:rPr>
                <w:rFonts w:ascii="宋体" w:hAnsi="宋体" w:eastAsia="宋体" w:cs="宋体"/>
                <w:b w:val="0"/>
              </w:rPr>
              <w:t>期初份额</w:t>
            </w:r>
          </w:p>
        </w:tc>
        <w:tc>
          <w:tcPr>
            <w:tcW w:w="615" w:type="pct"/>
            <w:shd w:val="clear" w:color="auto" w:fill="D9D9D9"/>
            <w:vAlign w:val="center"/>
          </w:tcPr>
          <w:p>
            <w:pPr>
              <w:spacing w:line="240" w:lineRule="auto"/>
              <w:jc w:val="center"/>
            </w:pPr>
            <w:r>
              <w:rPr>
                <w:rFonts w:ascii="宋体" w:hAnsi="宋体" w:eastAsia="宋体" w:cs="宋体"/>
                <w:b w:val="0"/>
              </w:rPr>
              <w:t>申购份额</w:t>
            </w:r>
          </w:p>
        </w:tc>
        <w:tc>
          <w:tcPr>
            <w:tcW w:w="615" w:type="pct"/>
            <w:shd w:val="clear" w:color="auto" w:fill="D9D9D9"/>
            <w:vAlign w:val="center"/>
          </w:tcPr>
          <w:p>
            <w:pPr>
              <w:spacing w:line="240" w:lineRule="auto"/>
              <w:jc w:val="center"/>
            </w:pPr>
            <w:r>
              <w:rPr>
                <w:rFonts w:ascii="宋体" w:hAnsi="宋体" w:eastAsia="宋体" w:cs="宋体"/>
                <w:b w:val="0"/>
              </w:rPr>
              <w:t>赎回份额</w:t>
            </w: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538" w:type="pct"/>
            <w:shd w:val="clear" w:color="auto" w:fill="D9D9D9"/>
            <w:vAlign w:val="center"/>
          </w:tcPr>
          <w:p>
            <w:pPr>
              <w:spacing w:line="240" w:lineRule="auto"/>
              <w:jc w:val="center"/>
            </w:pPr>
            <w:r>
              <w:rPr>
                <w:rFonts w:ascii="宋体" w:hAnsi="宋体" w:eastAsia="宋体" w:cs="宋体"/>
                <w:b w:val="0"/>
              </w:rPr>
              <w:t>份额占比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机构</w:t>
            </w:r>
          </w:p>
        </w:tc>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center"/>
            </w:pPr>
            <w:r>
              <w:rPr>
                <w:rFonts w:ascii="宋体" w:hAnsi="宋体" w:eastAsia="宋体" w:cs="宋体"/>
                <w:b w:val="0"/>
              </w:rPr>
              <w:t>2026年07月01日-2026年07月05日、</w:t>
            </w:r>
            <w:r>
              <w:rPr>
                <w:rFonts w:ascii="宋体" w:hAnsi="宋体" w:eastAsia="宋体" w:cs="宋体"/>
                <w:b w:val="0"/>
              </w:rPr>
              <w:br w:type="textWrapping"/>
            </w:r>
            <w:r>
              <w:rPr>
                <w:rFonts w:ascii="宋体" w:hAnsi="宋体" w:eastAsia="宋体" w:cs="宋体"/>
                <w:b w:val="0"/>
              </w:rPr>
              <w:t>2026年07月09日-2026年09月22日</w:t>
            </w:r>
          </w:p>
        </w:tc>
        <w:tc>
          <w:tcPr>
            <w:tcW w:w="0" w:type="dxa"/>
            <w:vAlign w:val="center"/>
          </w:tcPr>
          <w:p>
            <w:pPr>
              <w:spacing w:line="240" w:lineRule="auto"/>
              <w:jc w:val="right"/>
            </w:pPr>
            <w:r>
              <w:rPr>
                <w:rFonts w:ascii="宋体" w:hAnsi="宋体" w:eastAsia="宋体" w:cs="宋体"/>
                <w:b w:val="0"/>
              </w:rPr>
              <w:t>30,127,103.95</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1,052,531.87</w:t>
            </w:r>
          </w:p>
        </w:tc>
        <w:tc>
          <w:tcPr>
            <w:tcW w:w="0" w:type="dxa"/>
            <w:vAlign w:val="center"/>
          </w:tcPr>
          <w:p>
            <w:pPr>
              <w:spacing w:line="240" w:lineRule="auto"/>
              <w:jc w:val="right"/>
            </w:pPr>
            <w:r>
              <w:rPr>
                <w:rFonts w:ascii="宋体" w:hAnsi="宋体" w:eastAsia="宋体" w:cs="宋体"/>
                <w:b w:val="0"/>
              </w:rPr>
              <w:t>29,074,572.08</w:t>
            </w:r>
          </w:p>
        </w:tc>
        <w:tc>
          <w:tcPr>
            <w:tcW w:w="0" w:type="dxa"/>
            <w:vAlign w:val="center"/>
          </w:tcPr>
          <w:p>
            <w:pPr>
              <w:spacing w:line="240" w:lineRule="auto"/>
              <w:jc w:val="right"/>
            </w:pPr>
            <w:r>
              <w:rPr>
                <w:rFonts w:ascii="宋体" w:hAnsi="宋体" w:eastAsia="宋体" w:cs="宋体"/>
                <w:b w:val="0"/>
              </w:rPr>
              <w:t>17.02%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8"/>
            <w:vAlign w:val="center"/>
          </w:tcPr>
          <w:p>
            <w:pPr>
              <w:spacing w:line="240" w:lineRule="auto"/>
              <w:jc w:val="center"/>
            </w:pPr>
            <w:r>
              <w:rPr>
                <w:rFonts w:ascii="宋体" w:hAnsi="宋体" w:eastAsia="宋体" w:cs="宋体"/>
                <w:b w:val="0"/>
              </w:rPr>
              <w:t>产品特有风险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8"/>
            <w:vAlign w:val="center"/>
          </w:tcPr>
          <w:p>
            <w:pPr>
              <w:spacing w:line="240" w:lineRule="auto"/>
              <w:jc w:val="left"/>
            </w:pPr>
            <w:r>
              <w:rPr>
                <w:rFonts w:ascii="宋体" w:hAnsi="宋体" w:eastAsia="宋体" w:cs="宋体"/>
                <w:b w:val="0"/>
              </w:rPr>
              <w:t xml:space="preserve">    基金管理人秉承谨慎勤勉、独立决策、规范运作、充分披露原则，公平对待投资者，保障投资者合法权益。当单一投资者持有基金份额比例达到或超过20%时，由此可能导致的特有风险主要包括：</w:t>
            </w:r>
            <w:r>
              <w:rPr>
                <w:rFonts w:ascii="宋体" w:hAnsi="宋体" w:eastAsia="宋体" w:cs="宋体"/>
                <w:b w:val="0"/>
              </w:rPr>
              <w:br w:type="textWrapping"/>
            </w:r>
            <w:r>
              <w:rPr>
                <w:rFonts w:ascii="宋体" w:hAnsi="宋体" w:eastAsia="宋体" w:cs="宋体"/>
                <w:b w:val="0"/>
              </w:rPr>
              <w:t xml:space="preserve">    1、本基金单一投资者所持有的基金份额占比较大，单一投资者的巨额赎回，可能导致基金管理人被迫抛售证券以应付基金赎回的现金需要，对本基金的投资运作及净值表现产生较大影响。</w:t>
            </w:r>
            <w:r>
              <w:rPr>
                <w:rFonts w:ascii="宋体" w:hAnsi="宋体" w:eastAsia="宋体" w:cs="宋体"/>
                <w:b w:val="0"/>
              </w:rPr>
              <w:br w:type="textWrapping"/>
            </w:r>
            <w:r>
              <w:rPr>
                <w:rFonts w:ascii="宋体" w:hAnsi="宋体" w:eastAsia="宋体" w:cs="宋体"/>
                <w:b w:val="0"/>
              </w:rPr>
              <w:t xml:space="preserve">    2、持有基金份额占比较高的投资者大额赎回时容易造成本基金发生巨额赎回。在发生巨额赎回情形时，在符合基金合同约定情况下，如基金管理人认为有必要，可延期办理本基金的赎回申请，投资者可能面临赎回申请被延期办理的风险；如果连续2个开放日以上（含）发生巨额赎回，基金管理人可能根据《基金合同》的约定暂停接受基金的赎回申请，对剩余投资者的赎回办理造成影响。</w:t>
            </w:r>
            <w:r>
              <w:rPr>
                <w:rFonts w:ascii="宋体" w:hAnsi="宋体" w:eastAsia="宋体" w:cs="宋体"/>
                <w:b w:val="0"/>
              </w:rPr>
              <w:br w:type="textWrapping"/>
            </w:r>
            <w:r>
              <w:rPr>
                <w:rFonts w:ascii="宋体" w:hAnsi="宋体" w:eastAsia="宋体" w:cs="宋体"/>
                <w:b w:val="0"/>
              </w:rPr>
              <w:t xml:space="preserve">    3、单一投资者巨额赎回可能导致本基金在短时间内无法变现足够的资产予以应对，可能会导致基金仓位调整困难，发生流动性风险。</w:t>
            </w:r>
            <w:r>
              <w:rPr>
                <w:rFonts w:ascii="宋体" w:hAnsi="宋体" w:eastAsia="宋体" w:cs="宋体"/>
                <w:b w:val="0"/>
              </w:rPr>
              <w:br w:type="textWrapping"/>
            </w:r>
            <w:r>
              <w:rPr>
                <w:rFonts w:ascii="宋体" w:hAnsi="宋体" w:eastAsia="宋体" w:cs="宋体"/>
                <w:b w:val="0"/>
              </w:rPr>
              <w:t xml:space="preserve">    4、持有基金份额占比较高的投资者在召开基金份额持有人大会并对重大事项进行投票表决时，可能拥有较大话语权。</w:t>
            </w:r>
            <w:r>
              <w:rPr>
                <w:rFonts w:ascii="宋体" w:hAnsi="宋体" w:eastAsia="宋体" w:cs="宋体"/>
                <w:b w:val="0"/>
              </w:rPr>
              <w:br w:type="textWrapping"/>
            </w:r>
            <w:r>
              <w:rPr>
                <w:rFonts w:ascii="宋体" w:hAnsi="宋体" w:eastAsia="宋体" w:cs="宋体"/>
                <w:b w:val="0"/>
              </w:rPr>
              <w:t xml:space="preserve">    5、超出基金管理人允许的单一投资者持有基金份额比例的申购申请不被确认的风险。</w:t>
            </w:r>
          </w:p>
        </w:tc>
      </w:tr>
    </w:tbl>
    <w:p/>
    <w:p>
      <w:pPr>
        <w:pStyle w:val="3"/>
        <w:jc w:val="left"/>
      </w:pPr>
      <w:r>
        <w:rPr>
          <w:rFonts w:ascii="宋体" w:hAnsi="宋体" w:eastAsia="宋体" w:cs="宋体"/>
        </w:rPr>
        <w:t>9.2 影响投资者决策的其他重要信息</w:t>
      </w:r>
    </w:p>
    <w:p>
      <w:r>
        <w:rPr>
          <w:rFonts w:ascii="宋体" w:hAnsi="宋体" w:eastAsia="宋体" w:cs="宋体"/>
          <w:b w:val="0"/>
        </w:rPr>
        <w:t xml:space="preserve">    无。</w:t>
      </w:r>
    </w:p>
    <w:p>
      <w:pPr>
        <w:pStyle w:val="2"/>
        <w:jc w:val="center"/>
      </w:pPr>
      <w:r>
        <w:rPr>
          <w:rFonts w:ascii="宋体" w:hAnsi="宋体" w:eastAsia="宋体" w:cs="宋体"/>
        </w:rPr>
        <w:t>§10 备查文件目录</w:t>
      </w:r>
    </w:p>
    <w:p>
      <w:pPr>
        <w:pStyle w:val="3"/>
        <w:jc w:val="left"/>
      </w:pPr>
      <w:r>
        <w:rPr>
          <w:rFonts w:ascii="宋体" w:hAnsi="宋体" w:eastAsia="宋体" w:cs="宋体"/>
        </w:rPr>
        <w:t>10.1 备查文件目录</w:t>
      </w:r>
    </w:p>
    <w:p>
      <w:r>
        <w:rPr>
          <w:rFonts w:ascii="宋体" w:hAnsi="宋体" w:eastAsia="宋体" w:cs="宋体"/>
          <w:b w:val="0"/>
        </w:rPr>
        <w:t xml:space="preserve">    1、中国证券监督管理委员会批准的东方阿尔法医疗健康混合型发起式证券投资基金设立的文件；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2、《东方阿尔法医疗健康混合型发起式证券投资基金基金合同》；</w:t>
      </w:r>
      <w:r>
        <w:rPr>
          <w:rFonts w:ascii="宋体" w:hAnsi="宋体" w:eastAsia="宋体" w:cs="宋体"/>
          <w:b w:val="0"/>
        </w:rPr>
        <w:br w:type="textWrapping"/>
      </w:r>
      <w:r>
        <w:rPr>
          <w:rFonts w:ascii="宋体" w:hAnsi="宋体" w:eastAsia="宋体" w:cs="宋体"/>
          <w:b w:val="0"/>
        </w:rPr>
        <w:t xml:space="preserve">    3、《东方阿尔法医疗健康混合型发起式证券投资基金托管协议》；</w:t>
      </w:r>
      <w:r>
        <w:rPr>
          <w:rFonts w:ascii="宋体" w:hAnsi="宋体" w:eastAsia="宋体" w:cs="宋体"/>
          <w:b w:val="0"/>
        </w:rPr>
        <w:br w:type="textWrapping"/>
      </w:r>
      <w:r>
        <w:rPr>
          <w:rFonts w:ascii="宋体" w:hAnsi="宋体" w:eastAsia="宋体" w:cs="宋体"/>
          <w:b w:val="0"/>
        </w:rPr>
        <w:t xml:space="preserve">    4、《东方阿尔法医疗健康混合型发起式证券投资基金招募说明书》（含更新）；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p>
      <w:pPr>
        <w:pStyle w:val="3"/>
        <w:jc w:val="left"/>
      </w:pPr>
      <w:r>
        <w:rPr>
          <w:rFonts w:ascii="宋体" w:hAnsi="宋体" w:eastAsia="宋体" w:cs="宋体"/>
        </w:rPr>
        <w:t>10.2 存放地点</w:t>
      </w:r>
    </w:p>
    <w:p>
      <w:r>
        <w:rPr>
          <w:rFonts w:ascii="宋体" w:hAnsi="宋体" w:eastAsia="宋体" w:cs="宋体"/>
          <w:b w:val="0"/>
        </w:rPr>
        <w:t xml:space="preserve">    广东省深圳市深南大道6008号深圳特区报业大厦23BC。</w:t>
      </w:r>
    </w:p>
    <w:p/>
    <w:p>
      <w:pPr>
        <w:pStyle w:val="3"/>
        <w:jc w:val="left"/>
      </w:pPr>
      <w:r>
        <w:rPr>
          <w:rFonts w:ascii="宋体" w:hAnsi="宋体" w:eastAsia="宋体" w:cs="宋体"/>
        </w:rPr>
        <w:t>10.3 查阅方式</w:t>
      </w:r>
    </w:p>
    <w:p>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bookmarkStart w:id="1" w:name="_GoBack"/>
      <w:bookmarkEnd w:id="1"/>
    </w:p>
    <w:p/>
    <w:p>
      <w:pPr>
        <w:jc w:val="right"/>
      </w:pPr>
      <w:r>
        <w:rPr>
          <w:rFonts w:ascii="宋体" w:hAnsi="宋体" w:eastAsia="宋体" w:cs="宋体"/>
          <w:b/>
        </w:rPr>
        <w:t>东方阿尔法基金管理有限公司</w:t>
      </w:r>
    </w:p>
    <w:p>
      <w:pPr>
        <w:jc w:val="right"/>
      </w:pPr>
      <w:r>
        <w:rPr>
          <w:rFonts w:ascii="宋体" w:hAnsi="宋体" w:eastAsia="宋体" w:cs="宋体"/>
          <w:b/>
        </w:rPr>
        <w:t>二〇二六年十月二十六日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2</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2</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1</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宋体" w:hAnsi="宋体" w:eastAsia="宋体"/>
      </w:rPr>
    </w:pPr>
    <w:r>
      <w:rPr>
        <w:rFonts w:hint="eastAsia" w:ascii="宋体" w:hAnsi="宋体" w:eastAsia="宋体"/>
        <w:sz w:val="18"/>
      </w:rPr>
      <w:t>东方阿尔法医疗健康混合型发起式证券投资基金2026年第3季度报告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23EF1901"/>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qFormat="1"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qFormat/>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qFormat/>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Words>
  <Characters>139</Characters>
  <Lines>1</Lines>
  <Paragraphs>1</Paragraphs>
  <TotalTime>51</TotalTime>
  <ScaleCrop>false</ScaleCrop>
  <LinksUpToDate>false</LinksUpToDate>
  <CharactersWithSpaces>162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2026-10-22T08:59:02Z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