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东方阿尔法兴科一年持有期混合型证券投资基金</w:t>
      </w: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2026年第3季度报告</w:t>
      </w:r>
    </w:p>
    <w:p>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2026年09月30日</w:t>
      </w: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兴业银行股份有限公司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2026年10月26日</w:t>
      </w:r>
    </w:p>
    <w:p>
      <w:pPr>
        <w:jc w:val="center"/>
      </w:pPr>
      <w:r>
        <w:br w:type="page"/>
      </w:r>
    </w:p>
    <w:p>
      <w:pPr>
        <w:pStyle w:val="2"/>
        <w:spacing w:line="576" w:lineRule="auto"/>
        <w:jc w:val="center"/>
        <w:rPr>
          <w:rFonts w:ascii="宋体" w:hAnsi="宋体" w:eastAsia="宋体"/>
          <w:sz w:val="24"/>
          <w:szCs w:val="24"/>
        </w:rPr>
      </w:pPr>
      <w:bookmarkStart w:id="0" w:name="_Toc73379713"/>
      <w:r>
        <w:rPr>
          <w:rFonts w:hint="eastAsia" w:ascii="宋体" w:hAnsi="宋体" w:eastAsia="宋体"/>
          <w:bCs w:val="0"/>
          <w:sz w:val="24"/>
          <w:szCs w:val="24"/>
        </w:rPr>
        <w:t>§1 重要提示</w:t>
      </w:r>
      <w:bookmarkEnd w:id="0"/>
    </w:p>
    <w:p>
      <w:pPr>
        <w:widowControl/>
        <w:rPr>
          <w:rFonts w:ascii="宋体" w:hAnsi="宋体" w:eastAsia="宋体"/>
        </w:rPr>
      </w:pPr>
      <w:r>
        <w:t xml:space="preserve">    基金管理人的董事会及董事保证本报告所载资料不存在虚假记载、误导性陈述或重大遗漏，并对其内容的真实性、准确性和完整性承担个别及连带责任。</w:t>
      </w:r>
      <w:r>
        <w:cr/>
      </w:r>
      <w:r>
        <w:t xml:space="preserve">    基金托管人兴业银行股份有限公司根据本基金合同规定，于2026年10月23日复核了本报告中的财务指标、净值表现和投资组合报告等内容，保证复核内容不存在虚假记载、误导性陈述或者重大遗漏。</w:t>
      </w:r>
      <w:r>
        <w:cr/>
      </w:r>
      <w:r>
        <w:t xml:space="preserve">    基金管理人承诺以诚实信用、勤勉尽责的原则管理和运用基金资产，但不保证基金一定盈利。</w:t>
      </w:r>
      <w:r>
        <w:cr/>
      </w:r>
      <w:r>
        <w:t xml:space="preserve">    基金的过往业绩并不代表其未来表现。投资有风险，投资者在做出投资决策前应仔细阅读本基金的招募说明书。</w:t>
      </w:r>
      <w:r>
        <w:cr/>
      </w:r>
      <w:r>
        <w:t xml:space="preserve">    本报告中财务资料未经审计。</w:t>
      </w:r>
      <w:r>
        <w:cr/>
      </w:r>
      <w:r>
        <w:t xml:space="preserve">    本报告期自2026年07月01日起至2026年09月30日止。</w:t>
      </w:r>
    </w:p>
    <w:p/>
    <w:p>
      <w:pPr>
        <w:pStyle w:val="2"/>
        <w:jc w:val="center"/>
      </w:pPr>
      <w:r>
        <w:rPr>
          <w:rFonts w:ascii="宋体" w:hAnsi="宋体" w:eastAsia="宋体" w:cs="宋体"/>
        </w:rPr>
        <w:t>§2 基金产品概况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基金简称</w:t>
            </w:r>
          </w:p>
        </w:tc>
        <w:tc>
          <w:tcPr>
            <w:tcW w:w="3077" w:type="pct"/>
            <w:gridSpan w:val="2"/>
            <w:vAlign w:val="center"/>
          </w:tcPr>
          <w:p>
            <w:pPr>
              <w:spacing w:line="240" w:lineRule="auto"/>
              <w:jc w:val="left"/>
            </w:pPr>
            <w:r>
              <w:rPr>
                <w:rFonts w:ascii="宋体" w:hAnsi="宋体" w:eastAsia="宋体" w:cs="宋体"/>
                <w:b w:val="0"/>
              </w:rPr>
              <w:t>东方阿尔法兴科一年持有混合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基金主代码</w:t>
            </w:r>
          </w:p>
        </w:tc>
        <w:tc>
          <w:tcPr>
            <w:tcW w:w="0" w:type="dxa"/>
            <w:gridSpan w:val="2"/>
            <w:vAlign w:val="center"/>
          </w:tcPr>
          <w:p>
            <w:pPr>
              <w:spacing w:line="240" w:lineRule="auto"/>
              <w:jc w:val="left"/>
            </w:pPr>
            <w:r>
              <w:rPr>
                <w:rFonts w:ascii="宋体" w:hAnsi="宋体" w:eastAsia="宋体" w:cs="宋体"/>
                <w:b w:val="0"/>
              </w:rPr>
              <w:t>015900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基金运作方式</w:t>
            </w:r>
          </w:p>
        </w:tc>
        <w:tc>
          <w:tcPr>
            <w:tcW w:w="0" w:type="dxa"/>
            <w:gridSpan w:val="2"/>
            <w:vAlign w:val="center"/>
          </w:tcPr>
          <w:p>
            <w:pPr>
              <w:spacing w:line="240" w:lineRule="auto"/>
              <w:jc w:val="left"/>
            </w:pPr>
            <w:r>
              <w:rPr>
                <w:rFonts w:ascii="宋体" w:hAnsi="宋体" w:eastAsia="宋体" w:cs="宋体"/>
                <w:b w:val="0"/>
              </w:rPr>
              <w:t>契约型开放式。每个开放日开放申购，每笔申购/转换转入申请所得基金份额持有满一年后每个开放日开放赎回/转换转出。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基金合同生效日</w:t>
            </w:r>
          </w:p>
        </w:tc>
        <w:tc>
          <w:tcPr>
            <w:tcW w:w="0" w:type="dxa"/>
            <w:gridSpan w:val="2"/>
            <w:vAlign w:val="center"/>
          </w:tcPr>
          <w:p>
            <w:pPr>
              <w:spacing w:line="240" w:lineRule="auto"/>
              <w:jc w:val="left"/>
            </w:pPr>
            <w:r>
              <w:rPr>
                <w:rFonts w:ascii="宋体" w:hAnsi="宋体" w:eastAsia="宋体" w:cs="宋体"/>
                <w:b w:val="0"/>
              </w:rPr>
              <w:t>2022年09月28日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报告期末基金份额总额</w:t>
            </w:r>
          </w:p>
        </w:tc>
        <w:tc>
          <w:tcPr>
            <w:tcW w:w="0" w:type="dxa"/>
            <w:gridSpan w:val="2"/>
            <w:vAlign w:val="center"/>
          </w:tcPr>
          <w:p>
            <w:pPr>
              <w:spacing w:line="240" w:lineRule="auto"/>
              <w:jc w:val="left"/>
            </w:pPr>
            <w:r>
              <w:rPr>
                <w:rFonts w:ascii="宋体" w:hAnsi="宋体" w:eastAsia="宋体" w:cs="宋体"/>
                <w:b w:val="0"/>
              </w:rPr>
              <w:t>49,738,053.00份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投资目标</w:t>
            </w:r>
          </w:p>
        </w:tc>
        <w:tc>
          <w:tcPr>
            <w:tcW w:w="2592" w:type="pct"/>
            <w:gridSpan w:val="2"/>
            <w:vAlign w:val="center"/>
          </w:tcPr>
          <w:p>
            <w:pPr>
              <w:spacing w:line="240" w:lineRule="auto"/>
              <w:jc w:val="left"/>
            </w:pPr>
            <w:r>
              <w:rPr>
                <w:rFonts w:ascii="宋体" w:hAnsi="宋体" w:eastAsia="宋体" w:cs="宋体"/>
                <w:b w:val="0"/>
              </w:rPr>
              <w:t>本基金在有效控制组合风险并保持良好流动性的前提下，通过深入研究、优选个股、主动的投资管理方式力求实现组合资产的稳健增值。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投资策略</w:t>
            </w:r>
          </w:p>
        </w:tc>
        <w:tc>
          <w:tcPr>
            <w:tcW w:w="0" w:type="dxa"/>
            <w:gridSpan w:val="2"/>
            <w:vAlign w:val="center"/>
          </w:tcPr>
          <w:p>
            <w:pPr>
              <w:spacing w:line="240" w:lineRule="auto"/>
              <w:jc w:val="left"/>
            </w:pPr>
            <w:r>
              <w:rPr>
                <w:rFonts w:ascii="宋体" w:hAnsi="宋体" w:eastAsia="宋体" w:cs="宋体"/>
                <w:b w:val="0"/>
              </w:rPr>
              <w:t>本基金的投资策略主要有以下11个方面内容：</w:t>
            </w:r>
            <w:r>
              <w:rPr>
                <w:rFonts w:ascii="宋体" w:hAnsi="宋体" w:eastAsia="宋体" w:cs="宋体"/>
                <w:b w:val="0"/>
              </w:rPr>
              <w:br w:type="textWrapping"/>
            </w:r>
            <w:r>
              <w:rPr>
                <w:rFonts w:ascii="宋体" w:hAnsi="宋体" w:eastAsia="宋体" w:cs="宋体"/>
                <w:b w:val="0"/>
              </w:rPr>
              <w:t>1、大类资产配置策略</w:t>
            </w:r>
            <w:r>
              <w:rPr>
                <w:rFonts w:ascii="宋体" w:hAnsi="宋体" w:eastAsia="宋体" w:cs="宋体"/>
                <w:b w:val="0"/>
              </w:rPr>
              <w:br w:type="textWrapping"/>
            </w:r>
            <w:r>
              <w:rPr>
                <w:rFonts w:ascii="宋体" w:hAnsi="宋体" w:eastAsia="宋体" w:cs="宋体"/>
                <w:b w:val="0"/>
              </w:rPr>
              <w:t>本基金根据对宏观经济周期的分析研究，结合基本面、市场面、政策面等多种因素的综合考量，研判所处经济周期的位置及未来发展方向，以确定组合中股票、债券、货币市场工具及其他金融工具的比例。</w:t>
            </w:r>
            <w:r>
              <w:rPr>
                <w:rFonts w:ascii="宋体" w:hAnsi="宋体" w:eastAsia="宋体" w:cs="宋体"/>
                <w:b w:val="0"/>
              </w:rPr>
              <w:br w:type="textWrapping"/>
            </w:r>
            <w:r>
              <w:rPr>
                <w:rFonts w:ascii="宋体" w:hAnsi="宋体" w:eastAsia="宋体" w:cs="宋体"/>
                <w:b w:val="0"/>
              </w:rPr>
              <w:t>2、股票投资策略</w:t>
            </w:r>
            <w:r>
              <w:rPr>
                <w:rFonts w:ascii="宋体" w:hAnsi="宋体" w:eastAsia="宋体" w:cs="宋体"/>
                <w:b w:val="0"/>
              </w:rPr>
              <w:br w:type="textWrapping"/>
            </w:r>
            <w:r>
              <w:rPr>
                <w:rFonts w:ascii="宋体" w:hAnsi="宋体" w:eastAsia="宋体" w:cs="宋体"/>
                <w:b w:val="0"/>
              </w:rPr>
              <w:t>本基金股票投资策略为通过自上而下的选股模式，通过产业精选和个股研究相结合，优选成长期产业，把握景气周期上行阶段的投资机会，选择产业内在经营模式、市场格局、竞争壁垒、产能投放、研发投入、新业务拓展和公司治理等方面具有领先优势的优质上市公司。</w:t>
            </w:r>
            <w:r>
              <w:rPr>
                <w:rFonts w:ascii="宋体" w:hAnsi="宋体" w:eastAsia="宋体" w:cs="宋体"/>
                <w:b w:val="0"/>
              </w:rPr>
              <w:br w:type="textWrapping"/>
            </w:r>
            <w:r>
              <w:rPr>
                <w:rFonts w:ascii="宋体" w:hAnsi="宋体" w:eastAsia="宋体" w:cs="宋体"/>
                <w:b w:val="0"/>
              </w:rPr>
              <w:t>3、港股投资策略</w:t>
            </w:r>
            <w:r>
              <w:rPr>
                <w:rFonts w:ascii="宋体" w:hAnsi="宋体" w:eastAsia="宋体" w:cs="宋体"/>
                <w:b w:val="0"/>
              </w:rPr>
              <w:br w:type="textWrapping"/>
            </w:r>
            <w:r>
              <w:rPr>
                <w:rFonts w:ascii="宋体" w:hAnsi="宋体" w:eastAsia="宋体" w:cs="宋体"/>
                <w:b w:val="0"/>
              </w:rPr>
              <w:t>本基金可通过内地与香港股票市场交易互联互通机制投资于香港股票市场，不使用合格境内机构投资者(QDII)境外投资额度进行境外投资。</w:t>
            </w:r>
            <w:r>
              <w:rPr>
                <w:rFonts w:ascii="宋体" w:hAnsi="宋体" w:eastAsia="宋体" w:cs="宋体"/>
                <w:b w:val="0"/>
              </w:rPr>
              <w:br w:type="textWrapping"/>
            </w:r>
            <w:r>
              <w:rPr>
                <w:rFonts w:ascii="宋体" w:hAnsi="宋体" w:eastAsia="宋体" w:cs="宋体"/>
                <w:b w:val="0"/>
              </w:rPr>
              <w:t>4、存托凭证投资策略</w:t>
            </w:r>
            <w:r>
              <w:rPr>
                <w:rFonts w:ascii="宋体" w:hAnsi="宋体" w:eastAsia="宋体" w:cs="宋体"/>
                <w:b w:val="0"/>
              </w:rPr>
              <w:br w:type="textWrapping"/>
            </w:r>
            <w:r>
              <w:rPr>
                <w:rFonts w:ascii="宋体" w:hAnsi="宋体" w:eastAsia="宋体" w:cs="宋体"/>
                <w:b w:val="0"/>
              </w:rPr>
              <w:t>本基金在深入研究的基础上，通过定性分析和定量分析相结合的方式，可选择投资价值高的存托凭证进行投资。</w:t>
            </w:r>
            <w:r>
              <w:rPr>
                <w:rFonts w:ascii="宋体" w:hAnsi="宋体" w:eastAsia="宋体" w:cs="宋体"/>
                <w:b w:val="0"/>
              </w:rPr>
              <w:br w:type="textWrapping"/>
            </w:r>
            <w:r>
              <w:rPr>
                <w:rFonts w:ascii="宋体" w:hAnsi="宋体" w:eastAsia="宋体" w:cs="宋体"/>
                <w:b w:val="0"/>
              </w:rPr>
              <w:t>5、债券类资产投资策略</w:t>
            </w:r>
            <w:r>
              <w:rPr>
                <w:rFonts w:ascii="宋体" w:hAnsi="宋体" w:eastAsia="宋体" w:cs="宋体"/>
                <w:b w:val="0"/>
              </w:rPr>
              <w:br w:type="textWrapping"/>
            </w:r>
            <w:r>
              <w:rPr>
                <w:rFonts w:ascii="宋体" w:hAnsi="宋体" w:eastAsia="宋体" w:cs="宋体"/>
                <w:b w:val="0"/>
              </w:rPr>
              <w:t>本基金的债券投资将采取较为积极的策略，通过利率预测分析、收益率曲线变动分析、债券信用分析、收益率利差分析等，研判各类属固定收益类资产的风险趋势与收益预期，精选个券进行投资。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6、可转债（含分离交易可转债）及可交换债券投资策略</w:t>
            </w:r>
            <w:r>
              <w:rPr>
                <w:rFonts w:ascii="宋体" w:hAnsi="宋体" w:eastAsia="宋体" w:cs="宋体"/>
                <w:b w:val="0"/>
              </w:rPr>
              <w:br w:type="textWrapping"/>
            </w:r>
            <w:r>
              <w:rPr>
                <w:rFonts w:ascii="宋体" w:hAnsi="宋体" w:eastAsia="宋体" w:cs="宋体"/>
                <w:b w:val="0"/>
              </w:rPr>
              <w:t>对于可转换债券的投资，本基金在评估其偿债能力的同时兼顾公司的成长性，以期通过转换条款分享因股价上升带来的高收益。</w:t>
            </w:r>
            <w:r>
              <w:rPr>
                <w:rFonts w:ascii="宋体" w:hAnsi="宋体" w:eastAsia="宋体" w:cs="宋体"/>
                <w:b w:val="0"/>
              </w:rPr>
              <w:br w:type="textWrapping"/>
            </w:r>
            <w:r>
              <w:rPr>
                <w:rFonts w:ascii="宋体" w:hAnsi="宋体" w:eastAsia="宋体" w:cs="宋体"/>
                <w:b w:val="0"/>
              </w:rPr>
              <w:t>7、股指期货投资策略</w:t>
            </w:r>
            <w:r>
              <w:rPr>
                <w:rFonts w:ascii="宋体" w:hAnsi="宋体" w:eastAsia="宋体" w:cs="宋体"/>
                <w:b w:val="0"/>
              </w:rPr>
              <w:br w:type="textWrapping"/>
            </w:r>
            <w:r>
              <w:rPr>
                <w:rFonts w:ascii="宋体" w:hAnsi="宋体" w:eastAsia="宋体" w:cs="宋体"/>
                <w:b w:val="0"/>
              </w:rPr>
              <w:t>本基金以套期保值为目的，在风险可控的前提下，参与股指期货的投资。本基金还将运用股指期货来管理特殊情况下的流动性风险，如预期大额申购赎回、大量分红等。</w:t>
            </w:r>
            <w:r>
              <w:rPr>
                <w:rFonts w:ascii="宋体" w:hAnsi="宋体" w:eastAsia="宋体" w:cs="宋体"/>
                <w:b w:val="0"/>
              </w:rPr>
              <w:br w:type="textWrapping"/>
            </w:r>
            <w:r>
              <w:rPr>
                <w:rFonts w:ascii="宋体" w:hAnsi="宋体" w:eastAsia="宋体" w:cs="宋体"/>
                <w:b w:val="0"/>
              </w:rPr>
              <w:t>8、融资业务的投资策略</w:t>
            </w:r>
            <w:r>
              <w:rPr>
                <w:rFonts w:ascii="宋体" w:hAnsi="宋体" w:eastAsia="宋体" w:cs="宋体"/>
                <w:b w:val="0"/>
              </w:rPr>
              <w:br w:type="textWrapping"/>
            </w:r>
            <w:r>
              <w:rPr>
                <w:rFonts w:ascii="宋体" w:hAnsi="宋体" w:eastAsia="宋体" w:cs="宋体"/>
                <w:b w:val="0"/>
              </w:rPr>
              <w:t>本基金参与融资业务，将综合考虑融资成本、保证金比例、冲抵保证金证券折算率、信用资质等条件选择合适的交易对手方。在保障基金投资组合充足流动性以及有效控制融资杠杆风险的前提下，确定融资比例。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9、国债期货的投资策略</w:t>
            </w:r>
            <w:r>
              <w:rPr>
                <w:rFonts w:ascii="宋体" w:hAnsi="宋体" w:eastAsia="宋体" w:cs="宋体"/>
                <w:b w:val="0"/>
              </w:rPr>
              <w:br w:type="textWrapping"/>
            </w:r>
            <w:r>
              <w:rPr>
                <w:rFonts w:ascii="宋体" w:hAnsi="宋体" w:eastAsia="宋体" w:cs="宋体"/>
                <w:b w:val="0"/>
              </w:rPr>
              <w:t>本基金以套期保值为目的，以回避市场风险，通过动态管理国债期货合约数量，以萃取相应债券组合的超额收益。</w:t>
            </w:r>
            <w:r>
              <w:rPr>
                <w:rFonts w:ascii="宋体" w:hAnsi="宋体" w:eastAsia="宋体" w:cs="宋体"/>
                <w:b w:val="0"/>
              </w:rPr>
              <w:br w:type="textWrapping"/>
            </w:r>
            <w:r>
              <w:rPr>
                <w:rFonts w:ascii="宋体" w:hAnsi="宋体" w:eastAsia="宋体" w:cs="宋体"/>
                <w:b w:val="0"/>
              </w:rPr>
              <w:t xml:space="preserve">10、股票期权投资策略 </w:t>
            </w:r>
            <w:r>
              <w:rPr>
                <w:rFonts w:ascii="宋体" w:hAnsi="宋体" w:eastAsia="宋体" w:cs="宋体"/>
                <w:b w:val="0"/>
              </w:rPr>
              <w:br w:type="textWrapping"/>
            </w:r>
            <w:r>
              <w:rPr>
                <w:rFonts w:ascii="宋体" w:hAnsi="宋体" w:eastAsia="宋体" w:cs="宋体"/>
                <w:b w:val="0"/>
              </w:rPr>
              <w:t>本基金以套期保值为主要目的参与股票期权交易，结合投资目标、比例限制、风险收益特征以及法律法规的相关限定和要求，确定参与股票期权交易的投资时机和投资比例。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11、资产支持证券投资策略</w:t>
            </w:r>
            <w:r>
              <w:rPr>
                <w:rFonts w:ascii="宋体" w:hAnsi="宋体" w:eastAsia="宋体" w:cs="宋体"/>
                <w:b w:val="0"/>
              </w:rPr>
              <w:br w:type="textWrapping"/>
            </w:r>
            <w:r>
              <w:rPr>
                <w:rFonts w:ascii="宋体" w:hAnsi="宋体" w:eastAsia="宋体" w:cs="宋体"/>
                <w:b w:val="0"/>
              </w:rPr>
              <w:t>本基金将投资包括资产抵押贷款支持证券(ABS)、住房抵押贷款支持证券(MBS)等在内的资产支持证券。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业绩比较基准</w:t>
            </w:r>
          </w:p>
        </w:tc>
        <w:tc>
          <w:tcPr>
            <w:tcW w:w="0" w:type="dxa"/>
            <w:gridSpan w:val="2"/>
            <w:vAlign w:val="center"/>
          </w:tcPr>
          <w:p>
            <w:pPr>
              <w:spacing w:line="240" w:lineRule="auto"/>
              <w:jc w:val="left"/>
            </w:pPr>
            <w:r>
              <w:rPr>
                <w:rFonts w:ascii="宋体" w:hAnsi="宋体" w:eastAsia="宋体" w:cs="宋体"/>
                <w:b w:val="0"/>
              </w:rPr>
              <w:t>中证800指数收益率×60%+中证综合债券指数收益率×20%+恒生指数收益率×20%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风险收益特征</w:t>
            </w:r>
          </w:p>
        </w:tc>
        <w:tc>
          <w:tcPr>
            <w:tcW w:w="2592" w:type="pct"/>
            <w:gridSpan w:val="2"/>
            <w:vAlign w:val="center"/>
          </w:tcPr>
          <w:p>
            <w:pPr>
              <w:spacing w:line="240" w:lineRule="auto"/>
              <w:jc w:val="left"/>
            </w:pPr>
            <w:r>
              <w:rPr>
                <w:rFonts w:ascii="宋体" w:hAnsi="宋体" w:eastAsia="宋体" w:cs="宋体"/>
                <w:b w:val="0"/>
              </w:rPr>
              <w:t>本基金为混合型基金，其预期收益和风险高于货币型基金、债券型基金。本基金如果投资港股通标的股票，需承担汇率风险以及境外市场的风险。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基金管理人</w:t>
            </w:r>
          </w:p>
        </w:tc>
        <w:tc>
          <w:tcPr>
            <w:tcW w:w="0" w:type="dxa"/>
            <w:gridSpan w:val="2"/>
            <w:vAlign w:val="center"/>
          </w:tcPr>
          <w:p>
            <w:pPr>
              <w:spacing w:line="240" w:lineRule="auto"/>
              <w:jc w:val="left"/>
            </w:pPr>
            <w:r>
              <w:rPr>
                <w:rFonts w:ascii="宋体" w:hAnsi="宋体" w:eastAsia="宋体" w:cs="宋体"/>
                <w:b w:val="0"/>
              </w:rPr>
              <w:t>东方阿尔法基金管理有限公司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基金托管人</w:t>
            </w:r>
          </w:p>
        </w:tc>
        <w:tc>
          <w:tcPr>
            <w:tcW w:w="0" w:type="dxa"/>
            <w:gridSpan w:val="2"/>
            <w:vAlign w:val="center"/>
          </w:tcPr>
          <w:p>
            <w:pPr>
              <w:spacing w:line="240" w:lineRule="auto"/>
              <w:jc w:val="left"/>
            </w:pPr>
            <w:r>
              <w:rPr>
                <w:rFonts w:ascii="宋体" w:hAnsi="宋体" w:eastAsia="宋体" w:cs="宋体"/>
                <w:b w:val="0"/>
              </w:rPr>
              <w:t>兴业银行股份有限公司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下属分级基金的基金简称</w:t>
            </w:r>
          </w:p>
        </w:tc>
        <w:tc>
          <w:tcPr>
            <w:tcW w:w="1500" w:type="pct"/>
            <w:vAlign w:val="center"/>
          </w:tcPr>
          <w:p>
            <w:pPr>
              <w:spacing w:line="240" w:lineRule="auto"/>
              <w:jc w:val="left"/>
            </w:pPr>
            <w:r>
              <w:rPr>
                <w:rFonts w:ascii="宋体" w:hAnsi="宋体" w:eastAsia="宋体" w:cs="宋体"/>
                <w:b w:val="0"/>
              </w:rPr>
              <w:t>东方阿尔法兴科一年持有混合A</w:t>
            </w:r>
          </w:p>
        </w:tc>
        <w:tc>
          <w:tcPr>
            <w:tcW w:w="1500" w:type="pct"/>
            <w:vAlign w:val="center"/>
          </w:tcPr>
          <w:p>
            <w:pPr>
              <w:spacing w:line="240" w:lineRule="auto"/>
              <w:jc w:val="left"/>
            </w:pPr>
            <w:r>
              <w:rPr>
                <w:rFonts w:ascii="宋体" w:hAnsi="宋体" w:eastAsia="宋体" w:cs="宋体"/>
                <w:b w:val="0"/>
              </w:rPr>
              <w:t>东方阿尔法兴科一年持有混合C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下属分级基金的交易代码</w:t>
            </w:r>
          </w:p>
        </w:tc>
        <w:tc>
          <w:tcPr>
            <w:tcW w:w="1500" w:type="pct"/>
            <w:vAlign w:val="center"/>
          </w:tcPr>
          <w:p>
            <w:pPr>
              <w:spacing w:line="240" w:lineRule="auto"/>
              <w:jc w:val="left"/>
            </w:pPr>
            <w:r>
              <w:rPr>
                <w:rFonts w:ascii="宋体" w:hAnsi="宋体" w:eastAsia="宋体" w:cs="宋体"/>
                <w:b w:val="0"/>
              </w:rPr>
              <w:t>015900</w:t>
            </w:r>
          </w:p>
        </w:tc>
        <w:tc>
          <w:tcPr>
            <w:tcW w:w="1500" w:type="pct"/>
            <w:vAlign w:val="center"/>
          </w:tcPr>
          <w:p>
            <w:pPr>
              <w:spacing w:line="240" w:lineRule="auto"/>
              <w:jc w:val="left"/>
            </w:pPr>
            <w:r>
              <w:rPr>
                <w:rFonts w:ascii="宋体" w:hAnsi="宋体" w:eastAsia="宋体" w:cs="宋体"/>
                <w:b w:val="0"/>
              </w:rPr>
              <w:t>015901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报告期末下属分级基金的份额总额</w:t>
            </w:r>
          </w:p>
        </w:tc>
        <w:tc>
          <w:tcPr>
            <w:tcW w:w="1500" w:type="pct"/>
            <w:vAlign w:val="center"/>
          </w:tcPr>
          <w:p>
            <w:pPr>
              <w:spacing w:line="240" w:lineRule="auto"/>
              <w:jc w:val="left"/>
            </w:pPr>
            <w:r>
              <w:rPr>
                <w:rFonts w:ascii="宋体" w:hAnsi="宋体" w:eastAsia="宋体" w:cs="宋体"/>
                <w:b w:val="0"/>
              </w:rPr>
              <w:t>42,097,379.43份</w:t>
            </w:r>
          </w:p>
        </w:tc>
        <w:tc>
          <w:tcPr>
            <w:tcW w:w="1500" w:type="pct"/>
            <w:vAlign w:val="center"/>
          </w:tcPr>
          <w:p>
            <w:pPr>
              <w:spacing w:line="240" w:lineRule="auto"/>
              <w:jc w:val="left"/>
            </w:pPr>
            <w:r>
              <w:rPr>
                <w:rFonts w:ascii="宋体" w:hAnsi="宋体" w:eastAsia="宋体" w:cs="宋体"/>
                <w:b w:val="0"/>
              </w:rPr>
              <w:t>7,640,673.57份</w:t>
            </w:r>
          </w:p>
        </w:tc>
      </w:tr>
    </w:tbl>
    <w:p>
      <w:r>
        <w:rPr>
          <w:rFonts w:ascii="宋体" w:hAnsi="宋体" w:eastAsia="宋体" w:cs="宋体"/>
          <w:b w:val="0"/>
        </w:rPr>
        <w:t>注：本基金对每份基金份额设置一年的最短持有期限。</w:t>
      </w:r>
      <w:r>
        <w:rPr>
          <w:rFonts w:ascii="宋体" w:hAnsi="宋体" w:eastAsia="宋体" w:cs="宋体"/>
          <w:b w:val="0"/>
        </w:rPr>
        <w:br w:type="textWrapping"/>
      </w:r>
      <w:r>
        <w:rPr>
          <w:rFonts w:ascii="宋体" w:hAnsi="宋体" w:eastAsia="宋体" w:cs="宋体"/>
          <w:b w:val="0"/>
        </w:rPr>
        <w:t>最短持有期限指从基金合同生效日（对认购份额而言，下同）、基金份额申购确认日（对申购份额而言，下同）或基金份额转换转入确认日（对转换转入份额而言，下同）起，至基金合同生效日、基金份额申购确认日或基金份额转换转入确认日次年的年度对应日的前一日。相应基金份额在最短持有期限内不可办理赎回及转换转出业务，最短持有期限届满后的下一个工作日起可以办理赎回及转换转出业务。</w:t>
      </w:r>
      <w:r>
        <w:rPr>
          <w:rFonts w:ascii="宋体" w:hAnsi="宋体" w:eastAsia="宋体" w:cs="宋体"/>
          <w:b w:val="0"/>
        </w:rPr>
        <w:br w:type="textWrapping"/>
      </w:r>
      <w:r>
        <w:rPr>
          <w:rFonts w:ascii="宋体" w:hAnsi="宋体" w:eastAsia="宋体" w:cs="宋体"/>
          <w:b w:val="0"/>
        </w:rPr>
        <w:t>因不可抗力或基金合同约定的其他情形致使基金管理人无法在基金份额的最短持有期限届满后按时开放办理该基金份额的赎回和转换转出业务的，则顺延至不可抗力或基金合同约定的其他情形的影响因素消除之日起的下一个工作日。</w:t>
      </w:r>
    </w:p>
    <w:p>
      <w:pPr>
        <w:pStyle w:val="2"/>
        <w:jc w:val="center"/>
      </w:pPr>
      <w:r>
        <w:rPr>
          <w:rFonts w:ascii="宋体" w:hAnsi="宋体" w:eastAsia="宋体" w:cs="宋体"/>
        </w:rPr>
        <w:t>§3 主要财务指标和基金净值表现</w:t>
      </w:r>
    </w:p>
    <w:p>
      <w:pPr>
        <w:pStyle w:val="3"/>
        <w:jc w:val="left"/>
      </w:pPr>
      <w:r>
        <w:rPr>
          <w:rFonts w:ascii="宋体" w:hAnsi="宋体" w:eastAsia="宋体" w:cs="宋体"/>
        </w:rPr>
        <w:t>3.1 主要财务指标</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pPr>
              <w:spacing w:line="240" w:lineRule="auto"/>
              <w:jc w:val="center"/>
            </w:pPr>
            <w:r>
              <w:rPr>
                <w:rFonts w:ascii="宋体" w:hAnsi="宋体" w:eastAsia="宋体" w:cs="宋体"/>
                <w:b/>
              </w:rPr>
              <w:t>主要财务指标</w:t>
            </w:r>
          </w:p>
        </w:tc>
        <w:tc>
          <w:tcPr>
            <w:tcW w:w="3077" w:type="pct"/>
            <w:gridSpan w:val="2"/>
            <w:shd w:val="clear" w:color="auto" w:fill="D9D9D9"/>
            <w:vAlign w:val="center"/>
          </w:tcPr>
          <w:p>
            <w:pPr>
              <w:spacing w:line="240" w:lineRule="auto"/>
              <w:jc w:val="center"/>
            </w:pPr>
            <w:r>
              <w:rPr>
                <w:rFonts w:ascii="宋体" w:hAnsi="宋体" w:eastAsia="宋体" w:cs="宋体"/>
                <w:b w:val="0"/>
              </w:rPr>
              <w:t>报告期（2026年07月01日-2026年09月30日）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00" w:type="pct"/>
            <w:shd w:val="clear" w:color="auto" w:fill="D9D9D9"/>
            <w:vAlign w:val="center"/>
          </w:tcPr>
          <w:p>
            <w:pPr>
              <w:spacing w:line="240" w:lineRule="auto"/>
              <w:jc w:val="center"/>
            </w:pPr>
            <w:r>
              <w:rPr>
                <w:rFonts w:ascii="宋体" w:hAnsi="宋体" w:eastAsia="宋体" w:cs="宋体"/>
                <w:b w:val="0"/>
              </w:rPr>
              <w:t>东方阿尔法兴科一年持有混合A</w:t>
            </w:r>
          </w:p>
        </w:tc>
        <w:tc>
          <w:tcPr>
            <w:tcW w:w="1500" w:type="pct"/>
            <w:shd w:val="clear" w:color="auto" w:fill="D9D9D9"/>
            <w:vAlign w:val="center"/>
          </w:tcPr>
          <w:p>
            <w:pPr>
              <w:spacing w:line="240" w:lineRule="auto"/>
              <w:jc w:val="center"/>
            </w:pPr>
            <w:r>
              <w:rPr>
                <w:rFonts w:ascii="宋体" w:hAnsi="宋体" w:eastAsia="宋体" w:cs="宋体"/>
                <w:b w:val="0"/>
              </w:rPr>
              <w:t>东方阿尔法兴科一年持有混合C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1.本期已实现收益</w:t>
            </w:r>
          </w:p>
        </w:tc>
        <w:tc>
          <w:tcPr>
            <w:tcW w:w="1500" w:type="pct"/>
            <w:vAlign w:val="center"/>
          </w:tcPr>
          <w:p>
            <w:pPr>
              <w:spacing w:line="240" w:lineRule="auto"/>
              <w:jc w:val="right"/>
            </w:pPr>
            <w:r>
              <w:rPr>
                <w:rFonts w:ascii="宋体" w:hAnsi="宋体" w:eastAsia="宋体" w:cs="宋体"/>
                <w:b w:val="0"/>
              </w:rPr>
              <w:t>-926,952.77</w:t>
            </w:r>
          </w:p>
        </w:tc>
        <w:tc>
          <w:tcPr>
            <w:tcW w:w="1500" w:type="pct"/>
            <w:vAlign w:val="center"/>
          </w:tcPr>
          <w:p>
            <w:pPr>
              <w:spacing w:line="240" w:lineRule="auto"/>
              <w:jc w:val="right"/>
            </w:pPr>
            <w:r>
              <w:rPr>
                <w:rFonts w:ascii="宋体" w:hAnsi="宋体" w:eastAsia="宋体" w:cs="宋体"/>
                <w:b w:val="0"/>
              </w:rPr>
              <w:t>-184,602.78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2.本期利润</w:t>
            </w:r>
          </w:p>
        </w:tc>
        <w:tc>
          <w:tcPr>
            <w:tcW w:w="1500" w:type="pct"/>
            <w:vAlign w:val="center"/>
          </w:tcPr>
          <w:p>
            <w:pPr>
              <w:spacing w:line="240" w:lineRule="auto"/>
              <w:jc w:val="right"/>
            </w:pPr>
            <w:r>
              <w:rPr>
                <w:rFonts w:ascii="宋体" w:hAnsi="宋体" w:eastAsia="宋体" w:cs="宋体"/>
                <w:b w:val="0"/>
              </w:rPr>
              <w:t>4,565,926.55</w:t>
            </w:r>
          </w:p>
        </w:tc>
        <w:tc>
          <w:tcPr>
            <w:tcW w:w="1500" w:type="pct"/>
            <w:vAlign w:val="center"/>
          </w:tcPr>
          <w:p>
            <w:pPr>
              <w:spacing w:line="240" w:lineRule="auto"/>
              <w:jc w:val="right"/>
            </w:pPr>
            <w:r>
              <w:rPr>
                <w:rFonts w:ascii="宋体" w:hAnsi="宋体" w:eastAsia="宋体" w:cs="宋体"/>
                <w:b w:val="0"/>
              </w:rPr>
              <w:t>820,721.79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3.加权平均基金份额本期利润</w:t>
            </w:r>
          </w:p>
        </w:tc>
        <w:tc>
          <w:tcPr>
            <w:tcW w:w="1500" w:type="pct"/>
            <w:vAlign w:val="center"/>
          </w:tcPr>
          <w:p>
            <w:pPr>
              <w:spacing w:line="240" w:lineRule="auto"/>
              <w:jc w:val="right"/>
            </w:pPr>
            <w:r>
              <w:rPr>
                <w:rFonts w:ascii="宋体" w:hAnsi="宋体" w:eastAsia="宋体" w:cs="宋体"/>
                <w:b w:val="0"/>
              </w:rPr>
              <w:t>0.1056</w:t>
            </w:r>
          </w:p>
        </w:tc>
        <w:tc>
          <w:tcPr>
            <w:tcW w:w="1500" w:type="pct"/>
            <w:vAlign w:val="center"/>
          </w:tcPr>
          <w:p>
            <w:pPr>
              <w:spacing w:line="240" w:lineRule="auto"/>
              <w:jc w:val="right"/>
            </w:pPr>
            <w:r>
              <w:rPr>
                <w:rFonts w:ascii="宋体" w:hAnsi="宋体" w:eastAsia="宋体" w:cs="宋体"/>
                <w:b w:val="0"/>
              </w:rPr>
              <w:t>0.1032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4.期末基金资产净值</w:t>
            </w:r>
          </w:p>
        </w:tc>
        <w:tc>
          <w:tcPr>
            <w:tcW w:w="1500" w:type="pct"/>
            <w:vAlign w:val="center"/>
          </w:tcPr>
          <w:p>
            <w:pPr>
              <w:spacing w:line="240" w:lineRule="auto"/>
              <w:jc w:val="right"/>
            </w:pPr>
            <w:r>
              <w:rPr>
                <w:rFonts w:ascii="宋体" w:hAnsi="宋体" w:eastAsia="宋体" w:cs="宋体"/>
                <w:b w:val="0"/>
              </w:rPr>
              <w:t>44,942,293.23</w:t>
            </w:r>
          </w:p>
        </w:tc>
        <w:tc>
          <w:tcPr>
            <w:tcW w:w="1500" w:type="pct"/>
            <w:vAlign w:val="center"/>
          </w:tcPr>
          <w:p>
            <w:pPr>
              <w:spacing w:line="240" w:lineRule="auto"/>
              <w:jc w:val="right"/>
            </w:pPr>
            <w:r>
              <w:rPr>
                <w:rFonts w:ascii="宋体" w:hAnsi="宋体" w:eastAsia="宋体" w:cs="宋体"/>
                <w:b w:val="0"/>
              </w:rPr>
              <w:t>7,962,277.69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5.期末基金份额净值</w:t>
            </w:r>
          </w:p>
        </w:tc>
        <w:tc>
          <w:tcPr>
            <w:tcW w:w="1500" w:type="pct"/>
            <w:vAlign w:val="center"/>
          </w:tcPr>
          <w:p>
            <w:pPr>
              <w:spacing w:line="240" w:lineRule="auto"/>
              <w:jc w:val="right"/>
            </w:pPr>
            <w:r>
              <w:rPr>
                <w:rFonts w:ascii="宋体" w:hAnsi="宋体" w:eastAsia="宋体" w:cs="宋体"/>
                <w:b w:val="0"/>
              </w:rPr>
              <w:t>1.0676</w:t>
            </w:r>
          </w:p>
        </w:tc>
        <w:tc>
          <w:tcPr>
            <w:tcW w:w="1500" w:type="pct"/>
            <w:vAlign w:val="center"/>
          </w:tcPr>
          <w:p>
            <w:pPr>
              <w:spacing w:line="240" w:lineRule="auto"/>
              <w:jc w:val="right"/>
            </w:pPr>
            <w:r>
              <w:rPr>
                <w:rFonts w:ascii="宋体" w:hAnsi="宋体" w:eastAsia="宋体" w:cs="宋体"/>
                <w:b w:val="0"/>
              </w:rPr>
              <w:t>1.0421</w:t>
            </w:r>
          </w:p>
        </w:tc>
      </w:tr>
    </w:tbl>
    <w:p>
      <w:r>
        <w:rPr>
          <w:rFonts w:ascii="宋体" w:hAnsi="宋体" w:eastAsia="宋体" w:cs="宋体"/>
          <w:b w:val="0"/>
        </w:rPr>
        <w:t>注：1、本期已实现收益指基金本期利息收入、投资收益、其他收入(不含公允价值变动收益)扣除相关费用后的余额，本期利润为本期已实现收益加上本期公允价值变动收益。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2、所述基金业绩指标不包括持有人认购或交易基金的各项费用，计入费用后实际收益水平要低于所列数字。</w:t>
      </w:r>
    </w:p>
    <w:p/>
    <w:p>
      <w:pPr>
        <w:pStyle w:val="3"/>
        <w:jc w:val="left"/>
      </w:pPr>
      <w:r>
        <w:rPr>
          <w:rFonts w:ascii="宋体" w:hAnsi="宋体" w:eastAsia="宋体" w:cs="宋体"/>
        </w:rPr>
        <w:t>3.2 基金净值表现</w:t>
      </w:r>
    </w:p>
    <w:p>
      <w:pPr>
        <w:pStyle w:val="58"/>
      </w:pPr>
      <w:r>
        <w:rPr>
          <w:rStyle w:val="30"/>
          <w:rFonts w:ascii="宋体" w:hAnsi="宋体" w:eastAsia="宋体" w:cs="宋体"/>
          <w:b/>
        </w:rPr>
        <w:t>3.2.1 基金份额净值增长率及其与同期业绩比较基准收益率的比较</w:t>
      </w:r>
    </w:p>
    <w:p>
      <w:pPr>
        <w:jc w:val="left"/>
      </w:pPr>
      <w:r>
        <w:rPr>
          <w:rFonts w:ascii="宋体" w:hAnsi="宋体" w:eastAsia="宋体" w:cs="宋体"/>
          <w:b/>
        </w:rPr>
        <w:t>东方阿尔法兴科一年持有混合A净值表现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10.51%</w:t>
            </w:r>
          </w:p>
        </w:tc>
        <w:tc>
          <w:tcPr>
            <w:tcW w:w="0" w:type="dxa"/>
            <w:vAlign w:val="center"/>
          </w:tcPr>
          <w:p>
            <w:pPr>
              <w:spacing w:line="240" w:lineRule="auto"/>
              <w:jc w:val="right"/>
            </w:pPr>
            <w:r>
              <w:rPr>
                <w:rFonts w:ascii="宋体" w:hAnsi="宋体" w:eastAsia="宋体" w:cs="宋体"/>
                <w:b w:val="0"/>
              </w:rPr>
              <w:t>0.93%</w:t>
            </w:r>
          </w:p>
        </w:tc>
        <w:tc>
          <w:tcPr>
            <w:tcW w:w="0" w:type="dxa"/>
            <w:vAlign w:val="center"/>
          </w:tcPr>
          <w:p>
            <w:pPr>
              <w:spacing w:line="240" w:lineRule="auto"/>
              <w:jc w:val="right"/>
            </w:pPr>
            <w:r>
              <w:rPr>
                <w:rFonts w:ascii="宋体" w:hAnsi="宋体" w:eastAsia="宋体" w:cs="宋体"/>
                <w:b w:val="0"/>
              </w:rPr>
              <w:t>-7.12%</w:t>
            </w:r>
          </w:p>
        </w:tc>
        <w:tc>
          <w:tcPr>
            <w:tcW w:w="0" w:type="dxa"/>
            <w:vAlign w:val="center"/>
          </w:tcPr>
          <w:p>
            <w:pPr>
              <w:spacing w:line="240" w:lineRule="auto"/>
              <w:jc w:val="right"/>
            </w:pPr>
            <w:r>
              <w:rPr>
                <w:rFonts w:ascii="宋体" w:hAnsi="宋体" w:eastAsia="宋体" w:cs="宋体"/>
                <w:b w:val="0"/>
              </w:rPr>
              <w:t>0.92%</w:t>
            </w:r>
          </w:p>
        </w:tc>
        <w:tc>
          <w:tcPr>
            <w:tcW w:w="0" w:type="dxa"/>
            <w:vAlign w:val="center"/>
          </w:tcPr>
          <w:p>
            <w:pPr>
              <w:spacing w:line="240" w:lineRule="auto"/>
              <w:jc w:val="right"/>
            </w:pPr>
            <w:r>
              <w:rPr>
                <w:rFonts w:ascii="宋体" w:hAnsi="宋体" w:eastAsia="宋体" w:cs="宋体"/>
                <w:b w:val="0"/>
              </w:rPr>
              <w:t>17.63%</w:t>
            </w:r>
          </w:p>
        </w:tc>
        <w:tc>
          <w:tcPr>
            <w:tcW w:w="0" w:type="dxa"/>
            <w:vAlign w:val="center"/>
          </w:tcPr>
          <w:p>
            <w:pPr>
              <w:spacing w:line="240" w:lineRule="auto"/>
              <w:jc w:val="right"/>
            </w:pPr>
            <w:r>
              <w:rPr>
                <w:rFonts w:ascii="宋体" w:hAnsi="宋体" w:eastAsia="宋体" w:cs="宋体"/>
                <w:b w:val="0"/>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8.31%</w:t>
            </w:r>
          </w:p>
        </w:tc>
        <w:tc>
          <w:tcPr>
            <w:tcW w:w="0" w:type="dxa"/>
            <w:vAlign w:val="center"/>
          </w:tcPr>
          <w:p>
            <w:pPr>
              <w:spacing w:line="240" w:lineRule="auto"/>
              <w:jc w:val="right"/>
            </w:pPr>
            <w:r>
              <w:rPr>
                <w:rFonts w:ascii="宋体" w:hAnsi="宋体" w:eastAsia="宋体" w:cs="宋体"/>
                <w:b w:val="0"/>
              </w:rPr>
              <w:t>0.89%</w:t>
            </w:r>
          </w:p>
        </w:tc>
        <w:tc>
          <w:tcPr>
            <w:tcW w:w="0" w:type="dxa"/>
            <w:vAlign w:val="center"/>
          </w:tcPr>
          <w:p>
            <w:pPr>
              <w:spacing w:line="240" w:lineRule="auto"/>
              <w:jc w:val="right"/>
            </w:pPr>
            <w:r>
              <w:rPr>
                <w:rFonts w:ascii="宋体" w:hAnsi="宋体" w:eastAsia="宋体" w:cs="宋体"/>
                <w:b w:val="0"/>
              </w:rPr>
              <w:t>-1.23%</w:t>
            </w:r>
          </w:p>
        </w:tc>
        <w:tc>
          <w:tcPr>
            <w:tcW w:w="0" w:type="dxa"/>
            <w:vAlign w:val="center"/>
          </w:tcPr>
          <w:p>
            <w:pPr>
              <w:spacing w:line="240" w:lineRule="auto"/>
              <w:jc w:val="right"/>
            </w:pPr>
            <w:r>
              <w:rPr>
                <w:rFonts w:ascii="宋体" w:hAnsi="宋体" w:eastAsia="宋体" w:cs="宋体"/>
                <w:b w:val="0"/>
              </w:rPr>
              <w:t>0.94%</w:t>
            </w:r>
          </w:p>
        </w:tc>
        <w:tc>
          <w:tcPr>
            <w:tcW w:w="0" w:type="dxa"/>
            <w:vAlign w:val="center"/>
          </w:tcPr>
          <w:p>
            <w:pPr>
              <w:spacing w:line="240" w:lineRule="auto"/>
              <w:jc w:val="right"/>
            </w:pPr>
            <w:r>
              <w:rPr>
                <w:rFonts w:ascii="宋体" w:hAnsi="宋体" w:eastAsia="宋体" w:cs="宋体"/>
                <w:b w:val="0"/>
              </w:rPr>
              <w:t>9.54%</w:t>
            </w:r>
          </w:p>
        </w:tc>
        <w:tc>
          <w:tcPr>
            <w:tcW w:w="0" w:type="dxa"/>
            <w:vAlign w:val="center"/>
          </w:tcPr>
          <w:p>
            <w:pPr>
              <w:spacing w:line="240" w:lineRule="auto"/>
              <w:jc w:val="right"/>
            </w:pPr>
            <w:r>
              <w:rPr>
                <w:rFonts w:ascii="宋体" w:hAnsi="宋体" w:eastAsia="宋体" w:cs="宋体"/>
                <w:b w:val="0"/>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14.94%</w:t>
            </w:r>
          </w:p>
        </w:tc>
        <w:tc>
          <w:tcPr>
            <w:tcW w:w="0" w:type="dxa"/>
            <w:vAlign w:val="center"/>
          </w:tcPr>
          <w:p>
            <w:pPr>
              <w:spacing w:line="240" w:lineRule="auto"/>
              <w:jc w:val="right"/>
            </w:pPr>
            <w:r>
              <w:rPr>
                <w:rFonts w:ascii="宋体" w:hAnsi="宋体" w:eastAsia="宋体" w:cs="宋体"/>
                <w:b w:val="0"/>
              </w:rPr>
              <w:t>0.89%</w:t>
            </w:r>
          </w:p>
        </w:tc>
        <w:tc>
          <w:tcPr>
            <w:tcW w:w="0" w:type="dxa"/>
            <w:vAlign w:val="center"/>
          </w:tcPr>
          <w:p>
            <w:pPr>
              <w:spacing w:line="240" w:lineRule="auto"/>
              <w:jc w:val="right"/>
            </w:pPr>
            <w:r>
              <w:rPr>
                <w:rFonts w:ascii="宋体" w:hAnsi="宋体" w:eastAsia="宋体" w:cs="宋体"/>
                <w:b w:val="0"/>
              </w:rPr>
              <w:t>-4.35%</w:t>
            </w:r>
          </w:p>
        </w:tc>
        <w:tc>
          <w:tcPr>
            <w:tcW w:w="0" w:type="dxa"/>
            <w:vAlign w:val="center"/>
          </w:tcPr>
          <w:p>
            <w:pPr>
              <w:spacing w:line="240" w:lineRule="auto"/>
              <w:jc w:val="right"/>
            </w:pPr>
            <w:r>
              <w:rPr>
                <w:rFonts w:ascii="宋体" w:hAnsi="宋体" w:eastAsia="宋体" w:cs="宋体"/>
                <w:b w:val="0"/>
              </w:rPr>
              <w:t>0.89%</w:t>
            </w:r>
          </w:p>
        </w:tc>
        <w:tc>
          <w:tcPr>
            <w:tcW w:w="0" w:type="dxa"/>
            <w:vAlign w:val="center"/>
          </w:tcPr>
          <w:p>
            <w:pPr>
              <w:spacing w:line="240" w:lineRule="auto"/>
              <w:jc w:val="right"/>
            </w:pPr>
            <w:r>
              <w:rPr>
                <w:rFonts w:ascii="宋体" w:hAnsi="宋体" w:eastAsia="宋体" w:cs="宋体"/>
                <w:b w:val="0"/>
              </w:rPr>
              <w:t>19.29%</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过去三年</w:t>
            </w:r>
          </w:p>
        </w:tc>
        <w:tc>
          <w:tcPr>
            <w:tcW w:w="0" w:type="dxa"/>
            <w:vAlign w:val="center"/>
          </w:tcPr>
          <w:p>
            <w:pPr>
              <w:spacing w:line="240" w:lineRule="auto"/>
              <w:jc w:val="right"/>
            </w:pPr>
            <w:r>
              <w:rPr>
                <w:rFonts w:ascii="宋体" w:hAnsi="宋体" w:eastAsia="宋体" w:cs="宋体"/>
                <w:b w:val="0"/>
              </w:rPr>
              <w:t>50.62%</w:t>
            </w:r>
          </w:p>
        </w:tc>
        <w:tc>
          <w:tcPr>
            <w:tcW w:w="0" w:type="dxa"/>
            <w:vAlign w:val="center"/>
          </w:tcPr>
          <w:p>
            <w:pPr>
              <w:spacing w:line="240" w:lineRule="auto"/>
              <w:jc w:val="right"/>
            </w:pPr>
            <w:r>
              <w:rPr>
                <w:rFonts w:ascii="宋体" w:hAnsi="宋体" w:eastAsia="宋体" w:cs="宋体"/>
                <w:b w:val="0"/>
              </w:rPr>
              <w:t>1.26%</w:t>
            </w:r>
          </w:p>
        </w:tc>
        <w:tc>
          <w:tcPr>
            <w:tcW w:w="0" w:type="dxa"/>
            <w:vAlign w:val="center"/>
          </w:tcPr>
          <w:p>
            <w:pPr>
              <w:spacing w:line="240" w:lineRule="auto"/>
              <w:jc w:val="right"/>
            </w:pPr>
            <w:r>
              <w:rPr>
                <w:rFonts w:ascii="宋体" w:hAnsi="宋体" w:eastAsia="宋体" w:cs="宋体"/>
                <w:b w:val="0"/>
              </w:rPr>
              <w:t>23.29%</w:t>
            </w:r>
          </w:p>
        </w:tc>
        <w:tc>
          <w:tcPr>
            <w:tcW w:w="0" w:type="dxa"/>
            <w:vAlign w:val="center"/>
          </w:tcPr>
          <w:p>
            <w:pPr>
              <w:spacing w:line="240" w:lineRule="auto"/>
              <w:jc w:val="right"/>
            </w:pPr>
            <w:r>
              <w:rPr>
                <w:rFonts w:ascii="宋体" w:hAnsi="宋体" w:eastAsia="宋体" w:cs="宋体"/>
                <w:b w:val="0"/>
              </w:rPr>
              <w:t>0.92%</w:t>
            </w:r>
          </w:p>
        </w:tc>
        <w:tc>
          <w:tcPr>
            <w:tcW w:w="0" w:type="dxa"/>
            <w:vAlign w:val="center"/>
          </w:tcPr>
          <w:p>
            <w:pPr>
              <w:spacing w:line="240" w:lineRule="auto"/>
              <w:jc w:val="right"/>
            </w:pPr>
            <w:r>
              <w:rPr>
                <w:rFonts w:ascii="宋体" w:hAnsi="宋体" w:eastAsia="宋体" w:cs="宋体"/>
                <w:b w:val="0"/>
              </w:rPr>
              <w:t>27.33%</w:t>
            </w:r>
          </w:p>
        </w:tc>
        <w:tc>
          <w:tcPr>
            <w:tcW w:w="0" w:type="dxa"/>
            <w:vAlign w:val="center"/>
          </w:tcPr>
          <w:p>
            <w:pPr>
              <w:spacing w:line="240" w:lineRule="auto"/>
              <w:jc w:val="right"/>
            </w:pPr>
            <w:r>
              <w:rPr>
                <w:rFonts w:ascii="宋体" w:hAnsi="宋体" w:eastAsia="宋体" w:cs="宋体"/>
                <w:b w:val="0"/>
              </w:rPr>
              <w:t>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6.76%</w:t>
            </w:r>
          </w:p>
        </w:tc>
        <w:tc>
          <w:tcPr>
            <w:tcW w:w="0" w:type="dxa"/>
            <w:vAlign w:val="center"/>
          </w:tcPr>
          <w:p>
            <w:pPr>
              <w:spacing w:line="240" w:lineRule="auto"/>
              <w:jc w:val="right"/>
            </w:pPr>
            <w:r>
              <w:rPr>
                <w:rFonts w:ascii="宋体" w:hAnsi="宋体" w:eastAsia="宋体" w:cs="宋体"/>
                <w:b w:val="0"/>
              </w:rPr>
              <w:t>1.33%</w:t>
            </w:r>
          </w:p>
        </w:tc>
        <w:tc>
          <w:tcPr>
            <w:tcW w:w="0" w:type="dxa"/>
            <w:vAlign w:val="center"/>
          </w:tcPr>
          <w:p>
            <w:pPr>
              <w:spacing w:line="240" w:lineRule="auto"/>
              <w:jc w:val="right"/>
            </w:pPr>
            <w:r>
              <w:rPr>
                <w:rFonts w:ascii="宋体" w:hAnsi="宋体" w:eastAsia="宋体" w:cs="宋体"/>
                <w:b w:val="0"/>
              </w:rPr>
              <w:t>21.36%</w:t>
            </w:r>
          </w:p>
        </w:tc>
        <w:tc>
          <w:tcPr>
            <w:tcW w:w="0" w:type="dxa"/>
            <w:vAlign w:val="center"/>
          </w:tcPr>
          <w:p>
            <w:pPr>
              <w:spacing w:line="240" w:lineRule="auto"/>
              <w:jc w:val="right"/>
            </w:pPr>
            <w:r>
              <w:rPr>
                <w:rFonts w:ascii="宋体" w:hAnsi="宋体" w:eastAsia="宋体" w:cs="宋体"/>
                <w:b w:val="0"/>
              </w:rPr>
              <w:t>0.90%</w:t>
            </w:r>
          </w:p>
        </w:tc>
        <w:tc>
          <w:tcPr>
            <w:tcW w:w="0" w:type="dxa"/>
            <w:vAlign w:val="center"/>
          </w:tcPr>
          <w:p>
            <w:pPr>
              <w:spacing w:line="240" w:lineRule="auto"/>
              <w:jc w:val="right"/>
            </w:pPr>
            <w:r>
              <w:rPr>
                <w:rFonts w:ascii="宋体" w:hAnsi="宋体" w:eastAsia="宋体" w:cs="宋体"/>
                <w:b w:val="0"/>
              </w:rPr>
              <w:t>-14.60%</w:t>
            </w:r>
          </w:p>
        </w:tc>
        <w:tc>
          <w:tcPr>
            <w:tcW w:w="0" w:type="dxa"/>
            <w:vAlign w:val="center"/>
          </w:tcPr>
          <w:p>
            <w:pPr>
              <w:spacing w:line="240" w:lineRule="auto"/>
              <w:jc w:val="right"/>
            </w:pPr>
            <w:r>
              <w:rPr>
                <w:rFonts w:ascii="宋体" w:hAnsi="宋体" w:eastAsia="宋体" w:cs="宋体"/>
                <w:b w:val="0"/>
              </w:rPr>
              <w:t>0.43%</w:t>
            </w:r>
          </w:p>
        </w:tc>
      </w:tr>
    </w:tbl>
    <w:p>
      <w:pPr>
        <w:jc w:val="left"/>
      </w:pPr>
      <w:r>
        <w:rPr>
          <w:rFonts w:ascii="宋体" w:hAnsi="宋体" w:eastAsia="宋体" w:cs="宋体"/>
          <w:b/>
        </w:rPr>
        <w:t>东方阿尔法兴科一年持有混合C净值表现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10.33%</w:t>
            </w:r>
          </w:p>
        </w:tc>
        <w:tc>
          <w:tcPr>
            <w:tcW w:w="0" w:type="dxa"/>
            <w:vAlign w:val="center"/>
          </w:tcPr>
          <w:p>
            <w:pPr>
              <w:spacing w:line="240" w:lineRule="auto"/>
              <w:jc w:val="right"/>
            </w:pPr>
            <w:r>
              <w:rPr>
                <w:rFonts w:ascii="宋体" w:hAnsi="宋体" w:eastAsia="宋体" w:cs="宋体"/>
                <w:b w:val="0"/>
              </w:rPr>
              <w:t>0.93%</w:t>
            </w:r>
          </w:p>
        </w:tc>
        <w:tc>
          <w:tcPr>
            <w:tcW w:w="0" w:type="dxa"/>
            <w:vAlign w:val="center"/>
          </w:tcPr>
          <w:p>
            <w:pPr>
              <w:spacing w:line="240" w:lineRule="auto"/>
              <w:jc w:val="right"/>
            </w:pPr>
            <w:r>
              <w:rPr>
                <w:rFonts w:ascii="宋体" w:hAnsi="宋体" w:eastAsia="宋体" w:cs="宋体"/>
                <w:b w:val="0"/>
              </w:rPr>
              <w:t>-7.12%</w:t>
            </w:r>
          </w:p>
        </w:tc>
        <w:tc>
          <w:tcPr>
            <w:tcW w:w="0" w:type="dxa"/>
            <w:vAlign w:val="center"/>
          </w:tcPr>
          <w:p>
            <w:pPr>
              <w:spacing w:line="240" w:lineRule="auto"/>
              <w:jc w:val="right"/>
            </w:pPr>
            <w:r>
              <w:rPr>
                <w:rFonts w:ascii="宋体" w:hAnsi="宋体" w:eastAsia="宋体" w:cs="宋体"/>
                <w:b w:val="0"/>
              </w:rPr>
              <w:t>0.92%</w:t>
            </w:r>
          </w:p>
        </w:tc>
        <w:tc>
          <w:tcPr>
            <w:tcW w:w="0" w:type="dxa"/>
            <w:vAlign w:val="center"/>
          </w:tcPr>
          <w:p>
            <w:pPr>
              <w:spacing w:line="240" w:lineRule="auto"/>
              <w:jc w:val="right"/>
            </w:pPr>
            <w:r>
              <w:rPr>
                <w:rFonts w:ascii="宋体" w:hAnsi="宋体" w:eastAsia="宋体" w:cs="宋体"/>
                <w:b w:val="0"/>
              </w:rPr>
              <w:t>17.45%</w:t>
            </w:r>
          </w:p>
        </w:tc>
        <w:tc>
          <w:tcPr>
            <w:tcW w:w="0" w:type="dxa"/>
            <w:vAlign w:val="center"/>
          </w:tcPr>
          <w:p>
            <w:pPr>
              <w:spacing w:line="240" w:lineRule="auto"/>
              <w:jc w:val="right"/>
            </w:pPr>
            <w:r>
              <w:rPr>
                <w:rFonts w:ascii="宋体" w:hAnsi="宋体" w:eastAsia="宋体" w:cs="宋体"/>
                <w:b w:val="0"/>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7.98%</w:t>
            </w:r>
          </w:p>
        </w:tc>
        <w:tc>
          <w:tcPr>
            <w:tcW w:w="0" w:type="dxa"/>
            <w:vAlign w:val="center"/>
          </w:tcPr>
          <w:p>
            <w:pPr>
              <w:spacing w:line="240" w:lineRule="auto"/>
              <w:jc w:val="right"/>
            </w:pPr>
            <w:r>
              <w:rPr>
                <w:rFonts w:ascii="宋体" w:hAnsi="宋体" w:eastAsia="宋体" w:cs="宋体"/>
                <w:b w:val="0"/>
              </w:rPr>
              <w:t>0.89%</w:t>
            </w:r>
          </w:p>
        </w:tc>
        <w:tc>
          <w:tcPr>
            <w:tcW w:w="0" w:type="dxa"/>
            <w:vAlign w:val="center"/>
          </w:tcPr>
          <w:p>
            <w:pPr>
              <w:spacing w:line="240" w:lineRule="auto"/>
              <w:jc w:val="right"/>
            </w:pPr>
            <w:r>
              <w:rPr>
                <w:rFonts w:ascii="宋体" w:hAnsi="宋体" w:eastAsia="宋体" w:cs="宋体"/>
                <w:b w:val="0"/>
              </w:rPr>
              <w:t>-1.23%</w:t>
            </w:r>
          </w:p>
        </w:tc>
        <w:tc>
          <w:tcPr>
            <w:tcW w:w="0" w:type="dxa"/>
            <w:vAlign w:val="center"/>
          </w:tcPr>
          <w:p>
            <w:pPr>
              <w:spacing w:line="240" w:lineRule="auto"/>
              <w:jc w:val="right"/>
            </w:pPr>
            <w:r>
              <w:rPr>
                <w:rFonts w:ascii="宋体" w:hAnsi="宋体" w:eastAsia="宋体" w:cs="宋体"/>
                <w:b w:val="0"/>
              </w:rPr>
              <w:t>0.94%</w:t>
            </w:r>
          </w:p>
        </w:tc>
        <w:tc>
          <w:tcPr>
            <w:tcW w:w="0" w:type="dxa"/>
            <w:vAlign w:val="center"/>
          </w:tcPr>
          <w:p>
            <w:pPr>
              <w:spacing w:line="240" w:lineRule="auto"/>
              <w:jc w:val="right"/>
            </w:pPr>
            <w:r>
              <w:rPr>
                <w:rFonts w:ascii="宋体" w:hAnsi="宋体" w:eastAsia="宋体" w:cs="宋体"/>
                <w:b w:val="0"/>
              </w:rPr>
              <w:t>9.21%</w:t>
            </w:r>
          </w:p>
        </w:tc>
        <w:tc>
          <w:tcPr>
            <w:tcW w:w="0" w:type="dxa"/>
            <w:vAlign w:val="center"/>
          </w:tcPr>
          <w:p>
            <w:pPr>
              <w:spacing w:line="240" w:lineRule="auto"/>
              <w:jc w:val="right"/>
            </w:pPr>
            <w:r>
              <w:rPr>
                <w:rFonts w:ascii="宋体" w:hAnsi="宋体" w:eastAsia="宋体" w:cs="宋体"/>
                <w:b w:val="0"/>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14.24%</w:t>
            </w:r>
          </w:p>
        </w:tc>
        <w:tc>
          <w:tcPr>
            <w:tcW w:w="0" w:type="dxa"/>
            <w:vAlign w:val="center"/>
          </w:tcPr>
          <w:p>
            <w:pPr>
              <w:spacing w:line="240" w:lineRule="auto"/>
              <w:jc w:val="right"/>
            </w:pPr>
            <w:r>
              <w:rPr>
                <w:rFonts w:ascii="宋体" w:hAnsi="宋体" w:eastAsia="宋体" w:cs="宋体"/>
                <w:b w:val="0"/>
              </w:rPr>
              <w:t>0.89%</w:t>
            </w:r>
          </w:p>
        </w:tc>
        <w:tc>
          <w:tcPr>
            <w:tcW w:w="0" w:type="dxa"/>
            <w:vAlign w:val="center"/>
          </w:tcPr>
          <w:p>
            <w:pPr>
              <w:spacing w:line="240" w:lineRule="auto"/>
              <w:jc w:val="right"/>
            </w:pPr>
            <w:r>
              <w:rPr>
                <w:rFonts w:ascii="宋体" w:hAnsi="宋体" w:eastAsia="宋体" w:cs="宋体"/>
                <w:b w:val="0"/>
              </w:rPr>
              <w:t>-4.35%</w:t>
            </w:r>
          </w:p>
        </w:tc>
        <w:tc>
          <w:tcPr>
            <w:tcW w:w="0" w:type="dxa"/>
            <w:vAlign w:val="center"/>
          </w:tcPr>
          <w:p>
            <w:pPr>
              <w:spacing w:line="240" w:lineRule="auto"/>
              <w:jc w:val="right"/>
            </w:pPr>
            <w:r>
              <w:rPr>
                <w:rFonts w:ascii="宋体" w:hAnsi="宋体" w:eastAsia="宋体" w:cs="宋体"/>
                <w:b w:val="0"/>
              </w:rPr>
              <w:t>0.89%</w:t>
            </w:r>
          </w:p>
        </w:tc>
        <w:tc>
          <w:tcPr>
            <w:tcW w:w="0" w:type="dxa"/>
            <w:vAlign w:val="center"/>
          </w:tcPr>
          <w:p>
            <w:pPr>
              <w:spacing w:line="240" w:lineRule="auto"/>
              <w:jc w:val="right"/>
            </w:pPr>
            <w:r>
              <w:rPr>
                <w:rFonts w:ascii="宋体" w:hAnsi="宋体" w:eastAsia="宋体" w:cs="宋体"/>
                <w:b w:val="0"/>
              </w:rPr>
              <w:t>18.59%</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过去三年</w:t>
            </w:r>
          </w:p>
        </w:tc>
        <w:tc>
          <w:tcPr>
            <w:tcW w:w="0" w:type="dxa"/>
            <w:vAlign w:val="center"/>
          </w:tcPr>
          <w:p>
            <w:pPr>
              <w:spacing w:line="240" w:lineRule="auto"/>
              <w:jc w:val="right"/>
            </w:pPr>
            <w:r>
              <w:rPr>
                <w:rFonts w:ascii="宋体" w:hAnsi="宋体" w:eastAsia="宋体" w:cs="宋体"/>
                <w:b w:val="0"/>
              </w:rPr>
              <w:t>47.92%</w:t>
            </w:r>
          </w:p>
        </w:tc>
        <w:tc>
          <w:tcPr>
            <w:tcW w:w="0" w:type="dxa"/>
            <w:vAlign w:val="center"/>
          </w:tcPr>
          <w:p>
            <w:pPr>
              <w:spacing w:line="240" w:lineRule="auto"/>
              <w:jc w:val="right"/>
            </w:pPr>
            <w:r>
              <w:rPr>
                <w:rFonts w:ascii="宋体" w:hAnsi="宋体" w:eastAsia="宋体" w:cs="宋体"/>
                <w:b w:val="0"/>
              </w:rPr>
              <w:t>1.26%</w:t>
            </w:r>
          </w:p>
        </w:tc>
        <w:tc>
          <w:tcPr>
            <w:tcW w:w="0" w:type="dxa"/>
            <w:vAlign w:val="center"/>
          </w:tcPr>
          <w:p>
            <w:pPr>
              <w:spacing w:line="240" w:lineRule="auto"/>
              <w:jc w:val="right"/>
            </w:pPr>
            <w:r>
              <w:rPr>
                <w:rFonts w:ascii="宋体" w:hAnsi="宋体" w:eastAsia="宋体" w:cs="宋体"/>
                <w:b w:val="0"/>
              </w:rPr>
              <w:t>23.29%</w:t>
            </w:r>
          </w:p>
        </w:tc>
        <w:tc>
          <w:tcPr>
            <w:tcW w:w="0" w:type="dxa"/>
            <w:vAlign w:val="center"/>
          </w:tcPr>
          <w:p>
            <w:pPr>
              <w:spacing w:line="240" w:lineRule="auto"/>
              <w:jc w:val="right"/>
            </w:pPr>
            <w:r>
              <w:rPr>
                <w:rFonts w:ascii="宋体" w:hAnsi="宋体" w:eastAsia="宋体" w:cs="宋体"/>
                <w:b w:val="0"/>
              </w:rPr>
              <w:t>0.92%</w:t>
            </w:r>
          </w:p>
        </w:tc>
        <w:tc>
          <w:tcPr>
            <w:tcW w:w="0" w:type="dxa"/>
            <w:vAlign w:val="center"/>
          </w:tcPr>
          <w:p>
            <w:pPr>
              <w:spacing w:line="240" w:lineRule="auto"/>
              <w:jc w:val="right"/>
            </w:pPr>
            <w:r>
              <w:rPr>
                <w:rFonts w:ascii="宋体" w:hAnsi="宋体" w:eastAsia="宋体" w:cs="宋体"/>
                <w:b w:val="0"/>
              </w:rPr>
              <w:t>24.63%</w:t>
            </w:r>
          </w:p>
        </w:tc>
        <w:tc>
          <w:tcPr>
            <w:tcW w:w="0" w:type="dxa"/>
            <w:vAlign w:val="center"/>
          </w:tcPr>
          <w:p>
            <w:pPr>
              <w:spacing w:line="240" w:lineRule="auto"/>
              <w:jc w:val="right"/>
            </w:pPr>
            <w:r>
              <w:rPr>
                <w:rFonts w:ascii="宋体" w:hAnsi="宋体" w:eastAsia="宋体" w:cs="宋体"/>
                <w:b w:val="0"/>
              </w:rPr>
              <w:t>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4.21%</w:t>
            </w:r>
          </w:p>
        </w:tc>
        <w:tc>
          <w:tcPr>
            <w:tcW w:w="0" w:type="dxa"/>
            <w:vAlign w:val="center"/>
          </w:tcPr>
          <w:p>
            <w:pPr>
              <w:spacing w:line="240" w:lineRule="auto"/>
              <w:jc w:val="right"/>
            </w:pPr>
            <w:r>
              <w:rPr>
                <w:rFonts w:ascii="宋体" w:hAnsi="宋体" w:eastAsia="宋体" w:cs="宋体"/>
                <w:b w:val="0"/>
              </w:rPr>
              <w:t>1.33%</w:t>
            </w:r>
          </w:p>
        </w:tc>
        <w:tc>
          <w:tcPr>
            <w:tcW w:w="0" w:type="dxa"/>
            <w:vAlign w:val="center"/>
          </w:tcPr>
          <w:p>
            <w:pPr>
              <w:spacing w:line="240" w:lineRule="auto"/>
              <w:jc w:val="right"/>
            </w:pPr>
            <w:r>
              <w:rPr>
                <w:rFonts w:ascii="宋体" w:hAnsi="宋体" w:eastAsia="宋体" w:cs="宋体"/>
                <w:b w:val="0"/>
              </w:rPr>
              <w:t>21.36%</w:t>
            </w:r>
          </w:p>
        </w:tc>
        <w:tc>
          <w:tcPr>
            <w:tcW w:w="0" w:type="dxa"/>
            <w:vAlign w:val="center"/>
          </w:tcPr>
          <w:p>
            <w:pPr>
              <w:spacing w:line="240" w:lineRule="auto"/>
              <w:jc w:val="right"/>
            </w:pPr>
            <w:r>
              <w:rPr>
                <w:rFonts w:ascii="宋体" w:hAnsi="宋体" w:eastAsia="宋体" w:cs="宋体"/>
                <w:b w:val="0"/>
              </w:rPr>
              <w:t>0.90%</w:t>
            </w:r>
          </w:p>
        </w:tc>
        <w:tc>
          <w:tcPr>
            <w:tcW w:w="0" w:type="dxa"/>
            <w:vAlign w:val="center"/>
          </w:tcPr>
          <w:p>
            <w:pPr>
              <w:spacing w:line="240" w:lineRule="auto"/>
              <w:jc w:val="right"/>
            </w:pPr>
            <w:r>
              <w:rPr>
                <w:rFonts w:ascii="宋体" w:hAnsi="宋体" w:eastAsia="宋体" w:cs="宋体"/>
                <w:b w:val="0"/>
              </w:rPr>
              <w:t>-17.15%</w:t>
            </w:r>
          </w:p>
        </w:tc>
        <w:tc>
          <w:tcPr>
            <w:tcW w:w="0" w:type="dxa"/>
            <w:vAlign w:val="center"/>
          </w:tcPr>
          <w:p>
            <w:pPr>
              <w:spacing w:line="240" w:lineRule="auto"/>
              <w:jc w:val="right"/>
            </w:pPr>
            <w:r>
              <w:rPr>
                <w:rFonts w:ascii="宋体" w:hAnsi="宋体" w:eastAsia="宋体" w:cs="宋体"/>
                <w:b w:val="0"/>
              </w:rPr>
              <w:t>0.43%</w:t>
            </w:r>
          </w:p>
        </w:tc>
      </w:tr>
    </w:tbl>
    <w:p>
      <w:r>
        <w:rPr>
          <w:rFonts w:ascii="宋体" w:hAnsi="宋体" w:eastAsia="宋体" w:cs="宋体"/>
          <w:b w:val="0"/>
        </w:rPr>
        <w:t>注：本基金业绩比较基准为：中证800指数收益率×60%+中证综合债券指数收益率×20%+恒生指数收益率×20%</w:t>
      </w:r>
    </w:p>
    <w:p/>
    <w:p>
      <w:pPr>
        <w:pStyle w:val="58"/>
      </w:pPr>
      <w:r>
        <w:rPr>
          <w:rStyle w:val="30"/>
          <w:rFonts w:ascii="宋体" w:hAnsi="宋体" w:eastAsia="宋体" w:cs="宋体"/>
          <w:b/>
        </w:rPr>
        <w:t>3.2.2 自基金合同生效以来基金累计净值增长率变动及其与同期业绩比较基准收益率变动的比较</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pPr>
        <w:pStyle w:val="2"/>
        <w:jc w:val="center"/>
      </w:pPr>
      <w:r>
        <w:rPr>
          <w:rFonts w:ascii="宋体" w:hAnsi="宋体" w:eastAsia="宋体" w:cs="宋体"/>
        </w:rPr>
        <w:t>§4 管理人报告</w:t>
      </w:r>
    </w:p>
    <w:p>
      <w:pPr>
        <w:pStyle w:val="3"/>
        <w:jc w:val="left"/>
      </w:pPr>
      <w:r>
        <w:rPr>
          <w:rFonts w:ascii="宋体" w:hAnsi="宋体" w:eastAsia="宋体" w:cs="宋体"/>
        </w:rPr>
        <w:t>4.1 基金经理（或基金经理小组）简介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229"/>
        <w:gridCol w:w="1501"/>
        <w:gridCol w:w="1501"/>
        <w:gridCol w:w="800"/>
        <w:gridCol w:w="3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pct"/>
            <w:vMerge w:val="restart"/>
            <w:shd w:val="clear" w:color="auto" w:fill="D9D9D9"/>
            <w:vAlign w:val="center"/>
          </w:tcPr>
          <w:p>
            <w:pPr>
              <w:spacing w:line="240" w:lineRule="auto"/>
              <w:jc w:val="center"/>
            </w:pPr>
            <w:r>
              <w:rPr>
                <w:rFonts w:ascii="宋体" w:hAnsi="宋体" w:eastAsia="宋体" w:cs="宋体"/>
                <w:b w:val="0"/>
              </w:rPr>
              <w:t>姓名</w:t>
            </w:r>
          </w:p>
        </w:tc>
        <w:tc>
          <w:tcPr>
            <w:tcW w:w="662" w:type="pct"/>
            <w:vMerge w:val="restart"/>
            <w:shd w:val="clear" w:color="auto" w:fill="D9D9D9"/>
            <w:vAlign w:val="center"/>
          </w:tcPr>
          <w:p>
            <w:pPr>
              <w:spacing w:line="240" w:lineRule="auto"/>
              <w:jc w:val="center"/>
            </w:pPr>
            <w:r>
              <w:rPr>
                <w:rFonts w:ascii="宋体" w:hAnsi="宋体" w:eastAsia="宋体" w:cs="宋体"/>
                <w:b w:val="0"/>
              </w:rPr>
              <w:t>职务</w:t>
            </w:r>
          </w:p>
        </w:tc>
        <w:tc>
          <w:tcPr>
            <w:tcW w:w="1615" w:type="pct"/>
            <w:gridSpan w:val="2"/>
            <w:shd w:val="clear" w:color="auto" w:fill="D9D9D9"/>
            <w:vAlign w:val="center"/>
          </w:tcPr>
          <w:p>
            <w:pPr>
              <w:spacing w:line="240" w:lineRule="auto"/>
              <w:jc w:val="center"/>
            </w:pPr>
            <w:r>
              <w:rPr>
                <w:rFonts w:ascii="宋体" w:hAnsi="宋体" w:eastAsia="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hAnsi="宋体" w:eastAsia="宋体" w:cs="宋体"/>
                <w:b w:val="0"/>
              </w:rPr>
              <w:t>证券从业年限</w:t>
            </w:r>
          </w:p>
        </w:tc>
        <w:tc>
          <w:tcPr>
            <w:tcW w:w="1631" w:type="pct"/>
            <w:vMerge w:val="restart"/>
            <w:shd w:val="clear" w:color="auto" w:fill="D9D9D9"/>
            <w:vAlign w:val="center"/>
          </w:tcPr>
          <w:p>
            <w:pPr>
              <w:spacing w:line="240" w:lineRule="auto"/>
              <w:jc w:val="center"/>
            </w:pPr>
            <w:r>
              <w:rPr>
                <w:rFonts w:ascii="宋体" w:hAnsi="宋体" w:eastAsia="宋体" w:cs="宋体"/>
                <w:b w:val="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808" w:type="pct"/>
            <w:shd w:val="clear" w:color="auto" w:fill="D9D9D9"/>
            <w:vAlign w:val="center"/>
          </w:tcPr>
          <w:p>
            <w:pPr>
              <w:spacing w:line="240" w:lineRule="auto"/>
              <w:jc w:val="center"/>
            </w:pPr>
            <w:r>
              <w:rPr>
                <w:rFonts w:ascii="宋体" w:hAnsi="宋体" w:eastAsia="宋体" w:cs="宋体"/>
                <w:b w:val="0"/>
              </w:rPr>
              <w:t>任职日期</w:t>
            </w:r>
          </w:p>
        </w:tc>
        <w:tc>
          <w:tcPr>
            <w:tcW w:w="808" w:type="pct"/>
            <w:shd w:val="clear" w:color="auto" w:fill="D9D9D9"/>
            <w:vAlign w:val="center"/>
          </w:tcPr>
          <w:p>
            <w:pPr>
              <w:spacing w:line="240" w:lineRule="auto"/>
              <w:jc w:val="center"/>
            </w:pPr>
            <w:r>
              <w:rPr>
                <w:rFonts w:ascii="宋体" w:hAnsi="宋体" w:eastAsia="宋体" w:cs="宋体"/>
                <w:b w:val="0"/>
              </w:rPr>
              <w:t>离任日期</w:t>
            </w:r>
          </w:p>
        </w:tc>
        <w:tc>
          <w:tcPr>
            <w:vMerge w:val="continue"/>
          </w:tcP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尹智斌</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center"/>
            </w:pPr>
            <w:r>
              <w:rPr>
                <w:rFonts w:ascii="宋体" w:hAnsi="宋体" w:eastAsia="宋体" w:cs="宋体"/>
                <w:b w:val="0"/>
              </w:rPr>
              <w:t>2023-11-01</w:t>
            </w:r>
          </w:p>
        </w:tc>
        <w:tc>
          <w:tcPr>
            <w:tcW w:w="0" w:type="dxa"/>
            <w:vAlign w:val="center"/>
          </w:tcPr>
          <w:p>
            <w:pPr>
              <w:spacing w:line="240" w:lineRule="auto"/>
              <w:jc w:val="center"/>
            </w:pPr>
            <w:r>
              <w:rPr>
                <w:rFonts w:ascii="宋体" w:hAnsi="宋体" w:eastAsia="宋体" w:cs="宋体"/>
                <w:b w:val="0"/>
              </w:rPr>
              <w:t>-</w:t>
            </w:r>
          </w:p>
        </w:tc>
        <w:tc>
          <w:tcPr>
            <w:tcW w:w="0" w:type="dxa"/>
            <w:vAlign w:val="center"/>
          </w:tcPr>
          <w:p>
            <w:pPr>
              <w:spacing w:line="240" w:lineRule="auto"/>
              <w:jc w:val="center"/>
            </w:pPr>
            <w:r>
              <w:rPr>
                <w:rFonts w:ascii="宋体" w:hAnsi="宋体" w:eastAsia="宋体" w:cs="宋体"/>
                <w:b w:val="0"/>
              </w:rPr>
              <w:t>8年</w:t>
            </w:r>
          </w:p>
        </w:tc>
        <w:tc>
          <w:tcPr>
            <w:tcW w:w="0" w:type="dxa"/>
            <w:vAlign w:val="center"/>
          </w:tcPr>
          <w:p>
            <w:pPr>
              <w:spacing w:line="240" w:lineRule="auto"/>
              <w:jc w:val="left"/>
            </w:pPr>
            <w:r>
              <w:rPr>
                <w:rFonts w:ascii="宋体" w:hAnsi="宋体" w:eastAsia="宋体" w:cs="宋体"/>
                <w:b w:val="0"/>
              </w:rPr>
              <w:t>尹智斌先生，清华大学工学及经济学双学士，清华大学工学硕士，历任东方阿尔法基金管理有限公司电子、传媒互联网、建筑建材、社服行业研究员，曾担任东方阿尔法优选混合型发起式证券投资基金基金经理助理。现任东方阿尔法基金管理有限公司基金经理。</w:t>
            </w:r>
          </w:p>
        </w:tc>
      </w:tr>
    </w:tbl>
    <w:p>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p>
    <w:p/>
    <w:p>
      <w:pPr>
        <w:pStyle w:val="58"/>
      </w:pPr>
      <w:r>
        <w:rPr>
          <w:rStyle w:val="30"/>
          <w:rFonts w:ascii="宋体" w:hAnsi="宋体" w:eastAsia="宋体" w:cs="宋体"/>
          <w:b/>
        </w:rPr>
        <w:t>4.1.1 期末兼任私募资产管理计划投资经理的基金经理同时管理的产品情况</w:t>
      </w:r>
    </w:p>
    <w:p>
      <w:r>
        <w:rPr>
          <w:rFonts w:ascii="宋体" w:hAnsi="宋体" w:eastAsia="宋体" w:cs="宋体"/>
          <w:b w:val="0"/>
        </w:rPr>
        <w:t xml:space="preserve">    本基金基金经理不存在兼任私募资产管理计划的投资经理的情况。</w:t>
      </w:r>
    </w:p>
    <w:p/>
    <w:p>
      <w:pPr>
        <w:pStyle w:val="3"/>
        <w:jc w:val="left"/>
      </w:pPr>
      <w:r>
        <w:rPr>
          <w:rFonts w:ascii="宋体" w:hAnsi="宋体" w:eastAsia="宋体" w:cs="宋体"/>
        </w:rPr>
        <w:t>4.2 管理人对报告期内本基金运作遵规守信情况的说明</w:t>
      </w:r>
    </w:p>
    <w:p>
      <w:r>
        <w:rPr>
          <w:rFonts w:ascii="宋体" w:hAnsi="宋体" w:eastAsia="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3"/>
        <w:jc w:val="left"/>
      </w:pPr>
      <w:r>
        <w:rPr>
          <w:rFonts w:ascii="宋体" w:hAnsi="宋体" w:eastAsia="宋体" w:cs="宋体"/>
        </w:rPr>
        <w:t>4.3 公平交易专项说明</w:t>
      </w:r>
    </w:p>
    <w:p>
      <w:pPr>
        <w:pStyle w:val="58"/>
      </w:pPr>
      <w:r>
        <w:rPr>
          <w:rStyle w:val="30"/>
          <w:rFonts w:ascii="宋体" w:hAnsi="宋体" w:eastAsia="宋体" w:cs="宋体"/>
          <w:b/>
        </w:rPr>
        <w:t>4.3.1 公平交易制度的执行情况</w:t>
      </w:r>
    </w:p>
    <w:p>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58"/>
      </w:pPr>
      <w:r>
        <w:rPr>
          <w:rStyle w:val="30"/>
          <w:rFonts w:ascii="宋体" w:hAnsi="宋体" w:eastAsia="宋体" w:cs="宋体"/>
          <w:b/>
        </w:rPr>
        <w:t>4.3.2 异常交易行为的专项说明</w:t>
      </w:r>
    </w:p>
    <w:p>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3"/>
        <w:jc w:val="left"/>
      </w:pPr>
      <w:r>
        <w:rPr>
          <w:rFonts w:ascii="宋体" w:hAnsi="宋体" w:eastAsia="宋体" w:cs="宋体"/>
        </w:rPr>
        <w:t>4.4 报告期内基金的投资策略和运作分析</w:t>
      </w:r>
    </w:p>
    <w:p>
      <w:r>
        <w:rPr>
          <w:rFonts w:ascii="宋体" w:hAnsi="宋体" w:eastAsia="宋体" w:cs="宋体"/>
          <w:b w:val="0"/>
        </w:rPr>
        <w:t xml:space="preserve">    报告期内，市场波动明显加大，前期估值扩张较快的成长板块进入拉锯与再平衡，资金开始聚焦盈利的真实兑现，价值风格的性价比在悄然回升。基于能力圈及确定性的考虑，依然坚守偏价值、重分红的投资范围，追求稳稳的幸福。自2024年4月，国务院颁发了资本市场新“国九条”，有助于资本市场从融资性市场向投资性市场转变，是历史性的重要拐点，我们应当予以高度重视。纵观其他发达国家资本市场的历史经验，经济进入高质量发展阶段，资本市场逐渐开始重视中小股东利益，逐渐进入慢牛长牛。围绕高质量发展，新“国九条”提出多措并举提高股息率，增强分红稳定性、持续性和可预期性。</w:t>
      </w:r>
      <w:r>
        <w:rPr>
          <w:rFonts w:ascii="宋体" w:hAnsi="宋体" w:eastAsia="宋体" w:cs="宋体"/>
          <w:b w:val="0"/>
        </w:rPr>
        <w:br w:type="textWrapping"/>
      </w:r>
      <w:r>
        <w:rPr>
          <w:rFonts w:ascii="宋体" w:hAnsi="宋体" w:eastAsia="宋体" w:cs="宋体"/>
          <w:b w:val="0"/>
        </w:rPr>
        <w:t xml:space="preserve">    事实上在过去一段时间，上市公司提高分红的程度确实在持续提升，只是在前期成长股行情的映衬下稍显逊色，但其相较于债券市场已经有极强的吸引力，追求稳健回报、回撤可控的投资者应当予以高度重视。</w:t>
      </w:r>
      <w:r>
        <w:rPr>
          <w:rFonts w:ascii="宋体" w:hAnsi="宋体" w:eastAsia="宋体" w:cs="宋体"/>
          <w:b w:val="0"/>
        </w:rPr>
        <w:br w:type="textWrapping"/>
      </w:r>
      <w:r>
        <w:rPr>
          <w:rFonts w:ascii="宋体" w:hAnsi="宋体" w:eastAsia="宋体" w:cs="宋体"/>
          <w:b w:val="0"/>
        </w:rPr>
        <w:t xml:space="preserve">    报告期内组合最大的变化是系统性地增加了出海方向的仓位，主要是因为中国制造业与消费品的比较优势在全球范围内的持续兑现：国内需求仍在修复途中，而海外诸多市场需求保持韧性；市场对贸易摩擦的担忧已较为充分地计入价格，一批具备全球竞争力的龙头公司估值被压到较低位置，风险收益比凸显。</w:t>
      </w:r>
      <w:r>
        <w:rPr>
          <w:rFonts w:ascii="宋体" w:hAnsi="宋体" w:eastAsia="宋体" w:cs="宋体"/>
          <w:b w:val="0"/>
        </w:rPr>
        <w:br w:type="textWrapping"/>
      </w:r>
      <w:r>
        <w:rPr>
          <w:rFonts w:ascii="宋体" w:hAnsi="宋体" w:eastAsia="宋体" w:cs="宋体"/>
          <w:b w:val="0"/>
        </w:rPr>
        <w:t xml:space="preserve">    （1）内需相关龙头，包括家电、农机等，在目前市场对内需修复仍有分歧的背景下，这些公司估值已压到较低位置，分红率较高且仍在提升。家电龙头、农机龙头兼具内需与出海双重属性，海外自主品牌的份额持续提升。在未来超常规逆周期调节下，业绩的悲观预期有望得到明显的修复。</w:t>
      </w:r>
      <w:r>
        <w:rPr>
          <w:rFonts w:ascii="宋体" w:hAnsi="宋体" w:eastAsia="宋体" w:cs="宋体"/>
          <w:b w:val="0"/>
        </w:rPr>
        <w:br w:type="textWrapping"/>
      </w:r>
      <w:r>
        <w:rPr>
          <w:rFonts w:ascii="宋体" w:hAnsi="宋体" w:eastAsia="宋体" w:cs="宋体"/>
          <w:b w:val="0"/>
        </w:rPr>
        <w:t xml:space="preserve">    （2）出海方向的细分龙头，这是报告期内组合增加最多的方向。广义制造业中，如手动工具、轮胎、高空作业平台、清洁电器等，已产生众多在全球市场竞争格局稳定且现金流优秀的细分龙头，其产品的海外竞争力在持续增强，正从代工出海走向品牌出海。对贸易摩擦的担忧已使这些公司的估值压到较低位置，而多数公司已完成海外产能与渠道布局，对单一市场的依赖持续下降；这些行业远期资本开支有望大幅度下降，进而自由现金流将逐渐提升，潜在分红能力持续增强。同时，我们也关注深耕新兴市场的消费品出海公司，如非洲卫生用品龙头，当地人口结构年轻、品类渗透率较低，本地化生产与深度分销构筑了良好的商业模式，现金流优秀且已具备稳定的分红能力。</w:t>
      </w:r>
      <w:r>
        <w:rPr>
          <w:rFonts w:ascii="宋体" w:hAnsi="宋体" w:eastAsia="宋体" w:cs="宋体"/>
          <w:b w:val="0"/>
        </w:rPr>
        <w:br w:type="textWrapping"/>
      </w:r>
      <w:r>
        <w:rPr>
          <w:rFonts w:ascii="宋体" w:hAnsi="宋体" w:eastAsia="宋体" w:cs="宋体"/>
          <w:b w:val="0"/>
        </w:rPr>
        <w:t xml:space="preserve">    （3）上游资源类公司，目前主要关注油气相关的低估值、高现金流公司。地缘扰动频发之下，油价中枢仍有支撑，龙头公司产量持续增长，分红率可观，依然是组合的压舱石。</w:t>
      </w:r>
      <w:r>
        <w:rPr>
          <w:rFonts w:ascii="宋体" w:hAnsi="宋体" w:eastAsia="宋体" w:cs="宋体"/>
          <w:b w:val="0"/>
        </w:rPr>
        <w:br w:type="textWrapping"/>
      </w:r>
      <w:r>
        <w:rPr>
          <w:rFonts w:ascii="宋体" w:hAnsi="宋体" w:eastAsia="宋体" w:cs="宋体"/>
          <w:b w:val="0"/>
        </w:rPr>
        <w:t xml:space="preserve">    目前许多行业的中小企业仍然有较大的经营压力甚至面临出清，龙头企业估值压到较低位置，在国内逆周期调节与海外份额提升的双重作用下，龙头企业将抢占许多中小企业出清的份额，呈现出较大的业绩弹性，后续组合上继续会偏好于龙头企业，并维持在出海方向上的较高仓位。</w:t>
      </w:r>
    </w:p>
    <w:p/>
    <w:p>
      <w:pPr>
        <w:pStyle w:val="3"/>
        <w:jc w:val="left"/>
      </w:pPr>
      <w:r>
        <w:rPr>
          <w:rFonts w:ascii="宋体" w:hAnsi="宋体" w:eastAsia="宋体" w:cs="宋体"/>
        </w:rPr>
        <w:t>4.5 报告期内基金的业绩表现</w:t>
      </w:r>
    </w:p>
    <w:p>
      <w:r>
        <w:rPr>
          <w:rFonts w:ascii="宋体" w:hAnsi="宋体" w:eastAsia="宋体" w:cs="宋体"/>
          <w:b w:val="0"/>
        </w:rPr>
        <w:t xml:space="preserve">    截至报告期末东方阿尔法兴科一年持有混合A基金份额净值为1.0676元，本报告期内，该类基金份额净值增长率为10.51%，同期业绩比较基准收益率为-7.12%；截至报告期末东方阿尔法兴科一年持有混合C基金份额净值为1.0421元，本报告期内，该类基金份额净值增长率为10.33%，同期业绩比较基准收益率为-7.12%。</w:t>
      </w:r>
    </w:p>
    <w:p/>
    <w:p>
      <w:pPr>
        <w:pStyle w:val="3"/>
        <w:jc w:val="left"/>
      </w:pPr>
      <w:r>
        <w:rPr>
          <w:rFonts w:ascii="宋体" w:hAnsi="宋体" w:eastAsia="宋体" w:cs="宋体"/>
        </w:rPr>
        <w:t>4.6 报告期内基金持有人数或基金资产净值预警说明</w:t>
      </w:r>
    </w:p>
    <w:p>
      <w:r>
        <w:rPr>
          <w:rFonts w:ascii="宋体" w:hAnsi="宋体" w:eastAsia="宋体" w:cs="宋体"/>
          <w:b w:val="0"/>
        </w:rPr>
        <w:t xml:space="preserve">    本报告期内，本基金未出现连续20个工作日基金份额持有人数量不满200人或者基金资产净值低于5000万的情形。</w:t>
      </w:r>
    </w:p>
    <w:p>
      <w:pPr>
        <w:pStyle w:val="2"/>
        <w:jc w:val="center"/>
      </w:pPr>
      <w:r>
        <w:rPr>
          <w:rFonts w:ascii="宋体" w:hAnsi="宋体" w:eastAsia="宋体" w:cs="宋体"/>
        </w:rPr>
        <w:t>§5 投资组合报告</w:t>
      </w:r>
    </w:p>
    <w:p>
      <w:pPr>
        <w:pStyle w:val="3"/>
        <w:jc w:val="left"/>
      </w:pPr>
      <w:r>
        <w:rPr>
          <w:rFonts w:ascii="宋体" w:hAnsi="宋体" w:eastAsia="宋体" w:cs="宋体"/>
        </w:rPr>
        <w:t>5.1 报告期末基金资产组合情况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2856"/>
        <w:gridCol w:w="2856"/>
        <w:gridCol w:w="2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金额(元)</w:t>
            </w:r>
          </w:p>
        </w:tc>
        <w:tc>
          <w:tcPr>
            <w:tcW w:w="1538" w:type="pct"/>
            <w:shd w:val="clear" w:color="auto" w:fill="D9D9D9"/>
            <w:vAlign w:val="center"/>
          </w:tcPr>
          <w:p>
            <w:pPr>
              <w:spacing w:line="240" w:lineRule="auto"/>
              <w:jc w:val="center"/>
            </w:pPr>
            <w:r>
              <w:rPr>
                <w:rFonts w:ascii="宋体" w:hAnsi="宋体" w:eastAsia="宋体" w:cs="宋体"/>
                <w:b w:val="0"/>
              </w:rPr>
              <w:t>占基金总资产的比例（%）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权益投资</w:t>
            </w:r>
          </w:p>
        </w:tc>
        <w:tc>
          <w:tcPr>
            <w:tcW w:w="0" w:type="dxa"/>
            <w:vAlign w:val="center"/>
          </w:tcPr>
          <w:p>
            <w:pPr>
              <w:spacing w:line="240" w:lineRule="auto"/>
              <w:jc w:val="right"/>
            </w:pPr>
            <w:r>
              <w:rPr>
                <w:rFonts w:ascii="宋体" w:hAnsi="宋体" w:eastAsia="宋体" w:cs="宋体"/>
                <w:b w:val="0"/>
              </w:rPr>
              <w:t>48,352,639.43</w:t>
            </w:r>
          </w:p>
        </w:tc>
        <w:tc>
          <w:tcPr>
            <w:tcW w:w="0" w:type="dxa"/>
            <w:vAlign w:val="center"/>
          </w:tcPr>
          <w:p>
            <w:pPr>
              <w:spacing w:line="240" w:lineRule="auto"/>
              <w:jc w:val="right"/>
            </w:pPr>
            <w:r>
              <w:rPr>
                <w:rFonts w:ascii="宋体" w:hAnsi="宋体" w:eastAsia="宋体" w:cs="宋体"/>
                <w:b w:val="0"/>
              </w:rPr>
              <w:t>91.16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其中：股票</w:t>
            </w:r>
          </w:p>
        </w:tc>
        <w:tc>
          <w:tcPr>
            <w:tcW w:w="0" w:type="dxa"/>
            <w:vAlign w:val="center"/>
          </w:tcPr>
          <w:p>
            <w:pPr>
              <w:spacing w:line="240" w:lineRule="auto"/>
              <w:jc w:val="right"/>
            </w:pPr>
            <w:r>
              <w:rPr>
                <w:rFonts w:ascii="宋体" w:hAnsi="宋体" w:eastAsia="宋体" w:cs="宋体"/>
                <w:b w:val="0"/>
              </w:rPr>
              <w:t>48,352,639.43</w:t>
            </w:r>
          </w:p>
        </w:tc>
        <w:tc>
          <w:tcPr>
            <w:tcW w:w="0" w:type="dxa"/>
            <w:vAlign w:val="center"/>
          </w:tcPr>
          <w:p>
            <w:pPr>
              <w:spacing w:line="240" w:lineRule="auto"/>
              <w:jc w:val="right"/>
            </w:pPr>
            <w:r>
              <w:rPr>
                <w:rFonts w:ascii="宋体" w:hAnsi="宋体" w:eastAsia="宋体" w:cs="宋体"/>
                <w:b w:val="0"/>
              </w:rPr>
              <w:t>91.16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固定收益投资</w:t>
            </w:r>
          </w:p>
        </w:tc>
        <w:tc>
          <w:tcPr>
            <w:tcW w:w="0" w:type="dxa"/>
            <w:vAlign w:val="center"/>
          </w:tcPr>
          <w:p>
            <w:pPr>
              <w:spacing w:line="240" w:lineRule="auto"/>
              <w:jc w:val="right"/>
            </w:pPr>
            <w:r>
              <w:rPr>
                <w:rFonts w:ascii="宋体" w:hAnsi="宋体" w:eastAsia="宋体" w:cs="宋体"/>
                <w:b w:val="0"/>
              </w:rPr>
              <w:t>2,911,940.85</w:t>
            </w:r>
          </w:p>
        </w:tc>
        <w:tc>
          <w:tcPr>
            <w:tcW w:w="0" w:type="dxa"/>
            <w:vAlign w:val="center"/>
          </w:tcPr>
          <w:p>
            <w:pPr>
              <w:spacing w:line="240" w:lineRule="auto"/>
              <w:jc w:val="right"/>
            </w:pPr>
            <w:r>
              <w:rPr>
                <w:rFonts w:ascii="宋体" w:hAnsi="宋体" w:eastAsia="宋体" w:cs="宋体"/>
                <w:b w:val="0"/>
              </w:rPr>
              <w:t>5.49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其中：债券</w:t>
            </w:r>
          </w:p>
        </w:tc>
        <w:tc>
          <w:tcPr>
            <w:tcW w:w="0" w:type="dxa"/>
            <w:vAlign w:val="center"/>
          </w:tcPr>
          <w:p>
            <w:pPr>
              <w:spacing w:line="240" w:lineRule="auto"/>
              <w:jc w:val="right"/>
            </w:pPr>
            <w:r>
              <w:rPr>
                <w:rFonts w:ascii="宋体" w:hAnsi="宋体" w:eastAsia="宋体" w:cs="宋体"/>
                <w:b w:val="0"/>
              </w:rPr>
              <w:t>2,911,940.85</w:t>
            </w:r>
          </w:p>
        </w:tc>
        <w:tc>
          <w:tcPr>
            <w:tcW w:w="0" w:type="dxa"/>
            <w:vAlign w:val="center"/>
          </w:tcPr>
          <w:p>
            <w:pPr>
              <w:spacing w:line="240" w:lineRule="auto"/>
              <w:jc w:val="right"/>
            </w:pPr>
            <w:r>
              <w:rPr>
                <w:rFonts w:ascii="宋体" w:hAnsi="宋体" w:eastAsia="宋体" w:cs="宋体"/>
                <w:b w:val="0"/>
              </w:rPr>
              <w:t>5.49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 xml:space="preserve">      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金融衍生品投资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其中：买断式回购的买入返售金融资产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银行存款和结算备付金合计</w:t>
            </w:r>
          </w:p>
        </w:tc>
        <w:tc>
          <w:tcPr>
            <w:tcW w:w="0" w:type="dxa"/>
            <w:vAlign w:val="center"/>
          </w:tcPr>
          <w:p>
            <w:pPr>
              <w:spacing w:line="240" w:lineRule="auto"/>
              <w:jc w:val="right"/>
            </w:pPr>
            <w:r>
              <w:rPr>
                <w:rFonts w:ascii="宋体" w:hAnsi="宋体" w:eastAsia="宋体" w:cs="宋体"/>
                <w:b w:val="0"/>
              </w:rPr>
              <w:t>1,660,329.78</w:t>
            </w:r>
          </w:p>
        </w:tc>
        <w:tc>
          <w:tcPr>
            <w:tcW w:w="0" w:type="dxa"/>
            <w:vAlign w:val="center"/>
          </w:tcPr>
          <w:p>
            <w:pPr>
              <w:spacing w:line="240" w:lineRule="auto"/>
              <w:jc w:val="right"/>
            </w:pPr>
            <w:r>
              <w:rPr>
                <w:rFonts w:ascii="宋体" w:hAnsi="宋体" w:eastAsia="宋体" w:cs="宋体"/>
                <w:b w:val="0"/>
              </w:rPr>
              <w:t>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其他资产</w:t>
            </w:r>
          </w:p>
        </w:tc>
        <w:tc>
          <w:tcPr>
            <w:tcW w:w="0" w:type="dxa"/>
            <w:vAlign w:val="center"/>
          </w:tcPr>
          <w:p>
            <w:pPr>
              <w:spacing w:line="240" w:lineRule="auto"/>
              <w:jc w:val="right"/>
            </w:pPr>
            <w:r>
              <w:rPr>
                <w:rFonts w:ascii="宋体" w:hAnsi="宋体" w:eastAsia="宋体" w:cs="宋体"/>
                <w:b w:val="0"/>
              </w:rPr>
              <w:t>116,756.08</w:t>
            </w:r>
          </w:p>
        </w:tc>
        <w:tc>
          <w:tcPr>
            <w:tcW w:w="0" w:type="dxa"/>
            <w:vAlign w:val="center"/>
          </w:tcPr>
          <w:p>
            <w:pPr>
              <w:spacing w:line="240" w:lineRule="auto"/>
              <w:jc w:val="right"/>
            </w:pPr>
            <w:r>
              <w:rPr>
                <w:rFonts w:ascii="宋体" w:hAnsi="宋体" w:eastAsia="宋体" w:cs="宋体"/>
                <w:b w:val="0"/>
              </w:rPr>
              <w:t>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53,041,666.14</w:t>
            </w:r>
          </w:p>
        </w:tc>
        <w:tc>
          <w:tcPr>
            <w:tcW w:w="0" w:type="dxa"/>
            <w:vAlign w:val="center"/>
          </w:tcPr>
          <w:p>
            <w:pPr>
              <w:spacing w:line="240" w:lineRule="auto"/>
              <w:jc w:val="right"/>
            </w:pPr>
            <w:r>
              <w:rPr>
                <w:rFonts w:ascii="宋体" w:hAnsi="宋体" w:eastAsia="宋体" w:cs="宋体"/>
                <w:b w:val="0"/>
              </w:rPr>
              <w:t>100.00</w:t>
            </w:r>
          </w:p>
        </w:tc>
      </w:tr>
    </w:tbl>
    <w:p>
      <w:r>
        <w:rPr>
          <w:rFonts w:ascii="宋体" w:hAnsi="宋体" w:eastAsia="宋体" w:cs="宋体"/>
          <w:b w:val="0"/>
        </w:rPr>
        <w:t>注：报告期末本基金通过港股通交易机制投资的港股公允价值合计12,419,912.43元，占基金资产净值的比例为23.48%。</w:t>
      </w:r>
    </w:p>
    <w:p/>
    <w:p>
      <w:pPr>
        <w:pStyle w:val="3"/>
        <w:jc w:val="left"/>
      </w:pPr>
      <w:r>
        <w:rPr>
          <w:rFonts w:ascii="宋体" w:hAnsi="宋体" w:eastAsia="宋体" w:cs="宋体"/>
        </w:rPr>
        <w:t>5.2 报告期末按行业分类的股票投资组合</w:t>
      </w:r>
    </w:p>
    <w:p>
      <w:pPr>
        <w:pStyle w:val="58"/>
      </w:pPr>
      <w:r>
        <w:rPr>
          <w:rStyle w:val="30"/>
          <w:rFonts w:ascii="宋体" w:hAnsi="宋体" w:eastAsia="宋体" w:cs="宋体"/>
          <w:b/>
        </w:rPr>
        <w:t>5.2.1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3095"/>
        <w:gridCol w:w="1858"/>
        <w:gridCol w:w="3095"/>
      </w:tblGrid>
      <w:tr>
        <w:tblPrEx>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代码</w:t>
            </w:r>
          </w:p>
        </w:tc>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A</w:t>
            </w:r>
          </w:p>
        </w:tc>
        <w:tc>
          <w:tcPr>
            <w:tcW w:w="0" w:type="dxa"/>
            <w:vAlign w:val="center"/>
          </w:tcPr>
          <w:p>
            <w:pPr>
              <w:spacing w:line="240" w:lineRule="auto"/>
              <w:jc w:val="left"/>
            </w:pPr>
            <w:r>
              <w:rPr>
                <w:rFonts w:ascii="宋体" w:hAnsi="宋体" w:eastAsia="宋体" w:cs="宋体"/>
                <w:b w:val="0"/>
              </w:rPr>
              <w:t>农、林、牧、渔业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B</w:t>
            </w:r>
          </w:p>
        </w:tc>
        <w:tc>
          <w:tcPr>
            <w:tcW w:w="0" w:type="dxa"/>
            <w:vAlign w:val="center"/>
          </w:tcPr>
          <w:p>
            <w:pPr>
              <w:spacing w:line="240" w:lineRule="auto"/>
              <w:jc w:val="left"/>
            </w:pPr>
            <w:r>
              <w:rPr>
                <w:rFonts w:ascii="宋体" w:hAnsi="宋体" w:eastAsia="宋体" w:cs="宋体"/>
                <w:b w:val="0"/>
              </w:rPr>
              <w:t>采矿业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C</w:t>
            </w:r>
          </w:p>
        </w:tc>
        <w:tc>
          <w:tcPr>
            <w:tcW w:w="0" w:type="dxa"/>
            <w:vAlign w:val="center"/>
          </w:tcPr>
          <w:p>
            <w:pPr>
              <w:spacing w:line="240" w:lineRule="auto"/>
              <w:jc w:val="left"/>
            </w:pPr>
            <w:r>
              <w:rPr>
                <w:rFonts w:ascii="宋体" w:hAnsi="宋体" w:eastAsia="宋体" w:cs="宋体"/>
                <w:b w:val="0"/>
              </w:rPr>
              <w:t>制造业</w:t>
            </w:r>
          </w:p>
        </w:tc>
        <w:tc>
          <w:tcPr>
            <w:tcW w:w="0" w:type="dxa"/>
            <w:vAlign w:val="center"/>
          </w:tcPr>
          <w:p>
            <w:pPr>
              <w:spacing w:line="240" w:lineRule="auto"/>
              <w:jc w:val="right"/>
            </w:pPr>
            <w:r>
              <w:rPr>
                <w:rFonts w:ascii="宋体" w:hAnsi="宋体" w:eastAsia="宋体" w:cs="宋体"/>
                <w:b w:val="0"/>
              </w:rPr>
              <w:t>35,932,727.00</w:t>
            </w:r>
          </w:p>
        </w:tc>
        <w:tc>
          <w:tcPr>
            <w:tcW w:w="0" w:type="dxa"/>
            <w:vAlign w:val="center"/>
          </w:tcPr>
          <w:p>
            <w:pPr>
              <w:spacing w:line="240" w:lineRule="auto"/>
              <w:jc w:val="right"/>
            </w:pPr>
            <w:r>
              <w:rPr>
                <w:rFonts w:ascii="宋体" w:hAnsi="宋体" w:eastAsia="宋体" w:cs="宋体"/>
                <w:b w:val="0"/>
              </w:rPr>
              <w:t>67.92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D</w:t>
            </w:r>
          </w:p>
        </w:tc>
        <w:tc>
          <w:tcPr>
            <w:tcW w:w="0" w:type="dxa"/>
            <w:vAlign w:val="center"/>
          </w:tcPr>
          <w:p>
            <w:pPr>
              <w:spacing w:line="240" w:lineRule="auto"/>
              <w:jc w:val="left"/>
            </w:pPr>
            <w:r>
              <w:rPr>
                <w:rFonts w:ascii="宋体" w:hAnsi="宋体" w:eastAsia="宋体" w:cs="宋体"/>
                <w:b w:val="0"/>
              </w:rPr>
              <w:t>电力、热力、燃气及水生产和供应业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E</w:t>
            </w:r>
          </w:p>
        </w:tc>
        <w:tc>
          <w:tcPr>
            <w:tcW w:w="0" w:type="dxa"/>
            <w:vAlign w:val="center"/>
          </w:tcPr>
          <w:p>
            <w:pPr>
              <w:spacing w:line="240" w:lineRule="auto"/>
              <w:jc w:val="left"/>
            </w:pPr>
            <w:r>
              <w:rPr>
                <w:rFonts w:ascii="宋体" w:hAnsi="宋体" w:eastAsia="宋体" w:cs="宋体"/>
                <w:b w:val="0"/>
              </w:rPr>
              <w:t>建筑业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F</w:t>
            </w:r>
          </w:p>
        </w:tc>
        <w:tc>
          <w:tcPr>
            <w:tcW w:w="0" w:type="dxa"/>
            <w:vAlign w:val="center"/>
          </w:tcPr>
          <w:p>
            <w:pPr>
              <w:spacing w:line="240" w:lineRule="auto"/>
              <w:jc w:val="left"/>
            </w:pPr>
            <w:r>
              <w:rPr>
                <w:rFonts w:ascii="宋体" w:hAnsi="宋体" w:eastAsia="宋体" w:cs="宋体"/>
                <w:b w:val="0"/>
              </w:rPr>
              <w:t>批发和零售业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G</w:t>
            </w:r>
          </w:p>
        </w:tc>
        <w:tc>
          <w:tcPr>
            <w:tcW w:w="0" w:type="dxa"/>
            <w:vAlign w:val="center"/>
          </w:tcPr>
          <w:p>
            <w:pPr>
              <w:spacing w:line="240" w:lineRule="auto"/>
              <w:jc w:val="left"/>
            </w:pPr>
            <w:r>
              <w:rPr>
                <w:rFonts w:ascii="宋体" w:hAnsi="宋体" w:eastAsia="宋体" w:cs="宋体"/>
                <w:b w:val="0"/>
              </w:rPr>
              <w:t>交通运输、仓储和邮政业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H</w:t>
            </w:r>
          </w:p>
        </w:tc>
        <w:tc>
          <w:tcPr>
            <w:tcW w:w="0" w:type="dxa"/>
            <w:vAlign w:val="center"/>
          </w:tcPr>
          <w:p>
            <w:pPr>
              <w:spacing w:line="240" w:lineRule="auto"/>
              <w:jc w:val="left"/>
            </w:pPr>
            <w:r>
              <w:rPr>
                <w:rFonts w:ascii="宋体" w:hAnsi="宋体" w:eastAsia="宋体" w:cs="宋体"/>
                <w:b w:val="0"/>
              </w:rPr>
              <w:t>住宿和餐饮业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I</w:t>
            </w:r>
          </w:p>
        </w:tc>
        <w:tc>
          <w:tcPr>
            <w:tcW w:w="0" w:type="dxa"/>
            <w:vAlign w:val="center"/>
          </w:tcPr>
          <w:p>
            <w:pPr>
              <w:spacing w:line="240" w:lineRule="auto"/>
              <w:jc w:val="left"/>
            </w:pPr>
            <w:r>
              <w:rPr>
                <w:rFonts w:ascii="宋体" w:hAnsi="宋体" w:eastAsia="宋体" w:cs="宋体"/>
                <w:b w:val="0"/>
              </w:rPr>
              <w:t>信息传输、软件和信息技术服务业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J</w:t>
            </w:r>
          </w:p>
        </w:tc>
        <w:tc>
          <w:tcPr>
            <w:tcW w:w="0" w:type="dxa"/>
            <w:vAlign w:val="center"/>
          </w:tcPr>
          <w:p>
            <w:pPr>
              <w:spacing w:line="240" w:lineRule="auto"/>
              <w:jc w:val="left"/>
            </w:pPr>
            <w:r>
              <w:rPr>
                <w:rFonts w:ascii="宋体" w:hAnsi="宋体" w:eastAsia="宋体" w:cs="宋体"/>
                <w:b w:val="0"/>
              </w:rPr>
              <w:t>金融业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K</w:t>
            </w:r>
          </w:p>
        </w:tc>
        <w:tc>
          <w:tcPr>
            <w:tcW w:w="0" w:type="dxa"/>
            <w:vAlign w:val="center"/>
          </w:tcPr>
          <w:p>
            <w:pPr>
              <w:spacing w:line="240" w:lineRule="auto"/>
              <w:jc w:val="left"/>
            </w:pPr>
            <w:r>
              <w:rPr>
                <w:rFonts w:ascii="宋体" w:hAnsi="宋体" w:eastAsia="宋体" w:cs="宋体"/>
                <w:b w:val="0"/>
              </w:rPr>
              <w:t>房地产业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L</w:t>
            </w:r>
          </w:p>
        </w:tc>
        <w:tc>
          <w:tcPr>
            <w:tcW w:w="0" w:type="dxa"/>
            <w:vAlign w:val="center"/>
          </w:tcPr>
          <w:p>
            <w:pPr>
              <w:spacing w:line="240" w:lineRule="auto"/>
              <w:jc w:val="left"/>
            </w:pPr>
            <w:r>
              <w:rPr>
                <w:rFonts w:ascii="宋体" w:hAnsi="宋体" w:eastAsia="宋体" w:cs="宋体"/>
                <w:b w:val="0"/>
              </w:rPr>
              <w:t>租赁和商务服务业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M</w:t>
            </w:r>
          </w:p>
        </w:tc>
        <w:tc>
          <w:tcPr>
            <w:tcW w:w="0" w:type="dxa"/>
            <w:vAlign w:val="center"/>
          </w:tcPr>
          <w:p>
            <w:pPr>
              <w:spacing w:line="240" w:lineRule="auto"/>
              <w:jc w:val="left"/>
            </w:pPr>
            <w:r>
              <w:rPr>
                <w:rFonts w:ascii="宋体" w:hAnsi="宋体" w:eastAsia="宋体" w:cs="宋体"/>
                <w:b w:val="0"/>
              </w:rPr>
              <w:t>科学研究和技术服务业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N</w:t>
            </w:r>
          </w:p>
        </w:tc>
        <w:tc>
          <w:tcPr>
            <w:tcW w:w="0" w:type="dxa"/>
            <w:vAlign w:val="center"/>
          </w:tcPr>
          <w:p>
            <w:pPr>
              <w:spacing w:line="240" w:lineRule="auto"/>
              <w:jc w:val="left"/>
            </w:pPr>
            <w:r>
              <w:rPr>
                <w:rFonts w:ascii="宋体" w:hAnsi="宋体" w:eastAsia="宋体" w:cs="宋体"/>
                <w:b w:val="0"/>
              </w:rPr>
              <w:t>水利、环境和公共设施管理业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O</w:t>
            </w:r>
          </w:p>
        </w:tc>
        <w:tc>
          <w:tcPr>
            <w:tcW w:w="0" w:type="dxa"/>
            <w:vAlign w:val="center"/>
          </w:tcPr>
          <w:p>
            <w:pPr>
              <w:spacing w:line="240" w:lineRule="auto"/>
              <w:jc w:val="left"/>
            </w:pPr>
            <w:r>
              <w:rPr>
                <w:rFonts w:ascii="宋体" w:hAnsi="宋体" w:eastAsia="宋体" w:cs="宋体"/>
                <w:b w:val="0"/>
              </w:rPr>
              <w:t>居民服务、修理和其他服务业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P</w:t>
            </w:r>
          </w:p>
        </w:tc>
        <w:tc>
          <w:tcPr>
            <w:tcW w:w="0" w:type="dxa"/>
            <w:vAlign w:val="center"/>
          </w:tcPr>
          <w:p>
            <w:pPr>
              <w:spacing w:line="240" w:lineRule="auto"/>
              <w:jc w:val="left"/>
            </w:pPr>
            <w:r>
              <w:rPr>
                <w:rFonts w:ascii="宋体" w:hAnsi="宋体" w:eastAsia="宋体" w:cs="宋体"/>
                <w:b w:val="0"/>
              </w:rPr>
              <w:t>教育</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Q</w:t>
            </w:r>
          </w:p>
        </w:tc>
        <w:tc>
          <w:tcPr>
            <w:tcW w:w="0" w:type="dxa"/>
            <w:vAlign w:val="center"/>
          </w:tcPr>
          <w:p>
            <w:pPr>
              <w:spacing w:line="240" w:lineRule="auto"/>
              <w:jc w:val="left"/>
            </w:pPr>
            <w:r>
              <w:rPr>
                <w:rFonts w:ascii="宋体" w:hAnsi="宋体" w:eastAsia="宋体" w:cs="宋体"/>
                <w:b w:val="0"/>
              </w:rPr>
              <w:t>卫生和社会工作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R</w:t>
            </w:r>
          </w:p>
        </w:tc>
        <w:tc>
          <w:tcPr>
            <w:tcW w:w="0" w:type="dxa"/>
            <w:vAlign w:val="center"/>
          </w:tcPr>
          <w:p>
            <w:pPr>
              <w:spacing w:line="240" w:lineRule="auto"/>
              <w:jc w:val="left"/>
            </w:pPr>
            <w:r>
              <w:rPr>
                <w:rFonts w:ascii="宋体" w:hAnsi="宋体" w:eastAsia="宋体" w:cs="宋体"/>
                <w:b w:val="0"/>
              </w:rPr>
              <w:t>文化、体育和娱乐业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S</w:t>
            </w:r>
          </w:p>
        </w:tc>
        <w:tc>
          <w:tcPr>
            <w:tcW w:w="0" w:type="dxa"/>
            <w:vAlign w:val="center"/>
          </w:tcPr>
          <w:p>
            <w:pPr>
              <w:spacing w:line="240" w:lineRule="auto"/>
              <w:jc w:val="left"/>
            </w:pPr>
            <w:r>
              <w:rPr>
                <w:rFonts w:ascii="宋体" w:hAnsi="宋体" w:eastAsia="宋体" w:cs="宋体"/>
                <w:b w:val="0"/>
              </w:rPr>
              <w:t>综合</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35,932,727.00</w:t>
            </w:r>
          </w:p>
        </w:tc>
        <w:tc>
          <w:tcPr>
            <w:tcW w:w="0" w:type="dxa"/>
            <w:vAlign w:val="center"/>
          </w:tcPr>
          <w:p>
            <w:pPr>
              <w:spacing w:line="240" w:lineRule="auto"/>
              <w:jc w:val="right"/>
            </w:pPr>
            <w:r>
              <w:rPr>
                <w:rFonts w:ascii="宋体" w:hAnsi="宋体" w:eastAsia="宋体" w:cs="宋体"/>
                <w:b w:val="0"/>
              </w:rPr>
              <w:t>67.92</w:t>
            </w:r>
          </w:p>
        </w:tc>
      </w:tr>
    </w:tbl>
    <w:p/>
    <w:p>
      <w:pPr>
        <w:pStyle w:val="58"/>
      </w:pPr>
      <w:r>
        <w:rPr>
          <w:rStyle w:val="30"/>
          <w:rFonts w:ascii="宋体" w:hAnsi="宋体" w:eastAsia="宋体" w:cs="宋体"/>
          <w:b/>
        </w:rPr>
        <w:t>5.2.2 报告期末按行业分类的港股通投资股票投资组合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1538" w:type="pct"/>
            <w:shd w:val="clear" w:color="auto" w:fill="D9D9D9"/>
            <w:vAlign w:val="center"/>
          </w:tcPr>
          <w:p>
            <w:pPr>
              <w:spacing w:line="240" w:lineRule="auto"/>
              <w:jc w:val="center"/>
            </w:pPr>
            <w:r>
              <w:rPr>
                <w:rFonts w:ascii="宋体" w:hAnsi="宋体" w:eastAsia="宋体" w:cs="宋体"/>
                <w:b w:val="0"/>
              </w:rPr>
              <w:t>公允价值（人民币）</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日常消费品</w:t>
            </w:r>
          </w:p>
        </w:tc>
        <w:tc>
          <w:tcPr>
            <w:tcW w:w="0" w:type="dxa"/>
            <w:vAlign w:val="center"/>
          </w:tcPr>
          <w:p>
            <w:pPr>
              <w:spacing w:line="240" w:lineRule="auto"/>
              <w:jc w:val="right"/>
            </w:pPr>
            <w:r>
              <w:rPr>
                <w:rFonts w:ascii="宋体" w:hAnsi="宋体" w:eastAsia="宋体" w:cs="宋体"/>
                <w:b w:val="0"/>
              </w:rPr>
              <w:t>4,136,622.97</w:t>
            </w:r>
          </w:p>
        </w:tc>
        <w:tc>
          <w:tcPr>
            <w:tcW w:w="0" w:type="dxa"/>
            <w:vAlign w:val="center"/>
          </w:tcPr>
          <w:p>
            <w:pPr>
              <w:spacing w:line="240" w:lineRule="auto"/>
              <w:jc w:val="right"/>
            </w:pPr>
            <w:r>
              <w:rPr>
                <w:rFonts w:ascii="宋体" w:hAnsi="宋体" w:eastAsia="宋体" w:cs="宋体"/>
                <w:b w:val="0"/>
              </w:rPr>
              <w:t>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能源</w:t>
            </w:r>
          </w:p>
        </w:tc>
        <w:tc>
          <w:tcPr>
            <w:tcW w:w="0" w:type="dxa"/>
            <w:vAlign w:val="center"/>
          </w:tcPr>
          <w:p>
            <w:pPr>
              <w:spacing w:line="240" w:lineRule="auto"/>
              <w:jc w:val="right"/>
            </w:pPr>
            <w:r>
              <w:rPr>
                <w:rFonts w:ascii="宋体" w:hAnsi="宋体" w:eastAsia="宋体" w:cs="宋体"/>
                <w:b w:val="0"/>
              </w:rPr>
              <w:t>4,031,277.67</w:t>
            </w:r>
          </w:p>
        </w:tc>
        <w:tc>
          <w:tcPr>
            <w:tcW w:w="0" w:type="dxa"/>
            <w:vAlign w:val="center"/>
          </w:tcPr>
          <w:p>
            <w:pPr>
              <w:spacing w:line="240" w:lineRule="auto"/>
              <w:jc w:val="right"/>
            </w:pPr>
            <w:r>
              <w:rPr>
                <w:rFonts w:ascii="宋体" w:hAnsi="宋体" w:eastAsia="宋体" w:cs="宋体"/>
                <w:b w:val="0"/>
              </w:rPr>
              <w:t>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工业</w:t>
            </w:r>
          </w:p>
        </w:tc>
        <w:tc>
          <w:tcPr>
            <w:tcW w:w="0" w:type="dxa"/>
            <w:vAlign w:val="center"/>
          </w:tcPr>
          <w:p>
            <w:pPr>
              <w:spacing w:line="240" w:lineRule="auto"/>
              <w:jc w:val="right"/>
            </w:pPr>
            <w:r>
              <w:rPr>
                <w:rFonts w:ascii="宋体" w:hAnsi="宋体" w:eastAsia="宋体" w:cs="宋体"/>
                <w:b w:val="0"/>
              </w:rPr>
              <w:t>4,252,011.79</w:t>
            </w:r>
          </w:p>
        </w:tc>
        <w:tc>
          <w:tcPr>
            <w:tcW w:w="0" w:type="dxa"/>
            <w:vAlign w:val="center"/>
          </w:tcPr>
          <w:p>
            <w:pPr>
              <w:spacing w:line="240" w:lineRule="auto"/>
              <w:jc w:val="right"/>
            </w:pPr>
            <w:r>
              <w:rPr>
                <w:rFonts w:ascii="宋体" w:hAnsi="宋体" w:eastAsia="宋体" w:cs="宋体"/>
                <w:b w:val="0"/>
              </w:rPr>
              <w:t>8.04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12,419,912.43</w:t>
            </w:r>
          </w:p>
        </w:tc>
        <w:tc>
          <w:tcPr>
            <w:tcW w:w="0" w:type="dxa"/>
            <w:vAlign w:val="center"/>
          </w:tcPr>
          <w:p>
            <w:pPr>
              <w:spacing w:line="240" w:lineRule="auto"/>
              <w:jc w:val="right"/>
            </w:pPr>
            <w:r>
              <w:rPr>
                <w:rFonts w:ascii="宋体" w:hAnsi="宋体" w:eastAsia="宋体" w:cs="宋体"/>
                <w:b w:val="0"/>
              </w:rPr>
              <w:t>23.48</w:t>
            </w:r>
          </w:p>
        </w:tc>
      </w:tr>
    </w:tbl>
    <w:p/>
    <w:p>
      <w:pPr>
        <w:pStyle w:val="3"/>
        <w:jc w:val="left"/>
      </w:pPr>
      <w:r>
        <w:rPr>
          <w:rFonts w:ascii="宋体" w:hAnsi="宋体" w:eastAsia="宋体" w:cs="宋体"/>
        </w:rPr>
        <w:t>5.3 报告期末按公允价值占基金资产净值比例大小排序的前十名股票投资明细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615" w:type="pct"/>
            <w:shd w:val="clear" w:color="auto" w:fill="D9D9D9"/>
            <w:vAlign w:val="center"/>
          </w:tcPr>
          <w:p>
            <w:pPr>
              <w:spacing w:line="240" w:lineRule="auto"/>
              <w:jc w:val="center"/>
            </w:pPr>
            <w:r>
              <w:rPr>
                <w:rFonts w:ascii="宋体" w:hAnsi="宋体" w:eastAsia="宋体" w:cs="宋体"/>
                <w:b w:val="0"/>
              </w:rPr>
              <w:t>数量(股)</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600690</w:t>
            </w:r>
          </w:p>
        </w:tc>
        <w:tc>
          <w:tcPr>
            <w:tcW w:w="0" w:type="dxa"/>
            <w:vAlign w:val="center"/>
          </w:tcPr>
          <w:p>
            <w:pPr>
              <w:spacing w:line="240" w:lineRule="auto"/>
              <w:jc w:val="left"/>
            </w:pPr>
            <w:r>
              <w:rPr>
                <w:rFonts w:ascii="宋体" w:hAnsi="宋体" w:eastAsia="宋体" w:cs="宋体"/>
                <w:b w:val="0"/>
              </w:rPr>
              <w:t>海尔智家</w:t>
            </w:r>
          </w:p>
        </w:tc>
        <w:tc>
          <w:tcPr>
            <w:tcW w:w="0" w:type="dxa"/>
            <w:vAlign w:val="center"/>
          </w:tcPr>
          <w:p>
            <w:pPr>
              <w:spacing w:line="240" w:lineRule="auto"/>
              <w:jc w:val="right"/>
            </w:pPr>
            <w:r>
              <w:rPr>
                <w:rFonts w:ascii="宋体" w:hAnsi="宋体" w:eastAsia="宋体" w:cs="宋体"/>
                <w:b w:val="0"/>
              </w:rPr>
              <w:t>240,000</w:t>
            </w:r>
          </w:p>
        </w:tc>
        <w:tc>
          <w:tcPr>
            <w:tcW w:w="0" w:type="dxa"/>
            <w:vAlign w:val="center"/>
          </w:tcPr>
          <w:p>
            <w:pPr>
              <w:spacing w:line="240" w:lineRule="auto"/>
              <w:jc w:val="right"/>
            </w:pPr>
            <w:r>
              <w:rPr>
                <w:rFonts w:ascii="宋体" w:hAnsi="宋体" w:eastAsia="宋体" w:cs="宋体"/>
                <w:b w:val="0"/>
              </w:rPr>
              <w:t>4,900,800.00</w:t>
            </w:r>
          </w:p>
        </w:tc>
        <w:tc>
          <w:tcPr>
            <w:tcW w:w="0" w:type="dxa"/>
            <w:vAlign w:val="center"/>
          </w:tcPr>
          <w:p>
            <w:pPr>
              <w:spacing w:line="240" w:lineRule="auto"/>
              <w:jc w:val="right"/>
            </w:pPr>
            <w:r>
              <w:rPr>
                <w:rFonts w:ascii="宋体" w:hAnsi="宋体" w:eastAsia="宋体" w:cs="宋体"/>
                <w:b w:val="0"/>
              </w:rPr>
              <w:t>9.26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603129</w:t>
            </w:r>
          </w:p>
        </w:tc>
        <w:tc>
          <w:tcPr>
            <w:tcW w:w="0" w:type="dxa"/>
            <w:vAlign w:val="center"/>
          </w:tcPr>
          <w:p>
            <w:pPr>
              <w:spacing w:line="240" w:lineRule="auto"/>
              <w:jc w:val="left"/>
            </w:pPr>
            <w:r>
              <w:rPr>
                <w:rFonts w:ascii="宋体" w:hAnsi="宋体" w:eastAsia="宋体" w:cs="宋体"/>
                <w:b w:val="0"/>
              </w:rPr>
              <w:t>春风动力</w:t>
            </w:r>
          </w:p>
        </w:tc>
        <w:tc>
          <w:tcPr>
            <w:tcW w:w="0" w:type="dxa"/>
            <w:vAlign w:val="center"/>
          </w:tcPr>
          <w:p>
            <w:pPr>
              <w:spacing w:line="240" w:lineRule="auto"/>
              <w:jc w:val="right"/>
            </w:pPr>
            <w:r>
              <w:rPr>
                <w:rFonts w:ascii="宋体" w:hAnsi="宋体" w:eastAsia="宋体" w:cs="宋体"/>
                <w:b w:val="0"/>
              </w:rPr>
              <w:t>17,000</w:t>
            </w:r>
          </w:p>
        </w:tc>
        <w:tc>
          <w:tcPr>
            <w:tcW w:w="0" w:type="dxa"/>
            <w:vAlign w:val="center"/>
          </w:tcPr>
          <w:p>
            <w:pPr>
              <w:spacing w:line="240" w:lineRule="auto"/>
              <w:jc w:val="right"/>
            </w:pPr>
            <w:r>
              <w:rPr>
                <w:rFonts w:ascii="宋体" w:hAnsi="宋体" w:eastAsia="宋体" w:cs="宋体"/>
                <w:b w:val="0"/>
              </w:rPr>
              <w:t>4,880,020.00</w:t>
            </w:r>
          </w:p>
        </w:tc>
        <w:tc>
          <w:tcPr>
            <w:tcW w:w="0" w:type="dxa"/>
            <w:vAlign w:val="center"/>
          </w:tcPr>
          <w:p>
            <w:pPr>
              <w:spacing w:line="240" w:lineRule="auto"/>
              <w:jc w:val="right"/>
            </w:pPr>
            <w:r>
              <w:rPr>
                <w:rFonts w:ascii="宋体" w:hAnsi="宋体" w:eastAsia="宋体" w:cs="宋体"/>
                <w:b w:val="0"/>
              </w:rPr>
              <w:t>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000333</w:t>
            </w:r>
          </w:p>
        </w:tc>
        <w:tc>
          <w:tcPr>
            <w:tcW w:w="0" w:type="dxa"/>
            <w:vAlign w:val="center"/>
          </w:tcPr>
          <w:p>
            <w:pPr>
              <w:spacing w:line="240" w:lineRule="auto"/>
              <w:jc w:val="left"/>
            </w:pPr>
            <w:r>
              <w:rPr>
                <w:rFonts w:ascii="宋体" w:hAnsi="宋体" w:eastAsia="宋体" w:cs="宋体"/>
                <w:b w:val="0"/>
              </w:rPr>
              <w:t>美的集团</w:t>
            </w:r>
          </w:p>
        </w:tc>
        <w:tc>
          <w:tcPr>
            <w:tcW w:w="0" w:type="dxa"/>
            <w:vAlign w:val="center"/>
          </w:tcPr>
          <w:p>
            <w:pPr>
              <w:spacing w:line="240" w:lineRule="auto"/>
              <w:jc w:val="right"/>
            </w:pPr>
            <w:r>
              <w:rPr>
                <w:rFonts w:ascii="宋体" w:hAnsi="宋体" w:eastAsia="宋体" w:cs="宋体"/>
                <w:b w:val="0"/>
              </w:rPr>
              <w:t>60,000</w:t>
            </w:r>
          </w:p>
        </w:tc>
        <w:tc>
          <w:tcPr>
            <w:tcW w:w="0" w:type="dxa"/>
            <w:vAlign w:val="center"/>
          </w:tcPr>
          <w:p>
            <w:pPr>
              <w:spacing w:line="240" w:lineRule="auto"/>
              <w:jc w:val="right"/>
            </w:pPr>
            <w:r>
              <w:rPr>
                <w:rFonts w:ascii="宋体" w:hAnsi="宋体" w:eastAsia="宋体" w:cs="宋体"/>
                <w:b w:val="0"/>
              </w:rPr>
              <w:t>4,806,000.00</w:t>
            </w:r>
          </w:p>
        </w:tc>
        <w:tc>
          <w:tcPr>
            <w:tcW w:w="0" w:type="dxa"/>
            <w:vAlign w:val="center"/>
          </w:tcPr>
          <w:p>
            <w:pPr>
              <w:spacing w:line="240" w:lineRule="auto"/>
              <w:jc w:val="right"/>
            </w:pPr>
            <w:r>
              <w:rPr>
                <w:rFonts w:ascii="宋体" w:hAnsi="宋体" w:eastAsia="宋体" w:cs="宋体"/>
                <w:b w:val="0"/>
              </w:rPr>
              <w:t>9.08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300866</w:t>
            </w:r>
          </w:p>
        </w:tc>
        <w:tc>
          <w:tcPr>
            <w:tcW w:w="0" w:type="dxa"/>
            <w:vAlign w:val="center"/>
          </w:tcPr>
          <w:p>
            <w:pPr>
              <w:spacing w:line="240" w:lineRule="auto"/>
              <w:jc w:val="left"/>
            </w:pPr>
            <w:r>
              <w:rPr>
                <w:rFonts w:ascii="宋体" w:hAnsi="宋体" w:eastAsia="宋体" w:cs="宋体"/>
                <w:b w:val="0"/>
              </w:rPr>
              <w:t>安克创新</w:t>
            </w:r>
          </w:p>
        </w:tc>
        <w:tc>
          <w:tcPr>
            <w:tcW w:w="0" w:type="dxa"/>
            <w:vAlign w:val="center"/>
          </w:tcPr>
          <w:p>
            <w:pPr>
              <w:spacing w:line="240" w:lineRule="auto"/>
              <w:jc w:val="right"/>
            </w:pPr>
            <w:r>
              <w:rPr>
                <w:rFonts w:ascii="宋体" w:hAnsi="宋体" w:eastAsia="宋体" w:cs="宋体"/>
                <w:b w:val="0"/>
              </w:rPr>
              <w:t>36,900</w:t>
            </w:r>
          </w:p>
        </w:tc>
        <w:tc>
          <w:tcPr>
            <w:tcW w:w="0" w:type="dxa"/>
            <w:vAlign w:val="center"/>
          </w:tcPr>
          <w:p>
            <w:pPr>
              <w:spacing w:line="240" w:lineRule="auto"/>
              <w:jc w:val="right"/>
            </w:pPr>
            <w:r>
              <w:rPr>
                <w:rFonts w:ascii="宋体" w:hAnsi="宋体" w:eastAsia="宋体" w:cs="宋体"/>
                <w:b w:val="0"/>
              </w:rPr>
              <w:t>4,598,847.00</w:t>
            </w:r>
          </w:p>
        </w:tc>
        <w:tc>
          <w:tcPr>
            <w:tcW w:w="0" w:type="dxa"/>
            <w:vAlign w:val="center"/>
          </w:tcPr>
          <w:p>
            <w:pPr>
              <w:spacing w:line="240" w:lineRule="auto"/>
              <w:jc w:val="right"/>
            </w:pPr>
            <w:r>
              <w:rPr>
                <w:rFonts w:ascii="宋体" w:hAnsi="宋体" w:eastAsia="宋体" w:cs="宋体"/>
                <w:b w:val="0"/>
              </w:rPr>
              <w:t>8.69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688169</w:t>
            </w:r>
          </w:p>
        </w:tc>
        <w:tc>
          <w:tcPr>
            <w:tcW w:w="0" w:type="dxa"/>
            <w:vAlign w:val="center"/>
          </w:tcPr>
          <w:p>
            <w:pPr>
              <w:spacing w:line="240" w:lineRule="auto"/>
              <w:jc w:val="left"/>
            </w:pPr>
            <w:r>
              <w:rPr>
                <w:rFonts w:ascii="宋体" w:hAnsi="宋体" w:eastAsia="宋体" w:cs="宋体"/>
                <w:b w:val="0"/>
              </w:rPr>
              <w:t>石头科技</w:t>
            </w:r>
          </w:p>
        </w:tc>
        <w:tc>
          <w:tcPr>
            <w:tcW w:w="0" w:type="dxa"/>
            <w:vAlign w:val="center"/>
          </w:tcPr>
          <w:p>
            <w:pPr>
              <w:spacing w:line="240" w:lineRule="auto"/>
              <w:jc w:val="right"/>
            </w:pPr>
            <w:r>
              <w:rPr>
                <w:rFonts w:ascii="宋体" w:hAnsi="宋体" w:eastAsia="宋体" w:cs="宋体"/>
                <w:b w:val="0"/>
              </w:rPr>
              <w:t>36,100</w:t>
            </w:r>
          </w:p>
        </w:tc>
        <w:tc>
          <w:tcPr>
            <w:tcW w:w="0" w:type="dxa"/>
            <w:vAlign w:val="center"/>
          </w:tcPr>
          <w:p>
            <w:pPr>
              <w:spacing w:line="240" w:lineRule="auto"/>
              <w:jc w:val="right"/>
            </w:pPr>
            <w:r>
              <w:rPr>
                <w:rFonts w:ascii="宋体" w:hAnsi="宋体" w:eastAsia="宋体" w:cs="宋体"/>
                <w:b w:val="0"/>
              </w:rPr>
              <w:t>4,287,236.00</w:t>
            </w:r>
          </w:p>
        </w:tc>
        <w:tc>
          <w:tcPr>
            <w:tcW w:w="0" w:type="dxa"/>
            <w:vAlign w:val="center"/>
          </w:tcPr>
          <w:p>
            <w:pPr>
              <w:spacing w:line="240" w:lineRule="auto"/>
              <w:jc w:val="right"/>
            </w:pPr>
            <w:r>
              <w:rPr>
                <w:rFonts w:ascii="宋体" w:hAnsi="宋体" w:eastAsia="宋体" w:cs="宋体"/>
                <w:b w:val="0"/>
              </w:rPr>
              <w:t>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00038</w:t>
            </w:r>
          </w:p>
        </w:tc>
        <w:tc>
          <w:tcPr>
            <w:tcW w:w="0" w:type="dxa"/>
            <w:vAlign w:val="center"/>
          </w:tcPr>
          <w:p>
            <w:pPr>
              <w:spacing w:line="240" w:lineRule="auto"/>
              <w:jc w:val="left"/>
            </w:pPr>
            <w:r>
              <w:rPr>
                <w:rFonts w:ascii="宋体" w:hAnsi="宋体" w:eastAsia="宋体" w:cs="宋体"/>
                <w:b w:val="0"/>
              </w:rPr>
              <w:t>第一拖拉机股份</w:t>
            </w:r>
          </w:p>
        </w:tc>
        <w:tc>
          <w:tcPr>
            <w:tcW w:w="0" w:type="dxa"/>
            <w:vAlign w:val="center"/>
          </w:tcPr>
          <w:p>
            <w:pPr>
              <w:spacing w:line="240" w:lineRule="auto"/>
              <w:jc w:val="right"/>
            </w:pPr>
            <w:r>
              <w:rPr>
                <w:rFonts w:ascii="宋体" w:hAnsi="宋体" w:eastAsia="宋体" w:cs="宋体"/>
                <w:b w:val="0"/>
              </w:rPr>
              <w:t>570,000</w:t>
            </w:r>
          </w:p>
        </w:tc>
        <w:tc>
          <w:tcPr>
            <w:tcW w:w="0" w:type="dxa"/>
            <w:vAlign w:val="center"/>
          </w:tcPr>
          <w:p>
            <w:pPr>
              <w:spacing w:line="240" w:lineRule="auto"/>
              <w:jc w:val="right"/>
            </w:pPr>
            <w:r>
              <w:rPr>
                <w:rFonts w:ascii="宋体" w:hAnsi="宋体" w:eastAsia="宋体" w:cs="宋体"/>
                <w:b w:val="0"/>
              </w:rPr>
              <w:t>4,252,011.79</w:t>
            </w:r>
          </w:p>
        </w:tc>
        <w:tc>
          <w:tcPr>
            <w:tcW w:w="0" w:type="dxa"/>
            <w:vAlign w:val="center"/>
          </w:tcPr>
          <w:p>
            <w:pPr>
              <w:spacing w:line="240" w:lineRule="auto"/>
              <w:jc w:val="right"/>
            </w:pPr>
            <w:r>
              <w:rPr>
                <w:rFonts w:ascii="宋体" w:hAnsi="宋体" w:eastAsia="宋体" w:cs="宋体"/>
                <w:b w:val="0"/>
              </w:rPr>
              <w:t>8.04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601058</w:t>
            </w:r>
          </w:p>
        </w:tc>
        <w:tc>
          <w:tcPr>
            <w:tcW w:w="0" w:type="dxa"/>
            <w:vAlign w:val="center"/>
          </w:tcPr>
          <w:p>
            <w:pPr>
              <w:spacing w:line="240" w:lineRule="auto"/>
              <w:jc w:val="left"/>
            </w:pPr>
            <w:r>
              <w:rPr>
                <w:rFonts w:ascii="宋体" w:hAnsi="宋体" w:eastAsia="宋体" w:cs="宋体"/>
                <w:b w:val="0"/>
              </w:rPr>
              <w:t>赛轮轮胎</w:t>
            </w:r>
          </w:p>
        </w:tc>
        <w:tc>
          <w:tcPr>
            <w:tcW w:w="0" w:type="dxa"/>
            <w:vAlign w:val="center"/>
          </w:tcPr>
          <w:p>
            <w:pPr>
              <w:spacing w:line="240" w:lineRule="auto"/>
              <w:jc w:val="right"/>
            </w:pPr>
            <w:r>
              <w:rPr>
                <w:rFonts w:ascii="宋体" w:hAnsi="宋体" w:eastAsia="宋体" w:cs="宋体"/>
                <w:b w:val="0"/>
              </w:rPr>
              <w:t>319,000</w:t>
            </w:r>
          </w:p>
        </w:tc>
        <w:tc>
          <w:tcPr>
            <w:tcW w:w="0" w:type="dxa"/>
            <w:vAlign w:val="center"/>
          </w:tcPr>
          <w:p>
            <w:pPr>
              <w:spacing w:line="240" w:lineRule="auto"/>
              <w:jc w:val="right"/>
            </w:pPr>
            <w:r>
              <w:rPr>
                <w:rFonts w:ascii="宋体" w:hAnsi="宋体" w:eastAsia="宋体" w:cs="宋体"/>
                <w:b w:val="0"/>
              </w:rPr>
              <w:t>4,223,560.00</w:t>
            </w:r>
          </w:p>
        </w:tc>
        <w:tc>
          <w:tcPr>
            <w:tcW w:w="0" w:type="dxa"/>
            <w:vAlign w:val="center"/>
          </w:tcPr>
          <w:p>
            <w:pPr>
              <w:spacing w:line="240" w:lineRule="auto"/>
              <w:jc w:val="right"/>
            </w:pPr>
            <w:r>
              <w:rPr>
                <w:rFonts w:ascii="宋体" w:hAnsi="宋体" w:eastAsia="宋体" w:cs="宋体"/>
                <w:b w:val="0"/>
              </w:rPr>
              <w:t>7.98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603338</w:t>
            </w:r>
          </w:p>
        </w:tc>
        <w:tc>
          <w:tcPr>
            <w:tcW w:w="0" w:type="dxa"/>
            <w:vAlign w:val="center"/>
          </w:tcPr>
          <w:p>
            <w:pPr>
              <w:spacing w:line="240" w:lineRule="auto"/>
              <w:jc w:val="left"/>
            </w:pPr>
            <w:r>
              <w:rPr>
                <w:rFonts w:ascii="宋体" w:hAnsi="宋体" w:eastAsia="宋体" w:cs="宋体"/>
                <w:b w:val="0"/>
              </w:rPr>
              <w:t>浙江鼎力</w:t>
            </w:r>
          </w:p>
        </w:tc>
        <w:tc>
          <w:tcPr>
            <w:tcW w:w="0" w:type="dxa"/>
            <w:vAlign w:val="center"/>
          </w:tcPr>
          <w:p>
            <w:pPr>
              <w:spacing w:line="240" w:lineRule="auto"/>
              <w:jc w:val="right"/>
            </w:pPr>
            <w:r>
              <w:rPr>
                <w:rFonts w:ascii="宋体" w:hAnsi="宋体" w:eastAsia="宋体" w:cs="宋体"/>
                <w:b w:val="0"/>
              </w:rPr>
              <w:t>78,400</w:t>
            </w:r>
          </w:p>
        </w:tc>
        <w:tc>
          <w:tcPr>
            <w:tcW w:w="0" w:type="dxa"/>
            <w:vAlign w:val="center"/>
          </w:tcPr>
          <w:p>
            <w:pPr>
              <w:spacing w:line="240" w:lineRule="auto"/>
              <w:jc w:val="right"/>
            </w:pPr>
            <w:r>
              <w:rPr>
                <w:rFonts w:ascii="宋体" w:hAnsi="宋体" w:eastAsia="宋体" w:cs="宋体"/>
                <w:b w:val="0"/>
              </w:rPr>
              <w:t>4,183,424.00</w:t>
            </w:r>
          </w:p>
        </w:tc>
        <w:tc>
          <w:tcPr>
            <w:tcW w:w="0" w:type="dxa"/>
            <w:vAlign w:val="center"/>
          </w:tcPr>
          <w:p>
            <w:pPr>
              <w:spacing w:line="240" w:lineRule="auto"/>
              <w:jc w:val="right"/>
            </w:pPr>
            <w:r>
              <w:rPr>
                <w:rFonts w:ascii="宋体" w:hAnsi="宋体" w:eastAsia="宋体" w:cs="宋体"/>
                <w:b w:val="0"/>
              </w:rPr>
              <w:t>7.91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02698</w:t>
            </w:r>
          </w:p>
        </w:tc>
        <w:tc>
          <w:tcPr>
            <w:tcW w:w="0" w:type="dxa"/>
            <w:vAlign w:val="center"/>
          </w:tcPr>
          <w:p>
            <w:pPr>
              <w:spacing w:line="240" w:lineRule="auto"/>
              <w:jc w:val="left"/>
            </w:pPr>
            <w:r>
              <w:rPr>
                <w:rFonts w:ascii="宋体" w:hAnsi="宋体" w:eastAsia="宋体" w:cs="宋体"/>
                <w:b w:val="0"/>
              </w:rPr>
              <w:t>乐舒适</w:t>
            </w:r>
          </w:p>
        </w:tc>
        <w:tc>
          <w:tcPr>
            <w:tcW w:w="0" w:type="dxa"/>
            <w:vAlign w:val="center"/>
          </w:tcPr>
          <w:p>
            <w:pPr>
              <w:spacing w:line="240" w:lineRule="auto"/>
              <w:jc w:val="right"/>
            </w:pPr>
            <w:r>
              <w:rPr>
                <w:rFonts w:ascii="宋体" w:hAnsi="宋体" w:eastAsia="宋体" w:cs="宋体"/>
                <w:b w:val="0"/>
              </w:rPr>
              <w:t>176,000</w:t>
            </w:r>
          </w:p>
        </w:tc>
        <w:tc>
          <w:tcPr>
            <w:tcW w:w="0" w:type="dxa"/>
            <w:vAlign w:val="center"/>
          </w:tcPr>
          <w:p>
            <w:pPr>
              <w:spacing w:line="240" w:lineRule="auto"/>
              <w:jc w:val="right"/>
            </w:pPr>
            <w:r>
              <w:rPr>
                <w:rFonts w:ascii="宋体" w:hAnsi="宋体" w:eastAsia="宋体" w:cs="宋体"/>
                <w:b w:val="0"/>
              </w:rPr>
              <w:t>4,136,622.97</w:t>
            </w:r>
          </w:p>
        </w:tc>
        <w:tc>
          <w:tcPr>
            <w:tcW w:w="0" w:type="dxa"/>
            <w:vAlign w:val="center"/>
          </w:tcPr>
          <w:p>
            <w:pPr>
              <w:spacing w:line="240" w:lineRule="auto"/>
              <w:jc w:val="right"/>
            </w:pPr>
            <w:r>
              <w:rPr>
                <w:rFonts w:ascii="宋体" w:hAnsi="宋体" w:eastAsia="宋体" w:cs="宋体"/>
                <w:b w:val="0"/>
              </w:rPr>
              <w:t>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002444</w:t>
            </w:r>
          </w:p>
        </w:tc>
        <w:tc>
          <w:tcPr>
            <w:tcW w:w="0" w:type="dxa"/>
            <w:vAlign w:val="center"/>
          </w:tcPr>
          <w:p>
            <w:pPr>
              <w:spacing w:line="240" w:lineRule="auto"/>
              <w:jc w:val="left"/>
            </w:pPr>
            <w:r>
              <w:rPr>
                <w:rFonts w:ascii="宋体" w:hAnsi="宋体" w:eastAsia="宋体" w:cs="宋体"/>
                <w:b w:val="0"/>
              </w:rPr>
              <w:t>巨星科技</w:t>
            </w:r>
          </w:p>
        </w:tc>
        <w:tc>
          <w:tcPr>
            <w:tcW w:w="0" w:type="dxa"/>
            <w:vAlign w:val="center"/>
          </w:tcPr>
          <w:p>
            <w:pPr>
              <w:spacing w:line="240" w:lineRule="auto"/>
              <w:jc w:val="right"/>
            </w:pPr>
            <w:r>
              <w:rPr>
                <w:rFonts w:ascii="宋体" w:hAnsi="宋体" w:eastAsia="宋体" w:cs="宋体"/>
                <w:b w:val="0"/>
              </w:rPr>
              <w:t>151,000</w:t>
            </w:r>
          </w:p>
        </w:tc>
        <w:tc>
          <w:tcPr>
            <w:tcW w:w="0" w:type="dxa"/>
            <w:vAlign w:val="center"/>
          </w:tcPr>
          <w:p>
            <w:pPr>
              <w:spacing w:line="240" w:lineRule="auto"/>
              <w:jc w:val="right"/>
            </w:pPr>
            <w:r>
              <w:rPr>
                <w:rFonts w:ascii="宋体" w:hAnsi="宋体" w:eastAsia="宋体" w:cs="宋体"/>
                <w:b w:val="0"/>
              </w:rPr>
              <w:t>4,052,840.00</w:t>
            </w:r>
          </w:p>
        </w:tc>
        <w:tc>
          <w:tcPr>
            <w:tcW w:w="0" w:type="dxa"/>
            <w:vAlign w:val="center"/>
          </w:tcPr>
          <w:p>
            <w:pPr>
              <w:spacing w:line="240" w:lineRule="auto"/>
              <w:jc w:val="right"/>
            </w:pPr>
            <w:r>
              <w:rPr>
                <w:rFonts w:ascii="宋体" w:hAnsi="宋体" w:eastAsia="宋体" w:cs="宋体"/>
                <w:b w:val="0"/>
              </w:rPr>
              <w:t>7.66</w:t>
            </w:r>
          </w:p>
        </w:tc>
      </w:tr>
    </w:tbl>
    <w:p/>
    <w:p>
      <w:pPr>
        <w:pStyle w:val="3"/>
        <w:jc w:val="left"/>
      </w:pPr>
      <w:r>
        <w:rPr>
          <w:rFonts w:ascii="宋体" w:hAnsi="宋体" w:eastAsia="宋体" w:cs="宋体"/>
        </w:rPr>
        <w:t>5.4 报告期末按债券品种分类的债券投资组合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3571"/>
        <w:gridCol w:w="1786"/>
        <w:gridCol w:w="2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债券品种</w:t>
            </w:r>
          </w:p>
        </w:tc>
        <w:tc>
          <w:tcPr>
            <w:tcW w:w="769" w:type="pct"/>
            <w:shd w:val="clear" w:color="auto" w:fill="D9D9D9"/>
            <w:vAlign w:val="center"/>
          </w:tcPr>
          <w:p>
            <w:pPr>
              <w:spacing w:line="240" w:lineRule="auto"/>
              <w:jc w:val="center"/>
            </w:pPr>
            <w:r>
              <w:rPr>
                <w:rFonts w:ascii="宋体" w:hAnsi="宋体" w:eastAsia="宋体" w:cs="宋体"/>
                <w:b w:val="0"/>
              </w:rPr>
              <w:t>公允价值(元)</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国家债券</w:t>
            </w:r>
          </w:p>
        </w:tc>
        <w:tc>
          <w:tcPr>
            <w:tcW w:w="0" w:type="dxa"/>
            <w:vAlign w:val="center"/>
          </w:tcPr>
          <w:p>
            <w:pPr>
              <w:spacing w:line="240" w:lineRule="auto"/>
              <w:jc w:val="right"/>
            </w:pPr>
            <w:r>
              <w:rPr>
                <w:rFonts w:ascii="宋体" w:hAnsi="宋体" w:eastAsia="宋体" w:cs="宋体"/>
                <w:b w:val="0"/>
              </w:rPr>
              <w:t>2,911,940.85</w:t>
            </w:r>
          </w:p>
        </w:tc>
        <w:tc>
          <w:tcPr>
            <w:tcW w:w="0" w:type="dxa"/>
            <w:vAlign w:val="center"/>
          </w:tcPr>
          <w:p>
            <w:pPr>
              <w:spacing w:line="240" w:lineRule="auto"/>
              <w:jc w:val="right"/>
            </w:pPr>
            <w:r>
              <w:rPr>
                <w:rFonts w:ascii="宋体" w:hAnsi="宋体" w:eastAsia="宋体" w:cs="宋体"/>
                <w:b w:val="0"/>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央行票据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金融债券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其中：政策性金融债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企业债券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企业短期融资券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中期票据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可转债（可交换债）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同业存单</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2,911,940.85</w:t>
            </w:r>
          </w:p>
        </w:tc>
        <w:tc>
          <w:tcPr>
            <w:tcW w:w="0" w:type="dxa"/>
            <w:vAlign w:val="center"/>
          </w:tcPr>
          <w:p>
            <w:pPr>
              <w:spacing w:line="240" w:lineRule="auto"/>
              <w:jc w:val="right"/>
            </w:pPr>
            <w:r>
              <w:rPr>
                <w:rFonts w:ascii="宋体" w:hAnsi="宋体" w:eastAsia="宋体" w:cs="宋体"/>
                <w:b w:val="0"/>
              </w:rPr>
              <w:t>5.50</w:t>
            </w:r>
          </w:p>
        </w:tc>
      </w:tr>
    </w:tbl>
    <w:p/>
    <w:p>
      <w:pPr>
        <w:pStyle w:val="3"/>
        <w:jc w:val="left"/>
      </w:pPr>
      <w:r>
        <w:rPr>
          <w:rFonts w:ascii="宋体" w:hAnsi="宋体" w:eastAsia="宋体" w:cs="宋体"/>
        </w:rPr>
        <w:t>5.5 报告期末按公允价值占基金资产净值比例大小排序的前五名债券投资明细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债券代码</w:t>
            </w:r>
          </w:p>
        </w:tc>
        <w:tc>
          <w:tcPr>
            <w:tcW w:w="769" w:type="pct"/>
            <w:shd w:val="clear" w:color="auto" w:fill="D9D9D9"/>
            <w:vAlign w:val="center"/>
          </w:tcPr>
          <w:p>
            <w:pPr>
              <w:spacing w:line="240" w:lineRule="auto"/>
              <w:jc w:val="center"/>
            </w:pPr>
            <w:r>
              <w:rPr>
                <w:rFonts w:ascii="宋体" w:hAnsi="宋体" w:eastAsia="宋体" w:cs="宋体"/>
                <w:b w:val="0"/>
              </w:rPr>
              <w:t>债券名称</w:t>
            </w:r>
          </w:p>
        </w:tc>
        <w:tc>
          <w:tcPr>
            <w:tcW w:w="615" w:type="pct"/>
            <w:shd w:val="clear" w:color="auto" w:fill="D9D9D9"/>
            <w:vAlign w:val="center"/>
          </w:tcPr>
          <w:p>
            <w:pPr>
              <w:spacing w:line="240" w:lineRule="auto"/>
              <w:jc w:val="center"/>
            </w:pPr>
            <w:r>
              <w:rPr>
                <w:rFonts w:ascii="宋体" w:hAnsi="宋体" w:eastAsia="宋体" w:cs="宋体"/>
                <w:b w:val="0"/>
              </w:rPr>
              <w:t>数量(张)</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019835</w:t>
            </w:r>
          </w:p>
        </w:tc>
        <w:tc>
          <w:tcPr>
            <w:tcW w:w="0" w:type="dxa"/>
            <w:vAlign w:val="center"/>
          </w:tcPr>
          <w:p>
            <w:pPr>
              <w:spacing w:line="240" w:lineRule="auto"/>
              <w:jc w:val="left"/>
            </w:pPr>
            <w:r>
              <w:rPr>
                <w:rFonts w:ascii="宋体" w:hAnsi="宋体" w:eastAsia="宋体" w:cs="宋体"/>
                <w:b w:val="0"/>
              </w:rPr>
              <w:t>26国债09</w:t>
            </w:r>
          </w:p>
        </w:tc>
        <w:tc>
          <w:tcPr>
            <w:tcW w:w="0" w:type="dxa"/>
            <w:vAlign w:val="center"/>
          </w:tcPr>
          <w:p>
            <w:pPr>
              <w:spacing w:line="240" w:lineRule="auto"/>
              <w:jc w:val="right"/>
            </w:pPr>
            <w:r>
              <w:rPr>
                <w:rFonts w:ascii="宋体" w:hAnsi="宋体" w:eastAsia="宋体" w:cs="宋体"/>
                <w:b w:val="0"/>
              </w:rPr>
              <w:t>29,000</w:t>
            </w:r>
          </w:p>
        </w:tc>
        <w:tc>
          <w:tcPr>
            <w:tcW w:w="0" w:type="dxa"/>
            <w:vAlign w:val="center"/>
          </w:tcPr>
          <w:p>
            <w:pPr>
              <w:spacing w:line="240" w:lineRule="auto"/>
              <w:jc w:val="right"/>
            </w:pPr>
            <w:r>
              <w:rPr>
                <w:rFonts w:ascii="宋体" w:hAnsi="宋体" w:eastAsia="宋体" w:cs="宋体"/>
                <w:b w:val="0"/>
              </w:rPr>
              <w:t>2,911,940.85</w:t>
            </w:r>
          </w:p>
        </w:tc>
        <w:tc>
          <w:tcPr>
            <w:tcW w:w="0" w:type="dxa"/>
            <w:vAlign w:val="center"/>
          </w:tcPr>
          <w:p>
            <w:pPr>
              <w:spacing w:line="240" w:lineRule="auto"/>
              <w:jc w:val="right"/>
            </w:pPr>
            <w:r>
              <w:rPr>
                <w:rFonts w:ascii="宋体" w:hAnsi="宋体" w:eastAsia="宋体" w:cs="宋体"/>
                <w:b w:val="0"/>
              </w:rPr>
              <w:t>5.50</w:t>
            </w:r>
          </w:p>
        </w:tc>
      </w:tr>
    </w:tbl>
    <w:p>
      <w:r>
        <w:rPr>
          <w:rFonts w:ascii="宋体" w:hAnsi="宋体" w:eastAsia="宋体" w:cs="宋体"/>
          <w:b w:val="0"/>
        </w:rPr>
        <w:t>注：本基金本报告期末仅持有上述债券。</w:t>
      </w:r>
    </w:p>
    <w:p/>
    <w:p>
      <w:pPr>
        <w:pStyle w:val="3"/>
        <w:jc w:val="left"/>
      </w:pPr>
      <w:r>
        <w:rPr>
          <w:rFonts w:ascii="宋体" w:hAnsi="宋体" w:eastAsia="宋体" w:cs="宋体"/>
        </w:rPr>
        <w:t>5.6 报告期末按公允价值占基金资产净值比例大小排序的前十名资产支持证券投资明细</w:t>
      </w:r>
    </w:p>
    <w:p>
      <w:r>
        <w:rPr>
          <w:rFonts w:ascii="宋体" w:hAnsi="宋体" w:eastAsia="宋体" w:cs="宋体"/>
          <w:b w:val="0"/>
        </w:rPr>
        <w:t xml:space="preserve">    本基金本报告期末未持有资产支持证券。</w:t>
      </w:r>
    </w:p>
    <w:p/>
    <w:p>
      <w:pPr>
        <w:pStyle w:val="3"/>
        <w:jc w:val="left"/>
      </w:pPr>
      <w:r>
        <w:rPr>
          <w:rFonts w:ascii="宋体" w:hAnsi="宋体" w:eastAsia="宋体" w:cs="宋体"/>
        </w:rPr>
        <w:t>5.7 报告期末按公允价值占基金资产净值比例大小排序的前五名贵金属投资明细</w:t>
      </w:r>
    </w:p>
    <w:p>
      <w:r>
        <w:rPr>
          <w:rFonts w:ascii="宋体" w:hAnsi="宋体" w:eastAsia="宋体" w:cs="宋体"/>
          <w:b w:val="0"/>
        </w:rPr>
        <w:t xml:space="preserve">    本基金本报告期末未持有贵金属。</w:t>
      </w:r>
    </w:p>
    <w:p/>
    <w:p>
      <w:pPr>
        <w:pStyle w:val="3"/>
        <w:jc w:val="left"/>
      </w:pPr>
      <w:r>
        <w:rPr>
          <w:rFonts w:ascii="宋体" w:hAnsi="宋体" w:eastAsia="宋体" w:cs="宋体"/>
        </w:rPr>
        <w:t>5.8 报告期末按公允价值占基金资产净值比例大小排序的前五名权证投资明细</w:t>
      </w:r>
    </w:p>
    <w:p>
      <w:r>
        <w:rPr>
          <w:rFonts w:ascii="宋体" w:hAnsi="宋体" w:eastAsia="宋体" w:cs="宋体"/>
          <w:b w:val="0"/>
        </w:rPr>
        <w:t xml:space="preserve">    本基金本报告期末未持有权证。</w:t>
      </w:r>
    </w:p>
    <w:p/>
    <w:p>
      <w:pPr>
        <w:pStyle w:val="3"/>
        <w:jc w:val="left"/>
      </w:pPr>
      <w:r>
        <w:rPr>
          <w:rFonts w:ascii="宋体" w:hAnsi="宋体" w:eastAsia="宋体" w:cs="宋体"/>
        </w:rPr>
        <w:t>5.9 报告期末本基金投资的股指期货交易情况说明</w:t>
      </w:r>
    </w:p>
    <w:p>
      <w:r>
        <w:rPr>
          <w:rFonts w:ascii="宋体" w:hAnsi="宋体" w:eastAsia="宋体" w:cs="宋体"/>
          <w:b w:val="0"/>
        </w:rPr>
        <w:t xml:space="preserve">    本基金本报告期末未持有股指期货。</w:t>
      </w:r>
    </w:p>
    <w:p/>
    <w:p>
      <w:pPr>
        <w:pStyle w:val="3"/>
        <w:jc w:val="left"/>
      </w:pPr>
      <w:r>
        <w:rPr>
          <w:rFonts w:ascii="宋体" w:hAnsi="宋体" w:eastAsia="宋体" w:cs="宋体"/>
        </w:rPr>
        <w:t>5.10 报告期末本基金投资的国债期货交易情况说明</w:t>
      </w:r>
    </w:p>
    <w:p>
      <w:r>
        <w:rPr>
          <w:rFonts w:ascii="宋体" w:hAnsi="宋体" w:eastAsia="宋体" w:cs="宋体"/>
          <w:b w:val="0"/>
        </w:rPr>
        <w:t xml:space="preserve">    本基金本报告期末未持有国债期货。</w:t>
      </w:r>
    </w:p>
    <w:p/>
    <w:p>
      <w:pPr>
        <w:pStyle w:val="3"/>
        <w:jc w:val="left"/>
      </w:pPr>
      <w:r>
        <w:rPr>
          <w:rFonts w:ascii="宋体" w:hAnsi="宋体" w:eastAsia="宋体" w:cs="宋体"/>
        </w:rPr>
        <w:t>5.11 投资组合报告附注</w:t>
      </w:r>
    </w:p>
    <w:p>
      <w:pPr>
        <w:pStyle w:val="58"/>
      </w:pPr>
      <w:r>
        <w:rPr>
          <w:rStyle w:val="30"/>
          <w:rFonts w:ascii="宋体" w:hAnsi="宋体" w:eastAsia="宋体" w:cs="宋体"/>
          <w:b/>
        </w:rPr>
        <w:t>5.11.1 本基金投资的前十名证券的发行主体本期受到监管部门立案调查或报告编制日前一年内受到公开谴责、处罚的情形说明</w:t>
      </w:r>
    </w:p>
    <w:p>
      <w:r>
        <w:rPr>
          <w:rFonts w:ascii="宋体" w:hAnsi="宋体" w:eastAsia="宋体" w:cs="宋体"/>
          <w:b w:val="0"/>
        </w:rPr>
        <w:t xml:space="preserve">    本基金投资的前十名证券的发行主体本期未出现被监管部门立案调查，或在报告编制日前一年内受到公开谴责、处罚的情形。</w:t>
      </w:r>
    </w:p>
    <w:p/>
    <w:p>
      <w:pPr>
        <w:pStyle w:val="58"/>
      </w:pPr>
      <w:r>
        <w:rPr>
          <w:rStyle w:val="30"/>
          <w:rFonts w:ascii="宋体" w:hAnsi="宋体" w:eastAsia="宋体" w:cs="宋体"/>
          <w:b/>
        </w:rPr>
        <w:t>5.11.2 基金投资的前十名股票超出基金合同约定的备选股票库情况的说明</w:t>
      </w:r>
    </w:p>
    <w:p>
      <w:r>
        <w:rPr>
          <w:rFonts w:ascii="宋体" w:hAnsi="宋体" w:eastAsia="宋体" w:cs="宋体"/>
          <w:b w:val="0"/>
        </w:rPr>
        <w:t xml:space="preserve">    基金投资的前十名股票，均为基金合同约定备选股票库之内的股票。</w:t>
      </w:r>
    </w:p>
    <w:p/>
    <w:p>
      <w:pPr>
        <w:pStyle w:val="58"/>
      </w:pPr>
      <w:r>
        <w:rPr>
          <w:rStyle w:val="30"/>
          <w:rFonts w:ascii="宋体" w:hAnsi="宋体" w:eastAsia="宋体" w:cs="宋体"/>
          <w:b/>
        </w:rPr>
        <w:t>5.11.3 其他资产构成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4804"/>
        <w:gridCol w:w="3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2308" w:type="pct"/>
            <w:shd w:val="clear" w:color="auto" w:fill="D9D9D9"/>
            <w:vAlign w:val="center"/>
          </w:tcPr>
          <w:p>
            <w:pPr>
              <w:spacing w:line="240" w:lineRule="auto"/>
              <w:jc w:val="center"/>
            </w:pPr>
            <w:r>
              <w:rPr>
                <w:rFonts w:ascii="宋体" w:hAnsi="宋体" w:eastAsia="宋体" w:cs="宋体"/>
                <w:b w:val="0"/>
              </w:rPr>
              <w:t>名称</w:t>
            </w:r>
          </w:p>
        </w:tc>
        <w:tc>
          <w:tcPr>
            <w:tcW w:w="1538" w:type="pct"/>
            <w:shd w:val="clear" w:color="auto" w:fill="D9D9D9"/>
            <w:vAlign w:val="center"/>
          </w:tcPr>
          <w:p>
            <w:pPr>
              <w:spacing w:line="240" w:lineRule="auto"/>
              <w:jc w:val="center"/>
            </w:pPr>
            <w:r>
              <w:rPr>
                <w:rFonts w:ascii="宋体" w:hAnsi="宋体" w:eastAsia="宋体" w:cs="宋体"/>
                <w:b w:val="0"/>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应收证券清算款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114,629.26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应收利息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2,126.82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其他应收款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116,756.08</w:t>
            </w:r>
          </w:p>
        </w:tc>
      </w:tr>
    </w:tbl>
    <w:p/>
    <w:p>
      <w:pPr>
        <w:pStyle w:val="58"/>
      </w:pPr>
      <w:r>
        <w:rPr>
          <w:rStyle w:val="30"/>
          <w:rFonts w:ascii="宋体" w:hAnsi="宋体" w:eastAsia="宋体" w:cs="宋体"/>
          <w:b/>
        </w:rPr>
        <w:t>5.11.4 报告期末持有的处于转股期的可转换债券明细</w:t>
      </w:r>
    </w:p>
    <w:p>
      <w:r>
        <w:rPr>
          <w:rFonts w:ascii="宋体" w:hAnsi="宋体" w:eastAsia="宋体" w:cs="宋体"/>
          <w:b w:val="0"/>
        </w:rPr>
        <w:t xml:space="preserve">    本基金本报告期末未持有处于转股期的可转换债券。</w:t>
      </w:r>
    </w:p>
    <w:p/>
    <w:p>
      <w:pPr>
        <w:pStyle w:val="58"/>
      </w:pPr>
      <w:r>
        <w:rPr>
          <w:rStyle w:val="30"/>
          <w:rFonts w:ascii="宋体" w:hAnsi="宋体" w:eastAsia="宋体" w:cs="宋体"/>
          <w:b/>
        </w:rPr>
        <w:t>5.11.5 报告期末前十名股票中存在流通受限情况的说明</w:t>
      </w:r>
    </w:p>
    <w:p>
      <w:r>
        <w:rPr>
          <w:rFonts w:ascii="宋体" w:hAnsi="宋体" w:eastAsia="宋体" w:cs="宋体"/>
          <w:b w:val="0"/>
        </w:rPr>
        <w:t xml:space="preserve">    本基金本报告期末前十名股票中不存在流通受限的情况。</w:t>
      </w:r>
    </w:p>
    <w:p/>
    <w:p>
      <w:pPr>
        <w:pStyle w:val="58"/>
      </w:pPr>
      <w:r>
        <w:rPr>
          <w:rStyle w:val="30"/>
          <w:rFonts w:ascii="宋体" w:hAnsi="宋体" w:eastAsia="宋体" w:cs="宋体"/>
          <w:b/>
        </w:rPr>
        <w:t>5.11.6 投资组合报告附注的其他文字描述部分</w:t>
      </w:r>
    </w:p>
    <w:p>
      <w:r>
        <w:rPr>
          <w:rFonts w:ascii="宋体" w:hAnsi="宋体" w:eastAsia="宋体" w:cs="宋体"/>
          <w:b w:val="0"/>
        </w:rPr>
        <w:t xml:space="preserve">    由于四舍五入原因，分项之和与合计项之间可能存在尾差。</w:t>
      </w:r>
    </w:p>
    <w:p>
      <w:pPr>
        <w:pStyle w:val="2"/>
        <w:jc w:val="center"/>
      </w:pPr>
      <w:r>
        <w:rPr>
          <w:rFonts w:ascii="宋体" w:hAnsi="宋体" w:eastAsia="宋体" w:cs="宋体"/>
        </w:rPr>
        <w:t>§6 开放式基金份额变动</w:t>
      </w:r>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6"/>
        <w:gridCol w:w="246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center"/>
            </w:pPr>
          </w:p>
        </w:tc>
        <w:tc>
          <w:tcPr>
            <w:tcW w:w="1300" w:type="pct"/>
            <w:vAlign w:val="center"/>
          </w:tcPr>
          <w:p>
            <w:pPr>
              <w:spacing w:line="240" w:lineRule="auto"/>
              <w:jc w:val="center"/>
            </w:pPr>
            <w:r>
              <w:rPr>
                <w:rFonts w:ascii="宋体" w:hAnsi="宋体" w:eastAsia="宋体" w:cs="宋体"/>
                <w:b w:val="0"/>
              </w:rPr>
              <w:t>东方阿尔法兴科一年持有混合A</w:t>
            </w:r>
          </w:p>
        </w:tc>
        <w:tc>
          <w:tcPr>
            <w:tcW w:w="1300" w:type="pct"/>
            <w:vAlign w:val="center"/>
          </w:tcPr>
          <w:p>
            <w:pPr>
              <w:spacing w:line="240" w:lineRule="auto"/>
              <w:jc w:val="center"/>
            </w:pPr>
            <w:r>
              <w:rPr>
                <w:rFonts w:ascii="宋体" w:hAnsi="宋体" w:eastAsia="宋体" w:cs="宋体"/>
                <w:b w:val="0"/>
              </w:rPr>
              <w:t>东方阿尔法兴科一年持有混合C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报告期期初基金份额总额</w:t>
            </w:r>
          </w:p>
        </w:tc>
        <w:tc>
          <w:tcPr>
            <w:tcW w:w="1300" w:type="pct"/>
            <w:vAlign w:val="center"/>
          </w:tcPr>
          <w:p>
            <w:pPr>
              <w:spacing w:line="240" w:lineRule="auto"/>
              <w:jc w:val="right"/>
            </w:pPr>
            <w:r>
              <w:rPr>
                <w:rFonts w:ascii="宋体" w:hAnsi="宋体" w:eastAsia="宋体" w:cs="宋体"/>
                <w:b w:val="0"/>
              </w:rPr>
              <w:t>44,820,955.67</w:t>
            </w:r>
          </w:p>
        </w:tc>
        <w:tc>
          <w:tcPr>
            <w:tcW w:w="1300" w:type="pct"/>
            <w:vAlign w:val="center"/>
          </w:tcPr>
          <w:p>
            <w:pPr>
              <w:spacing w:line="240" w:lineRule="auto"/>
              <w:jc w:val="right"/>
            </w:pPr>
            <w:r>
              <w:rPr>
                <w:rFonts w:ascii="宋体" w:hAnsi="宋体" w:eastAsia="宋体" w:cs="宋体"/>
                <w:b w:val="0"/>
              </w:rPr>
              <w:t>8,367,091.82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报告期期间基金总申购份额</w:t>
            </w:r>
          </w:p>
        </w:tc>
        <w:tc>
          <w:tcPr>
            <w:tcW w:w="1300" w:type="pct"/>
            <w:vAlign w:val="center"/>
          </w:tcPr>
          <w:p>
            <w:pPr>
              <w:spacing w:line="240" w:lineRule="auto"/>
              <w:jc w:val="right"/>
            </w:pPr>
            <w:r>
              <w:rPr>
                <w:rFonts w:ascii="宋体" w:hAnsi="宋体" w:eastAsia="宋体" w:cs="宋体"/>
                <w:b w:val="0"/>
              </w:rPr>
              <w:t>778,255.66</w:t>
            </w:r>
          </w:p>
        </w:tc>
        <w:tc>
          <w:tcPr>
            <w:tcW w:w="1300" w:type="pct"/>
            <w:vAlign w:val="center"/>
          </w:tcPr>
          <w:p>
            <w:pPr>
              <w:spacing w:line="240" w:lineRule="auto"/>
              <w:jc w:val="right"/>
            </w:pPr>
            <w:r>
              <w:rPr>
                <w:rFonts w:ascii="宋体" w:hAnsi="宋体" w:eastAsia="宋体" w:cs="宋体"/>
                <w:b w:val="0"/>
              </w:rPr>
              <w:t>180,252.01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减：报告期期间基金总赎回份额</w:t>
            </w:r>
          </w:p>
        </w:tc>
        <w:tc>
          <w:tcPr>
            <w:tcW w:w="1300" w:type="pct"/>
            <w:vAlign w:val="center"/>
          </w:tcPr>
          <w:p>
            <w:pPr>
              <w:spacing w:line="240" w:lineRule="auto"/>
              <w:jc w:val="right"/>
            </w:pPr>
            <w:r>
              <w:rPr>
                <w:rFonts w:ascii="宋体" w:hAnsi="宋体" w:eastAsia="宋体" w:cs="宋体"/>
                <w:b w:val="0"/>
              </w:rPr>
              <w:t>3,501,831.90</w:t>
            </w:r>
          </w:p>
        </w:tc>
        <w:tc>
          <w:tcPr>
            <w:tcW w:w="1300" w:type="pct"/>
            <w:vAlign w:val="center"/>
          </w:tcPr>
          <w:p>
            <w:pPr>
              <w:spacing w:line="240" w:lineRule="auto"/>
              <w:jc w:val="right"/>
            </w:pPr>
            <w:r>
              <w:rPr>
                <w:rFonts w:ascii="宋体" w:hAnsi="宋体" w:eastAsia="宋体" w:cs="宋体"/>
                <w:b w:val="0"/>
              </w:rPr>
              <w:t>906,670.26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报告期期间基金拆分变动份额（份额减少以“-”填列）</w:t>
            </w:r>
          </w:p>
        </w:tc>
        <w:tc>
          <w:tcPr>
            <w:tcW w:w="1300" w:type="pct"/>
            <w:vAlign w:val="center"/>
          </w:tcPr>
          <w:p>
            <w:pPr>
              <w:spacing w:line="240" w:lineRule="auto"/>
              <w:jc w:val="right"/>
            </w:pPr>
            <w:r>
              <w:rPr>
                <w:rFonts w:ascii="宋体" w:hAnsi="宋体" w:eastAsia="宋体" w:cs="宋体"/>
                <w:b w:val="0"/>
              </w:rPr>
              <w:t>-</w:t>
            </w:r>
          </w:p>
        </w:tc>
        <w:tc>
          <w:tcPr>
            <w:tcW w:w="130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报告期期末基金份额总额</w:t>
            </w:r>
          </w:p>
        </w:tc>
        <w:tc>
          <w:tcPr>
            <w:tcW w:w="1300" w:type="pct"/>
            <w:vAlign w:val="center"/>
          </w:tcPr>
          <w:p>
            <w:pPr>
              <w:spacing w:line="240" w:lineRule="auto"/>
              <w:jc w:val="right"/>
            </w:pPr>
            <w:r>
              <w:rPr>
                <w:rFonts w:ascii="宋体" w:hAnsi="宋体" w:eastAsia="宋体" w:cs="宋体"/>
                <w:b w:val="0"/>
              </w:rPr>
              <w:t>42,097,379.43</w:t>
            </w:r>
          </w:p>
        </w:tc>
        <w:tc>
          <w:tcPr>
            <w:tcW w:w="1300" w:type="pct"/>
            <w:vAlign w:val="center"/>
          </w:tcPr>
          <w:p>
            <w:pPr>
              <w:spacing w:line="240" w:lineRule="auto"/>
              <w:jc w:val="right"/>
            </w:pPr>
            <w:r>
              <w:rPr>
                <w:rFonts w:ascii="宋体" w:hAnsi="宋体" w:eastAsia="宋体" w:cs="宋体"/>
                <w:b w:val="0"/>
              </w:rPr>
              <w:t>7,640,673.57</w:t>
            </w:r>
          </w:p>
        </w:tc>
      </w:tr>
    </w:tbl>
    <w:p>
      <w:pPr>
        <w:pStyle w:val="2"/>
        <w:spacing w:line="240" w:lineRule="auto"/>
        <w:jc w:val="center"/>
      </w:pPr>
      <w:bookmarkStart w:id="1" w:name="_GoBack"/>
      <w:r>
        <w:rPr>
          <w:rFonts w:ascii="宋体" w:hAnsi="宋体" w:eastAsia="宋体" w:cs="宋体"/>
        </w:rPr>
        <w:t>§7 基金管理人运用固有资金投资本基金情况</w:t>
      </w:r>
    </w:p>
    <w:bookmarkEnd w:id="1"/>
    <w:p>
      <w:pPr>
        <w:pStyle w:val="3"/>
        <w:jc w:val="left"/>
      </w:pPr>
      <w:r>
        <w:rPr>
          <w:rFonts w:ascii="宋体" w:hAnsi="宋体" w:eastAsia="宋体" w:cs="宋体"/>
        </w:rPr>
        <w:t>7.1 基金管理人持有本基金份额变动情况</w:t>
      </w:r>
    </w:p>
    <w:p>
      <w:r>
        <w:rPr>
          <w:rFonts w:ascii="宋体" w:hAnsi="宋体" w:eastAsia="宋体" w:cs="宋体"/>
          <w:b w:val="0"/>
        </w:rPr>
        <w:t xml:space="preserve">    截至本报告期末，本基金管理人未持有本基金份额。</w:t>
      </w:r>
    </w:p>
    <w:p/>
    <w:p>
      <w:pPr>
        <w:pStyle w:val="3"/>
        <w:jc w:val="left"/>
      </w:pPr>
      <w:r>
        <w:rPr>
          <w:rFonts w:ascii="宋体" w:hAnsi="宋体" w:eastAsia="宋体" w:cs="宋体"/>
        </w:rPr>
        <w:t>7.2 基金管理人运用固有资金投资本基金交易明细</w:t>
      </w:r>
    </w:p>
    <w:p>
      <w:r>
        <w:rPr>
          <w:rFonts w:ascii="宋体" w:hAnsi="宋体" w:eastAsia="宋体" w:cs="宋体"/>
          <w:b w:val="0"/>
        </w:rPr>
        <w:t xml:space="preserve">    本报告期内，本基金管理人未运用固有资金投资本基金。</w:t>
      </w:r>
    </w:p>
    <w:p>
      <w:pPr>
        <w:pStyle w:val="2"/>
        <w:spacing w:line="240" w:lineRule="auto"/>
        <w:jc w:val="center"/>
      </w:pPr>
      <w:r>
        <w:rPr>
          <w:rFonts w:ascii="宋体" w:hAnsi="宋体" w:eastAsia="宋体" w:cs="宋体"/>
        </w:rPr>
        <w:t>§8 影响投资者决策的其他重要信息</w:t>
      </w:r>
    </w:p>
    <w:p>
      <w:pPr>
        <w:pStyle w:val="3"/>
        <w:jc w:val="left"/>
      </w:pPr>
      <w:r>
        <w:rPr>
          <w:rFonts w:ascii="宋体" w:hAnsi="宋体" w:eastAsia="宋体" w:cs="宋体"/>
        </w:rPr>
        <w:t>8.1 报告期内单一投资者持有基金份额比例达到或超过20%的情况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2320"/>
        <w:gridCol w:w="1581"/>
        <w:gridCol w:w="1032"/>
        <w:gridCol w:w="1032"/>
        <w:gridCol w:w="1581"/>
        <w:gridCol w:w="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Merge w:val="restart"/>
            <w:shd w:val="clear" w:color="auto" w:fill="D9D9D9"/>
            <w:vAlign w:val="center"/>
          </w:tcPr>
          <w:p>
            <w:pPr>
              <w:spacing w:line="240" w:lineRule="auto"/>
              <w:jc w:val="center"/>
            </w:pPr>
            <w:r>
              <w:rPr>
                <w:rFonts w:ascii="宋体" w:hAnsi="宋体" w:eastAsia="宋体" w:cs="宋体"/>
                <w:b w:val="0"/>
              </w:rPr>
              <w:t>投资者类别</w:t>
            </w:r>
          </w:p>
        </w:tc>
        <w:tc>
          <w:tcPr>
            <w:tcW w:w="3192" w:type="pct"/>
            <w:gridSpan w:val="5"/>
            <w:shd w:val="clear" w:color="auto" w:fill="D9D9D9"/>
            <w:vAlign w:val="center"/>
          </w:tcPr>
          <w:p>
            <w:pPr>
              <w:spacing w:line="240" w:lineRule="auto"/>
              <w:jc w:val="center"/>
            </w:pPr>
            <w:r>
              <w:rPr>
                <w:rFonts w:ascii="宋体" w:hAnsi="宋体" w:eastAsia="宋体" w:cs="宋体"/>
                <w:b w:val="0"/>
              </w:rPr>
              <w:t>报告期内持有基金份额变化情况</w:t>
            </w:r>
          </w:p>
        </w:tc>
        <w:tc>
          <w:tcPr>
            <w:tcW w:w="1154" w:type="pct"/>
            <w:gridSpan w:val="2"/>
            <w:shd w:val="clear" w:color="auto" w:fill="D9D9D9"/>
            <w:vAlign w:val="center"/>
          </w:tcPr>
          <w:p>
            <w:pPr>
              <w:spacing w:line="240" w:lineRule="auto"/>
              <w:jc w:val="center"/>
            </w:pPr>
            <w:r>
              <w:rPr>
                <w:rFonts w:ascii="宋体" w:hAnsi="宋体" w:eastAsia="宋体" w:cs="宋体"/>
                <w:b w:val="0"/>
              </w:rPr>
              <w:t>报告期末持有基金情况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269" w:type="pct"/>
            <w:shd w:val="clear" w:color="auto" w:fill="D9D9D9"/>
            <w:vAlign w:val="center"/>
          </w:tcPr>
          <w:p>
            <w:pPr>
              <w:spacing w:line="240" w:lineRule="auto"/>
              <w:jc w:val="center"/>
            </w:pPr>
            <w:r>
              <w:rPr>
                <w:rFonts w:ascii="宋体" w:hAnsi="宋体" w:eastAsia="宋体" w:cs="宋体"/>
                <w:b w:val="0"/>
              </w:rPr>
              <w:t>序号</w:t>
            </w:r>
          </w:p>
        </w:tc>
        <w:tc>
          <w:tcPr>
            <w:tcW w:w="1346" w:type="pct"/>
            <w:shd w:val="clear" w:color="auto" w:fill="D9D9D9"/>
            <w:vAlign w:val="center"/>
          </w:tcPr>
          <w:p>
            <w:pPr>
              <w:spacing w:line="240" w:lineRule="auto"/>
              <w:jc w:val="center"/>
            </w:pPr>
            <w:r>
              <w:rPr>
                <w:rFonts w:ascii="宋体" w:hAnsi="宋体" w:eastAsia="宋体" w:cs="宋体"/>
                <w:b w:val="0"/>
              </w:rPr>
              <w:t>持有基金份额比例达到或者超过20%的时间区间</w:t>
            </w:r>
          </w:p>
        </w:tc>
        <w:tc>
          <w:tcPr>
            <w:tcW w:w="615" w:type="pct"/>
            <w:shd w:val="clear" w:color="auto" w:fill="D9D9D9"/>
            <w:vAlign w:val="center"/>
          </w:tcPr>
          <w:p>
            <w:pPr>
              <w:spacing w:line="240" w:lineRule="auto"/>
              <w:jc w:val="center"/>
            </w:pPr>
            <w:r>
              <w:rPr>
                <w:rFonts w:ascii="宋体" w:hAnsi="宋体" w:eastAsia="宋体" w:cs="宋体"/>
                <w:b w:val="0"/>
              </w:rPr>
              <w:t>期初份额</w:t>
            </w:r>
          </w:p>
        </w:tc>
        <w:tc>
          <w:tcPr>
            <w:tcW w:w="615" w:type="pct"/>
            <w:shd w:val="clear" w:color="auto" w:fill="D9D9D9"/>
            <w:vAlign w:val="center"/>
          </w:tcPr>
          <w:p>
            <w:pPr>
              <w:spacing w:line="240" w:lineRule="auto"/>
              <w:jc w:val="center"/>
            </w:pPr>
            <w:r>
              <w:rPr>
                <w:rFonts w:ascii="宋体" w:hAnsi="宋体" w:eastAsia="宋体" w:cs="宋体"/>
                <w:b w:val="0"/>
              </w:rPr>
              <w:t>申购份额</w:t>
            </w:r>
          </w:p>
        </w:tc>
        <w:tc>
          <w:tcPr>
            <w:tcW w:w="615" w:type="pct"/>
            <w:shd w:val="clear" w:color="auto" w:fill="D9D9D9"/>
            <w:vAlign w:val="center"/>
          </w:tcPr>
          <w:p>
            <w:pPr>
              <w:spacing w:line="240" w:lineRule="auto"/>
              <w:jc w:val="center"/>
            </w:pPr>
            <w:r>
              <w:rPr>
                <w:rFonts w:ascii="宋体" w:hAnsi="宋体" w:eastAsia="宋体" w:cs="宋体"/>
                <w:b w:val="0"/>
              </w:rPr>
              <w:t>赎回份额</w:t>
            </w:r>
          </w:p>
        </w:tc>
        <w:tc>
          <w:tcPr>
            <w:tcW w:w="615" w:type="pct"/>
            <w:shd w:val="clear" w:color="auto" w:fill="D9D9D9"/>
            <w:vAlign w:val="center"/>
          </w:tcPr>
          <w:p>
            <w:pPr>
              <w:spacing w:line="240" w:lineRule="auto"/>
              <w:jc w:val="center"/>
            </w:pPr>
            <w:r>
              <w:rPr>
                <w:rFonts w:ascii="宋体" w:hAnsi="宋体" w:eastAsia="宋体" w:cs="宋体"/>
                <w:b w:val="0"/>
              </w:rPr>
              <w:t>持有份额</w:t>
            </w:r>
          </w:p>
        </w:tc>
        <w:tc>
          <w:tcPr>
            <w:tcW w:w="538" w:type="pct"/>
            <w:shd w:val="clear" w:color="auto" w:fill="D9D9D9"/>
            <w:vAlign w:val="center"/>
          </w:tcPr>
          <w:p>
            <w:pPr>
              <w:spacing w:line="240" w:lineRule="auto"/>
              <w:jc w:val="center"/>
            </w:pPr>
            <w:r>
              <w:rPr>
                <w:rFonts w:ascii="宋体" w:hAnsi="宋体" w:eastAsia="宋体" w:cs="宋体"/>
                <w:b w:val="0"/>
              </w:rPr>
              <w:t>份额占比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center"/>
            </w:pPr>
            <w:r>
              <w:rPr>
                <w:rFonts w:ascii="宋体" w:hAnsi="宋体" w:eastAsia="宋体" w:cs="宋体"/>
                <w:b w:val="0"/>
              </w:rPr>
              <w:t>个人</w:t>
            </w:r>
          </w:p>
        </w:tc>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center"/>
            </w:pPr>
            <w:r>
              <w:rPr>
                <w:rFonts w:ascii="宋体" w:hAnsi="宋体" w:eastAsia="宋体" w:cs="宋体"/>
                <w:b w:val="0"/>
              </w:rPr>
              <w:t>2026年07月01日-2026年09月30日</w:t>
            </w:r>
          </w:p>
        </w:tc>
        <w:tc>
          <w:tcPr>
            <w:tcW w:w="0" w:type="dxa"/>
            <w:vAlign w:val="center"/>
          </w:tcPr>
          <w:p>
            <w:pPr>
              <w:spacing w:line="240" w:lineRule="auto"/>
              <w:jc w:val="right"/>
            </w:pPr>
            <w:r>
              <w:rPr>
                <w:rFonts w:ascii="宋体" w:hAnsi="宋体" w:eastAsia="宋体" w:cs="宋体"/>
                <w:b w:val="0"/>
              </w:rPr>
              <w:t>19,233,776.21</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19,233,776.21</w:t>
            </w:r>
          </w:p>
        </w:tc>
        <w:tc>
          <w:tcPr>
            <w:tcW w:w="0" w:type="dxa"/>
            <w:vAlign w:val="center"/>
          </w:tcPr>
          <w:p>
            <w:pPr>
              <w:spacing w:line="240" w:lineRule="auto"/>
              <w:jc w:val="right"/>
            </w:pPr>
            <w:r>
              <w:rPr>
                <w:rFonts w:ascii="宋体" w:hAnsi="宋体" w:eastAsia="宋体" w:cs="宋体"/>
                <w:b w:val="0"/>
              </w:rPr>
              <w:t>38.67%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center"/>
            </w:pPr>
            <w:r>
              <w:rPr>
                <w:rFonts w:ascii="宋体" w:hAnsi="宋体" w:eastAsia="宋体" w:cs="宋体"/>
                <w:b w:val="0"/>
              </w:rPr>
              <w:t>2026年07月01日-2026年09月30日</w:t>
            </w:r>
          </w:p>
        </w:tc>
        <w:tc>
          <w:tcPr>
            <w:tcW w:w="0" w:type="dxa"/>
            <w:vAlign w:val="center"/>
          </w:tcPr>
          <w:p>
            <w:pPr>
              <w:spacing w:line="240" w:lineRule="auto"/>
              <w:jc w:val="right"/>
            </w:pPr>
            <w:r>
              <w:rPr>
                <w:rFonts w:ascii="宋体" w:hAnsi="宋体" w:eastAsia="宋体" w:cs="宋体"/>
                <w:b w:val="0"/>
              </w:rPr>
              <w:t>12,278,619.18</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12,278,619.18</w:t>
            </w:r>
          </w:p>
        </w:tc>
        <w:tc>
          <w:tcPr>
            <w:tcW w:w="0" w:type="dxa"/>
            <w:vAlign w:val="center"/>
          </w:tcPr>
          <w:p>
            <w:pPr>
              <w:spacing w:line="240" w:lineRule="auto"/>
              <w:jc w:val="right"/>
            </w:pPr>
            <w:r>
              <w:rPr>
                <w:rFonts w:ascii="宋体" w:hAnsi="宋体" w:eastAsia="宋体" w:cs="宋体"/>
                <w:b w:val="0"/>
              </w:rPr>
              <w:t>24.69%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gridSpan w:val="8"/>
            <w:vAlign w:val="center"/>
          </w:tcPr>
          <w:p>
            <w:pPr>
              <w:spacing w:line="240" w:lineRule="auto"/>
              <w:jc w:val="center"/>
            </w:pPr>
            <w:r>
              <w:rPr>
                <w:rFonts w:ascii="宋体" w:hAnsi="宋体" w:eastAsia="宋体" w:cs="宋体"/>
                <w:b w:val="0"/>
              </w:rPr>
              <w:t>产品特有风险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8"/>
            <w:vAlign w:val="center"/>
          </w:tcPr>
          <w:p>
            <w:pPr>
              <w:spacing w:line="240" w:lineRule="auto"/>
              <w:jc w:val="left"/>
            </w:pPr>
            <w:r>
              <w:rPr>
                <w:rFonts w:ascii="宋体" w:hAnsi="宋体" w:eastAsia="宋体" w:cs="宋体"/>
                <w:b w:val="0"/>
              </w:rPr>
              <w:t xml:space="preserve">    基金管理人秉承谨慎勤勉、独立决策、规范运作、充分披露原则，公平对待投资者，保障投资者合法权益。当单一投资者持有基金份额比例达到或超过20%时，由此可能导致的特有风险主要包括：</w:t>
            </w:r>
            <w:r>
              <w:rPr>
                <w:rFonts w:ascii="宋体" w:hAnsi="宋体" w:eastAsia="宋体" w:cs="宋体"/>
                <w:b w:val="0"/>
              </w:rPr>
              <w:br w:type="textWrapping"/>
            </w:r>
            <w:r>
              <w:rPr>
                <w:rFonts w:ascii="宋体" w:hAnsi="宋体" w:eastAsia="宋体" w:cs="宋体"/>
                <w:b w:val="0"/>
              </w:rPr>
              <w:t xml:space="preserve">    1、本基金单一投资者所持有的基金份额占比较大，单一投资者的巨额赎回，可能导致基金管理人被迫抛售证券以应付基金赎回的现金需要，对本基金的投资运作及净值表现产生较大影响。</w:t>
            </w:r>
            <w:r>
              <w:rPr>
                <w:rFonts w:ascii="宋体" w:hAnsi="宋体" w:eastAsia="宋体" w:cs="宋体"/>
                <w:b w:val="0"/>
              </w:rPr>
              <w:br w:type="textWrapping"/>
            </w:r>
            <w:r>
              <w:rPr>
                <w:rFonts w:ascii="宋体" w:hAnsi="宋体" w:eastAsia="宋体" w:cs="宋体"/>
                <w:b w:val="0"/>
              </w:rPr>
              <w:t xml:space="preserve">    2、持有基金份额占比较高的投资者大额赎回时容易造成本基金发生巨额赎回。在发生巨额赎回情形时，在符合基金合同约定情况下，如基金管理人认为有必要，可延期办理本基金的赎回申请，投资者可能面临赎回申请被延期办理的风险；如果连续2个开放日以上（含）发生巨额赎回，基金管理人可能根据《基金合同》的约定暂停接受基金的赎回申请，对剩余投资者的赎回办理造成影响。</w:t>
            </w:r>
            <w:r>
              <w:rPr>
                <w:rFonts w:ascii="宋体" w:hAnsi="宋体" w:eastAsia="宋体" w:cs="宋体"/>
                <w:b w:val="0"/>
              </w:rPr>
              <w:br w:type="textWrapping"/>
            </w:r>
            <w:r>
              <w:rPr>
                <w:rFonts w:ascii="宋体" w:hAnsi="宋体" w:eastAsia="宋体" w:cs="宋体"/>
                <w:b w:val="0"/>
              </w:rPr>
              <w:t xml:space="preserve">    3、单一投资者巨额赎回可能导致本基金在短时间内无法变现足够的资产予以应对，可能会导致基金仓位调整困难，发生流动性风险。</w:t>
            </w:r>
            <w:r>
              <w:rPr>
                <w:rFonts w:ascii="宋体" w:hAnsi="宋体" w:eastAsia="宋体" w:cs="宋体"/>
                <w:b w:val="0"/>
              </w:rPr>
              <w:br w:type="textWrapping"/>
            </w:r>
            <w:r>
              <w:rPr>
                <w:rFonts w:ascii="宋体" w:hAnsi="宋体" w:eastAsia="宋体" w:cs="宋体"/>
                <w:b w:val="0"/>
              </w:rPr>
              <w:t xml:space="preserve">    4、持有基金份额占比较高的投资者在召开基金份额持有人大会并对重大事项进行投票表决时，可能拥有较大话语权。</w:t>
            </w:r>
            <w:r>
              <w:rPr>
                <w:rFonts w:ascii="宋体" w:hAnsi="宋体" w:eastAsia="宋体" w:cs="宋体"/>
                <w:b w:val="0"/>
              </w:rPr>
              <w:br w:type="textWrapping"/>
            </w:r>
            <w:r>
              <w:rPr>
                <w:rFonts w:ascii="宋体" w:hAnsi="宋体" w:eastAsia="宋体" w:cs="宋体"/>
                <w:b w:val="0"/>
              </w:rPr>
              <w:t xml:space="preserve">    5、超出基金管理人允许的单一投资者持有基金份额比例的申购申请不被确认的风险。</w:t>
            </w:r>
          </w:p>
        </w:tc>
      </w:tr>
    </w:tbl>
    <w:p/>
    <w:p>
      <w:pPr>
        <w:pStyle w:val="3"/>
        <w:jc w:val="left"/>
      </w:pPr>
      <w:r>
        <w:rPr>
          <w:rFonts w:ascii="宋体" w:hAnsi="宋体" w:eastAsia="宋体" w:cs="宋体"/>
        </w:rPr>
        <w:t>8.2 影响投资者决策的其他重要信息</w:t>
      </w:r>
    </w:p>
    <w:p>
      <w:r>
        <w:rPr>
          <w:rFonts w:ascii="宋体" w:hAnsi="宋体" w:eastAsia="宋体" w:cs="宋体"/>
          <w:b w:val="0"/>
        </w:rPr>
        <w:t xml:space="preserve">    无。</w:t>
      </w:r>
    </w:p>
    <w:p>
      <w:pPr>
        <w:pStyle w:val="2"/>
        <w:spacing w:line="240" w:lineRule="auto"/>
        <w:jc w:val="center"/>
      </w:pPr>
      <w:r>
        <w:rPr>
          <w:rFonts w:ascii="宋体" w:hAnsi="宋体" w:eastAsia="宋体" w:cs="宋体"/>
        </w:rPr>
        <w:t>§9 备查文件目录</w:t>
      </w:r>
    </w:p>
    <w:p>
      <w:pPr>
        <w:pStyle w:val="3"/>
        <w:jc w:val="left"/>
      </w:pPr>
      <w:r>
        <w:rPr>
          <w:rFonts w:ascii="宋体" w:hAnsi="宋体" w:eastAsia="宋体" w:cs="宋体"/>
        </w:rPr>
        <w:t>9.1 备查文件目录</w:t>
      </w:r>
    </w:p>
    <w:p>
      <w:r>
        <w:rPr>
          <w:rFonts w:ascii="宋体" w:hAnsi="宋体" w:eastAsia="宋体" w:cs="宋体"/>
          <w:b w:val="0"/>
        </w:rPr>
        <w:t xml:space="preserve">    1、中国证券监督管理委员会批准的东方阿尔法兴科一年持有期混合型证券投资基金设立的文件；</w:t>
      </w:r>
      <w:r>
        <w:rPr>
          <w:rFonts w:ascii="宋体" w:hAnsi="宋体" w:eastAsia="宋体" w:cs="宋体"/>
          <w:b w:val="0"/>
        </w:rPr>
        <w:br w:type="textWrapping"/>
      </w:r>
      <w:r>
        <w:rPr>
          <w:rFonts w:ascii="宋体" w:hAnsi="宋体" w:eastAsia="宋体" w:cs="宋体"/>
          <w:b w:val="0"/>
        </w:rPr>
        <w:t xml:space="preserve">    2、《东方阿尔法兴科一年持有期混合型证券投资基金基金合同》；</w:t>
      </w:r>
      <w:r>
        <w:rPr>
          <w:rFonts w:ascii="宋体" w:hAnsi="宋体" w:eastAsia="宋体" w:cs="宋体"/>
          <w:b w:val="0"/>
        </w:rPr>
        <w:br w:type="textWrapping"/>
      </w:r>
      <w:r>
        <w:rPr>
          <w:rFonts w:ascii="宋体" w:hAnsi="宋体" w:eastAsia="宋体" w:cs="宋体"/>
          <w:b w:val="0"/>
        </w:rPr>
        <w:t xml:space="preserve">    3、《东方阿尔法兴科一年持有期混合型证券投资基金托管协议》；</w:t>
      </w:r>
      <w:r>
        <w:rPr>
          <w:rFonts w:ascii="宋体" w:hAnsi="宋体" w:eastAsia="宋体" w:cs="宋体"/>
          <w:b w:val="0"/>
        </w:rPr>
        <w:br w:type="textWrapping"/>
      </w:r>
      <w:r>
        <w:rPr>
          <w:rFonts w:ascii="宋体" w:hAnsi="宋体" w:eastAsia="宋体" w:cs="宋体"/>
          <w:b w:val="0"/>
        </w:rPr>
        <w:t xml:space="preserve">    4、《东方阿尔法兴科一年持有期混合型证券投资基金招募说明书》（含更新）；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p>
      <w:pPr>
        <w:pStyle w:val="3"/>
        <w:jc w:val="left"/>
      </w:pPr>
      <w:r>
        <w:rPr>
          <w:rFonts w:ascii="宋体" w:hAnsi="宋体" w:eastAsia="宋体" w:cs="宋体"/>
        </w:rPr>
        <w:t>9.2 存放地点</w:t>
      </w:r>
    </w:p>
    <w:p>
      <w:r>
        <w:rPr>
          <w:rFonts w:ascii="宋体" w:hAnsi="宋体" w:eastAsia="宋体" w:cs="宋体"/>
          <w:b w:val="0"/>
        </w:rPr>
        <w:t xml:space="preserve">    广东省深圳市深南大道6008号深圳特区报业大厦23BC。</w:t>
      </w:r>
    </w:p>
    <w:p/>
    <w:p>
      <w:pPr>
        <w:pStyle w:val="3"/>
        <w:jc w:val="left"/>
      </w:pPr>
      <w:r>
        <w:rPr>
          <w:rFonts w:ascii="宋体" w:hAnsi="宋体" w:eastAsia="宋体" w:cs="宋体"/>
        </w:rPr>
        <w:t>9.3 查阅方式</w:t>
      </w:r>
    </w:p>
    <w:p>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p/>
    <w:p/>
    <w:p>
      <w:pPr>
        <w:jc w:val="right"/>
      </w:pPr>
      <w:r>
        <w:rPr>
          <w:rFonts w:ascii="宋体" w:hAnsi="宋体" w:eastAsia="宋体" w:cs="宋体"/>
          <w:b/>
        </w:rPr>
        <w:t>东方阿尔法基金管理有限公司</w:t>
      </w:r>
    </w:p>
    <w:p>
      <w:pPr>
        <w:jc w:val="right"/>
      </w:pPr>
      <w:r>
        <w:rPr>
          <w:rFonts w:ascii="宋体" w:hAnsi="宋体" w:eastAsia="宋体" w:cs="宋体"/>
          <w:b/>
        </w:rPr>
        <w:t>二〇二六年十月二十六日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2</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2</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1</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宋体" w:hAnsi="宋体" w:eastAsia="宋体"/>
      </w:rPr>
    </w:pPr>
    <w:r>
      <w:rPr>
        <w:rFonts w:hint="eastAsia" w:ascii="宋体" w:hAnsi="宋体" w:eastAsia="宋体"/>
        <w:sz w:val="18"/>
      </w:rPr>
      <w:t>东方阿尔法兴科一年持有期混合型证券投资基金2026年第3季度报告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0FC974FE"/>
    <w:rsid w:val="17FF4F08"/>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qFormat="1"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link w:val="41"/>
    <w:semiHidden/>
    <w:unhideWhenUsed/>
    <w:qFormat/>
    <w:uiPriority w:val="99"/>
    <w:pPr>
      <w:ind w:firstLine="420" w:firstLineChars="200"/>
    </w:pPr>
  </w:style>
  <w:style w:type="paragraph" w:styleId="8">
    <w:name w:val="Document Map"/>
    <w:basedOn w:val="1"/>
    <w:link w:val="57"/>
    <w:semiHidden/>
    <w:unhideWhenUsed/>
    <w:qFormat/>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qFormat/>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unhideWhenUsed/>
    <w:qFormat/>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qFormat/>
    <w:uiPriority w:val="39"/>
    <w:pPr>
      <w:ind w:left="630"/>
      <w:jc w:val="left"/>
    </w:pPr>
    <w:rPr>
      <w:sz w:val="18"/>
      <w:szCs w:val="18"/>
    </w:rPr>
  </w:style>
  <w:style w:type="paragraph" w:styleId="21">
    <w:name w:val="toc 6"/>
    <w:basedOn w:val="1"/>
    <w:next w:val="1"/>
    <w:unhideWhenUsed/>
    <w:qFormat/>
    <w:uiPriority w:val="39"/>
    <w:pPr>
      <w:ind w:left="1050"/>
      <w:jc w:val="left"/>
    </w:pPr>
    <w:rPr>
      <w:sz w:val="18"/>
      <w:szCs w:val="18"/>
    </w:rPr>
  </w:style>
  <w:style w:type="paragraph" w:styleId="22">
    <w:name w:val="toc 2"/>
    <w:basedOn w:val="1"/>
    <w:next w:val="1"/>
    <w:unhideWhenUsed/>
    <w:uiPriority w:val="39"/>
    <w:pPr>
      <w:spacing w:line="240" w:lineRule="auto"/>
      <w:ind w:left="210"/>
      <w:jc w:val="left"/>
    </w:pPr>
    <w:rPr>
      <w:smallCaps/>
      <w:szCs w:val="20"/>
    </w:rPr>
  </w:style>
  <w:style w:type="paragraph" w:styleId="23">
    <w:name w:val="toc 9"/>
    <w:basedOn w:val="1"/>
    <w:next w:val="1"/>
    <w:unhideWhenUsed/>
    <w:qFormat/>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qFormat/>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qFormat/>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qFormat/>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qFormat/>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qFormat/>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qFormat/>
    <w:uiPriority w:val="10"/>
    <w:rPr>
      <w:rFonts w:asciiTheme="majorHAnsi" w:hAnsiTheme="majorHAnsi" w:eastAsiaTheme="majorEastAsia" w:cstheme="majorBidi"/>
      <w:b/>
      <w:bCs/>
      <w:sz w:val="32"/>
      <w:szCs w:val="32"/>
    </w:rPr>
  </w:style>
  <w:style w:type="paragraph" w:customStyle="1" w:styleId="52">
    <w:name w:val="biaoge_left"/>
    <w:basedOn w:val="1"/>
    <w:qFormat/>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qFormat/>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Words>
  <Characters>139</Characters>
  <Lines>1</Lines>
  <Paragraphs>1</Paragraphs>
  <TotalTime>51</TotalTime>
  <ScaleCrop>false</ScaleCrop>
  <LinksUpToDate>false</LinksUpToDate>
  <CharactersWithSpaces>162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2026-10-22T09:06:02Z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