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rsidR="00033BEA" w:rsidP="00A76644" w14:paraId="1326CD91" w14:textId="77777777">
      <w:pPr>
        <w:pStyle w:val="TOC1"/>
        <w:tabs>
          <w:tab w:val="right" w:leader="dot" w:pos="9080"/>
        </w:tabs>
        <w:spacing w:before="72" w:after="120"/>
        <w:jc w:val="center"/>
        <w:rPr>
          <w:rFonts w:ascii="宋体" w:hAnsi="宋体"/>
          <w:b/>
          <w:bCs/>
          <w:sz w:val="24"/>
        </w:rPr>
      </w:pPr>
    </w:p>
    <w:p w:rsidR="00033BEA" w:rsidP="00A76644" w14:paraId="52A90100" w14:textId="77777777">
      <w:pPr>
        <w:pStyle w:val="TOC1"/>
        <w:tabs>
          <w:tab w:val="right" w:leader="dot" w:pos="9080"/>
        </w:tabs>
        <w:spacing w:before="72" w:after="120"/>
        <w:jc w:val="center"/>
        <w:rPr>
          <w:rFonts w:ascii="宋体" w:hAnsi="宋体"/>
          <w:b/>
          <w:bCs/>
          <w:sz w:val="24"/>
        </w:rPr>
      </w:pPr>
    </w:p>
    <w:p w:rsidR="00396EB6" w:rsidRPr="00421707" w:rsidP="001663E4" w14:paraId="38984839"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东方阿尔法瑞丰混合型发起式证券投资基金</w:t>
      </w:r>
    </w:p>
    <w:p w:rsidR="00396EB6" w:rsidRPr="00421707" w:rsidP="001663E4" w14:paraId="451789C6"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2026年第3季度报告</w:t>
      </w:r>
    </w:p>
    <w:p w:rsidR="00695511" w:rsidRPr="00A76644" w:rsidP="00421707" w14:paraId="330D4D51" w14:textId="77777777">
      <w:pPr>
        <w:pStyle w:val="TOC1"/>
        <w:tabs>
          <w:tab w:val="right" w:leader="dot" w:pos="9080"/>
        </w:tabs>
        <w:spacing w:line="480" w:lineRule="auto"/>
        <w:jc w:val="center"/>
        <w:rPr>
          <w:rFonts w:ascii="宋体" w:eastAsia="宋体" w:hAnsi="宋体" w:cs="宋体"/>
          <w:b/>
          <w:bCs/>
          <w:sz w:val="24"/>
        </w:rPr>
      </w:pPr>
      <w:r>
        <w:rPr>
          <w:rFonts w:ascii="宋体" w:eastAsia="宋体" w:hAnsi="宋体" w:cs="宋体" w:hint="eastAsia"/>
          <w:b/>
          <w:bCs/>
          <w:sz w:val="24"/>
        </w:rPr>
        <w:t>2026年09月30日</w:t>
      </w:r>
    </w:p>
    <w:p w:rsidR="00514F66" w:rsidRPr="00514F66" w:rsidP="00514F66" w14:paraId="205BF4D8" w14:textId="77777777">
      <w:pPr>
        <w:pStyle w:val="TOC1"/>
        <w:tabs>
          <w:tab w:val="right" w:leader="dot" w:pos="9080"/>
        </w:tabs>
        <w:spacing w:before="72" w:after="120"/>
        <w:jc w:val="center"/>
        <w:rPr>
          <w:rFonts w:ascii="宋体" w:hAnsi="宋体"/>
          <w:b/>
          <w:bCs/>
          <w:sz w:val="24"/>
        </w:rPr>
      </w:pPr>
    </w:p>
    <w:p w:rsidR="00514F66" w:rsidRPr="00514F66" w:rsidP="00514F66" w14:paraId="02CCC2D6" w14:textId="77777777">
      <w:pPr>
        <w:pStyle w:val="TOC1"/>
        <w:tabs>
          <w:tab w:val="right" w:leader="dot" w:pos="9080"/>
        </w:tabs>
        <w:spacing w:before="72" w:after="120"/>
        <w:jc w:val="center"/>
        <w:rPr>
          <w:rFonts w:ascii="宋体" w:hAnsi="宋体"/>
          <w:b/>
          <w:bCs/>
          <w:sz w:val="24"/>
        </w:rPr>
      </w:pPr>
    </w:p>
    <w:p w:rsidR="00514F66" w:rsidRPr="00514F66" w:rsidP="00514F66" w14:paraId="045B4059" w14:textId="77777777">
      <w:pPr>
        <w:pStyle w:val="TOC1"/>
        <w:tabs>
          <w:tab w:val="right" w:leader="dot" w:pos="9080"/>
        </w:tabs>
        <w:spacing w:before="72" w:after="120"/>
        <w:jc w:val="center"/>
        <w:rPr>
          <w:rFonts w:ascii="宋体" w:hAnsi="宋体"/>
          <w:b/>
          <w:bCs/>
          <w:sz w:val="24"/>
        </w:rPr>
      </w:pPr>
    </w:p>
    <w:p w:rsidR="00514F66" w:rsidRPr="00514F66" w:rsidP="00514F66" w14:paraId="3BC03714" w14:textId="77777777">
      <w:pPr>
        <w:pStyle w:val="TOC1"/>
        <w:tabs>
          <w:tab w:val="right" w:leader="dot" w:pos="9080"/>
        </w:tabs>
        <w:spacing w:before="72" w:after="120"/>
        <w:jc w:val="center"/>
        <w:rPr>
          <w:rFonts w:ascii="宋体" w:hAnsi="宋体"/>
          <w:b/>
          <w:bCs/>
          <w:sz w:val="24"/>
        </w:rPr>
      </w:pPr>
    </w:p>
    <w:p w:rsidR="00514F66" w:rsidRPr="00514F66" w:rsidP="00514F66" w14:paraId="580DD332" w14:textId="77777777">
      <w:pPr>
        <w:pStyle w:val="TOC1"/>
        <w:tabs>
          <w:tab w:val="right" w:leader="dot" w:pos="9080"/>
        </w:tabs>
        <w:spacing w:before="72" w:after="120"/>
        <w:jc w:val="center"/>
        <w:rPr>
          <w:rFonts w:ascii="宋体" w:hAnsi="宋体"/>
          <w:b/>
          <w:bCs/>
          <w:sz w:val="24"/>
        </w:rPr>
      </w:pPr>
    </w:p>
    <w:p w:rsidR="00514F66" w:rsidRPr="00514F66" w:rsidP="00514F66" w14:paraId="256C0706" w14:textId="77777777">
      <w:pPr>
        <w:pStyle w:val="TOC1"/>
        <w:tabs>
          <w:tab w:val="right" w:leader="dot" w:pos="9080"/>
        </w:tabs>
        <w:spacing w:before="72" w:after="120"/>
        <w:jc w:val="center"/>
        <w:rPr>
          <w:rFonts w:ascii="宋体" w:hAnsi="宋体"/>
          <w:b/>
          <w:bCs/>
          <w:sz w:val="24"/>
        </w:rPr>
      </w:pPr>
    </w:p>
    <w:p w:rsidR="00514F66" w:rsidRPr="00514F66" w:rsidP="00514F66" w14:paraId="3C562D33" w14:textId="77777777">
      <w:pPr>
        <w:pStyle w:val="TOC1"/>
        <w:tabs>
          <w:tab w:val="right" w:leader="dot" w:pos="9080"/>
        </w:tabs>
        <w:spacing w:before="72" w:after="120"/>
        <w:jc w:val="center"/>
        <w:rPr>
          <w:rFonts w:ascii="宋体" w:hAnsi="宋体"/>
          <w:b/>
          <w:bCs/>
          <w:sz w:val="24"/>
        </w:rPr>
      </w:pPr>
    </w:p>
    <w:p w:rsidR="00514F66" w:rsidRPr="00514F66" w:rsidP="00514F66" w14:paraId="5110C3F6" w14:textId="77777777">
      <w:pPr>
        <w:pStyle w:val="TOC1"/>
        <w:tabs>
          <w:tab w:val="right" w:leader="dot" w:pos="9080"/>
        </w:tabs>
        <w:spacing w:before="72" w:after="120"/>
        <w:jc w:val="center"/>
        <w:rPr>
          <w:rFonts w:ascii="宋体" w:hAnsi="宋体"/>
          <w:b/>
          <w:bCs/>
          <w:sz w:val="24"/>
        </w:rPr>
      </w:pPr>
    </w:p>
    <w:p w:rsidR="00514F66" w:rsidRPr="00514F66" w:rsidP="00514F66" w14:paraId="0B3A8452" w14:textId="77777777">
      <w:pPr>
        <w:pStyle w:val="TOC1"/>
        <w:tabs>
          <w:tab w:val="right" w:leader="dot" w:pos="9080"/>
        </w:tabs>
        <w:spacing w:before="72" w:after="120"/>
        <w:jc w:val="center"/>
        <w:rPr>
          <w:rFonts w:ascii="宋体" w:hAnsi="宋体"/>
          <w:b/>
          <w:bCs/>
          <w:sz w:val="24"/>
        </w:rPr>
      </w:pPr>
    </w:p>
    <w:p w:rsidR="00514F66" w:rsidRPr="00514F66" w:rsidP="00514F66" w14:paraId="5EF2E9FF" w14:textId="77777777">
      <w:pPr>
        <w:pStyle w:val="TOC1"/>
        <w:tabs>
          <w:tab w:val="right" w:leader="dot" w:pos="9080"/>
        </w:tabs>
        <w:spacing w:before="72" w:after="120"/>
        <w:jc w:val="center"/>
        <w:rPr>
          <w:rFonts w:ascii="宋体" w:hAnsi="宋体"/>
          <w:b/>
          <w:bCs/>
          <w:sz w:val="24"/>
        </w:rPr>
      </w:pPr>
    </w:p>
    <w:p w:rsidR="00514F66" w:rsidRPr="00514F66" w:rsidP="00514F66" w14:paraId="2807BBEC" w14:textId="77777777">
      <w:pPr>
        <w:pStyle w:val="TOC1"/>
        <w:tabs>
          <w:tab w:val="right" w:leader="dot" w:pos="9080"/>
        </w:tabs>
        <w:spacing w:before="72" w:after="120"/>
        <w:jc w:val="center"/>
        <w:rPr>
          <w:rFonts w:ascii="宋体" w:hAnsi="宋体"/>
          <w:b/>
          <w:bCs/>
          <w:sz w:val="24"/>
        </w:rPr>
      </w:pPr>
    </w:p>
    <w:p w:rsidR="00514F66" w:rsidRPr="00514F66" w:rsidP="00514F66" w14:paraId="4BC10FDF" w14:textId="77777777">
      <w:pPr>
        <w:pStyle w:val="TOC1"/>
        <w:tabs>
          <w:tab w:val="right" w:leader="dot" w:pos="9080"/>
        </w:tabs>
        <w:spacing w:before="72" w:after="120"/>
        <w:jc w:val="center"/>
        <w:rPr>
          <w:rFonts w:ascii="宋体" w:hAnsi="宋体"/>
          <w:b/>
          <w:bCs/>
          <w:sz w:val="24"/>
        </w:rPr>
      </w:pPr>
    </w:p>
    <w:p w:rsidR="00514F66" w:rsidRPr="00514F66" w:rsidP="00514F66" w14:paraId="488AAE42" w14:textId="77777777">
      <w:pPr>
        <w:pStyle w:val="TOC1"/>
        <w:tabs>
          <w:tab w:val="right" w:leader="dot" w:pos="9080"/>
        </w:tabs>
        <w:spacing w:before="72" w:after="120"/>
        <w:jc w:val="center"/>
        <w:rPr>
          <w:rFonts w:ascii="宋体" w:hAnsi="宋体"/>
          <w:b/>
          <w:bCs/>
          <w:sz w:val="24"/>
        </w:rPr>
      </w:pPr>
    </w:p>
    <w:p w:rsidR="00514F66" w:rsidRPr="00514F66" w:rsidP="00514F66" w14:paraId="0B4C086D" w14:textId="77777777">
      <w:pPr>
        <w:pStyle w:val="TOC1"/>
        <w:tabs>
          <w:tab w:val="right" w:leader="dot" w:pos="9080"/>
        </w:tabs>
        <w:spacing w:before="72" w:after="120"/>
        <w:jc w:val="center"/>
        <w:rPr>
          <w:rFonts w:ascii="宋体" w:hAnsi="宋体"/>
          <w:b/>
          <w:bCs/>
          <w:sz w:val="24"/>
        </w:rPr>
      </w:pPr>
    </w:p>
    <w:p w:rsidR="00514F66" w:rsidRPr="00514F66" w:rsidP="00514F66" w14:paraId="7EEBE708" w14:textId="77777777">
      <w:pPr>
        <w:pStyle w:val="TOC1"/>
        <w:tabs>
          <w:tab w:val="right" w:leader="dot" w:pos="9080"/>
        </w:tabs>
        <w:spacing w:before="72" w:after="120"/>
        <w:jc w:val="center"/>
        <w:rPr>
          <w:rFonts w:ascii="宋体" w:hAnsi="宋体"/>
          <w:b/>
          <w:bCs/>
          <w:sz w:val="24"/>
        </w:rPr>
      </w:pPr>
    </w:p>
    <w:p w:rsidR="00396EB6" w:rsidP="00421707" w14:paraId="3B0B08E8"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基金管理人:</w:t>
      </w:r>
      <w:r>
        <w:rPr>
          <w:rFonts w:ascii="宋体" w:eastAsia="宋体" w:hAnsi="宋体" w:cs="宋体"/>
          <w:b/>
          <w:color w:val="auto"/>
          <w:sz w:val="24"/>
          <w:u w:val="none"/>
        </w:rPr>
        <w:t>东方阿尔法基金管理有限公司</w:t>
      </w:r>
    </w:p>
    <w:p w:rsidR="00396EB6" w:rsidP="00421707" w14:paraId="31616E72"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基金托管人:</w:t>
      </w:r>
      <w:r>
        <w:rPr>
          <w:rFonts w:ascii="宋体" w:eastAsia="宋体" w:hAnsi="宋体" w:cs="宋体"/>
          <w:b/>
          <w:color w:val="auto"/>
          <w:sz w:val="24"/>
          <w:u w:val="none"/>
        </w:rPr>
        <w:t>中国农业银行股份有限公司</w:t>
      </w:r>
    </w:p>
    <w:p w:rsidR="00396EB6" w:rsidP="00421707" w14:paraId="01D6CDCE"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报告送出日期:</w:t>
      </w:r>
      <w:r>
        <w:rPr>
          <w:rFonts w:ascii="宋体" w:eastAsia="宋体" w:hAnsi="宋体" w:cs="宋体"/>
          <w:b/>
          <w:color w:val="auto"/>
          <w:sz w:val="24"/>
          <w:u w:val="none"/>
        </w:rPr>
        <w:t>2026年10月26日</w:t>
      </w:r>
    </w:p>
    <w:p w:rsidR="00396EB6" w:rsidP="00A76644" w14:paraId="28A208C4" w14:textId="77777777">
      <w:pPr>
        <w:jc w:val="center"/>
      </w:pPr>
      <w:r>
        <w:br w:type="page"/>
      </w:r>
    </w:p>
    <w:p w:rsidR="00C370BD" w:rsidRPr="00C370BD" w:rsidP="00801225" w14:paraId="6B371222" w14:textId="77777777">
      <w:pPr>
        <w:pStyle w:val="Heading1"/>
        <w:spacing w:line="576" w:lineRule="auto"/>
        <w:jc w:val="center"/>
        <w:rPr>
          <w:rFonts w:ascii="宋体" w:eastAsia="宋体" w:hAnsi="宋体"/>
          <w:sz w:val="24"/>
          <w:szCs w:val="24"/>
        </w:rPr>
      </w:pPr>
      <w:bookmarkStart w:id="0" w:name="_Toc73379713"/>
      <w:r w:rsidRPr="00C370BD">
        <w:rPr>
          <w:rFonts w:ascii="宋体" w:eastAsia="宋体" w:hAnsi="宋体" w:hint="eastAsia"/>
          <w:bCs w:val="0"/>
          <w:sz w:val="24"/>
          <w:szCs w:val="24"/>
        </w:rPr>
        <w:t>§1 重要提示</w:t>
      </w:r>
      <w:bookmarkEnd w:id="0"/>
    </w:p>
    <w:p w:rsidR="00F07C93" w:rsidP="00E67AEA" w14:paraId="7F352D6E" w14:textId="35951F40">
      <w:pPr>
        <w:widowControl/>
        <w:rPr>
          <w:rFonts w:ascii="宋体" w:eastAsia="宋体" w:hAnsi="宋体"/>
        </w:rPr>
      </w:pPr>
      <w:r>
        <w:t xml:space="preserve">    基金管理人的董事会及董事保证本报告所载资料不存在虚假记载、误导性陈述或重大遗漏，并对其内容的真实性、准确性和完整性承担个别及连带责任。</w:t>
        <w:cr/>
        <w:t xml:space="preserve">    基金托管人中国农业银行股份有限公司根据本基金合同规定，于2026年10月23日复核了本报告中的财务指标、净值表现和投资组合报告等内容，保证复核内容不存在虚假记载、误导性陈述或者重大遗漏。</w:t>
        <w:cr/>
        <w:t xml:space="preserve">    基金管理人承诺以诚实信用、勤勉尽责的原则管理和运用基金资产，但不保证基金一定盈利。</w:t>
        <w:cr/>
        <w:t xml:space="preserve">    基金的过往业绩并不代表其未来表现。投资有风险，投资者在做出投资决策前应仔细阅读本基金的招募说明书。</w:t>
        <w:cr/>
        <w:t xml:space="preserve">    本报告中财务资料未经审计。</w:t>
        <w:cr/>
        <w:t xml:space="preserve">    本报告期自2026年07月01日起至2026年09月30日止。</w:t>
      </w:r>
    </w:p>
    <w:p/>
    <w:p>
      <w:pPr>
        <w:pStyle w:val="Heading1"/>
        <w:jc w:val="center"/>
      </w:pPr>
      <w:r>
        <w:rPr>
          <w:rFonts w:ascii="宋体" w:eastAsia="宋体" w:hAnsi="宋体" w:cs="宋体"/>
        </w:rPr>
        <w:t>§2 基金产品概况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Align w:val="center"/>
          </w:tcPr>
          <w:p>
            <w:pPr>
              <w:spacing w:line="240" w:lineRule="auto"/>
              <w:jc w:val="left"/>
            </w:pPr>
            <w:r>
              <w:rPr>
                <w:rFonts w:ascii="宋体" w:eastAsia="宋体" w:hAnsi="宋体" w:cs="宋体"/>
                <w:b w:val="0"/>
              </w:rPr>
              <w:t>基金简称</w:t>
            </w:r>
          </w:p>
        </w:tc>
        <w:tc>
          <w:tcPr>
            <w:tcW w:w="3077" w:type="pct"/>
            <w:gridSpan w:val="2"/>
            <w:vAlign w:val="center"/>
          </w:tcPr>
          <w:p>
            <w:pPr>
              <w:spacing w:line="240" w:lineRule="auto"/>
              <w:jc w:val="left"/>
            </w:pPr>
            <w:r>
              <w:rPr>
                <w:rFonts w:ascii="宋体" w:eastAsia="宋体" w:hAnsi="宋体" w:cs="宋体"/>
                <w:b w:val="0"/>
              </w:rPr>
              <w:t>东方阿尔法瑞丰混合发起</w:t>
            </w:r>
          </w:p>
        </w:tc>
      </w:tr>
      <w:tr>
        <w:tblPrEx>
          <w:tblW w:w="5000" w:type="pct"/>
        </w:tblPrEx>
        <w:tc>
          <w:tcPr>
            <w:tcW w:w="1923" w:type="pct"/>
            <w:vAlign w:val="center"/>
          </w:tcPr>
          <w:p>
            <w:pPr>
              <w:spacing w:line="240" w:lineRule="auto"/>
              <w:jc w:val="left"/>
            </w:pPr>
            <w:r>
              <w:rPr>
                <w:rFonts w:ascii="宋体" w:eastAsia="宋体" w:hAnsi="宋体" w:cs="宋体"/>
                <w:b w:val="0"/>
              </w:rPr>
              <w:t>基金主代码</w:t>
            </w:r>
          </w:p>
        </w:tc>
        <w:tc>
          <w:tcPr>
            <w:tcW w:w="0" w:type="dxa"/>
            <w:gridSpan w:val="2"/>
            <w:vAlign w:val="center"/>
          </w:tcPr>
          <w:p>
            <w:pPr>
              <w:spacing w:line="240" w:lineRule="auto"/>
              <w:jc w:val="left"/>
            </w:pPr>
            <w:r>
              <w:rPr>
                <w:rFonts w:ascii="宋体" w:eastAsia="宋体" w:hAnsi="宋体" w:cs="宋体"/>
                <w:b w:val="0"/>
              </w:rPr>
              <w:t>018362</w:t>
            </w:r>
          </w:p>
        </w:tc>
      </w:tr>
      <w:tr>
        <w:tblPrEx>
          <w:tblW w:w="5000" w:type="pct"/>
        </w:tblPrEx>
        <w:tc>
          <w:tcPr>
            <w:tcW w:w="1923" w:type="pct"/>
            <w:vAlign w:val="center"/>
          </w:tcPr>
          <w:p>
            <w:pPr>
              <w:spacing w:line="240" w:lineRule="auto"/>
              <w:jc w:val="left"/>
            </w:pPr>
            <w:r>
              <w:rPr>
                <w:rFonts w:ascii="宋体" w:eastAsia="宋体" w:hAnsi="宋体" w:cs="宋体"/>
                <w:b w:val="0"/>
              </w:rPr>
              <w:t>基金运作方式</w:t>
            </w:r>
          </w:p>
        </w:tc>
        <w:tc>
          <w:tcPr>
            <w:tcW w:w="0" w:type="dxa"/>
            <w:gridSpan w:val="2"/>
            <w:vAlign w:val="center"/>
          </w:tcPr>
          <w:p>
            <w:pPr>
              <w:spacing w:line="240" w:lineRule="auto"/>
              <w:jc w:val="left"/>
            </w:pPr>
            <w:r>
              <w:rPr>
                <w:rFonts w:ascii="宋体" w:eastAsia="宋体" w:hAnsi="宋体" w:cs="宋体"/>
                <w:b w:val="0"/>
              </w:rPr>
              <w:t>契约型开放式</w:t>
            </w:r>
          </w:p>
        </w:tc>
      </w:tr>
      <w:tr>
        <w:tblPrEx>
          <w:tblW w:w="5000" w:type="pct"/>
        </w:tblPrEx>
        <w:tc>
          <w:tcPr>
            <w:tcW w:w="1923" w:type="pct"/>
            <w:vAlign w:val="center"/>
          </w:tcPr>
          <w:p>
            <w:pPr>
              <w:spacing w:line="240" w:lineRule="auto"/>
              <w:jc w:val="left"/>
            </w:pPr>
            <w:r>
              <w:rPr>
                <w:rFonts w:ascii="宋体" w:eastAsia="宋体" w:hAnsi="宋体" w:cs="宋体"/>
                <w:b w:val="0"/>
              </w:rPr>
              <w:t>基金合同生效日</w:t>
            </w:r>
          </w:p>
        </w:tc>
        <w:tc>
          <w:tcPr>
            <w:tcW w:w="0" w:type="dxa"/>
            <w:gridSpan w:val="2"/>
            <w:vAlign w:val="center"/>
          </w:tcPr>
          <w:p>
            <w:pPr>
              <w:spacing w:line="240" w:lineRule="auto"/>
              <w:jc w:val="left"/>
            </w:pPr>
            <w:r>
              <w:rPr>
                <w:rFonts w:ascii="宋体" w:eastAsia="宋体" w:hAnsi="宋体" w:cs="宋体"/>
                <w:b w:val="0"/>
              </w:rPr>
              <w:t>2023年05月12日</w:t>
            </w:r>
          </w:p>
        </w:tc>
      </w:tr>
      <w:tr>
        <w:tblPrEx>
          <w:tblW w:w="5000" w:type="pct"/>
        </w:tblPrEx>
        <w:tc>
          <w:tcPr>
            <w:tcW w:w="1923" w:type="pct"/>
            <w:vAlign w:val="center"/>
          </w:tcPr>
          <w:p>
            <w:pPr>
              <w:spacing w:line="240" w:lineRule="auto"/>
              <w:jc w:val="left"/>
            </w:pPr>
            <w:r>
              <w:rPr>
                <w:rFonts w:ascii="宋体" w:eastAsia="宋体" w:hAnsi="宋体" w:cs="宋体"/>
                <w:b w:val="0"/>
              </w:rPr>
              <w:t>报告期末基金份额总额</w:t>
            </w:r>
          </w:p>
        </w:tc>
        <w:tc>
          <w:tcPr>
            <w:tcW w:w="0" w:type="dxa"/>
            <w:gridSpan w:val="2"/>
            <w:vAlign w:val="center"/>
          </w:tcPr>
          <w:p>
            <w:pPr>
              <w:spacing w:line="240" w:lineRule="auto"/>
              <w:jc w:val="left"/>
            </w:pPr>
            <w:r>
              <w:rPr>
                <w:rFonts w:ascii="宋体" w:eastAsia="宋体" w:hAnsi="宋体" w:cs="宋体"/>
                <w:b w:val="0"/>
              </w:rPr>
              <w:t>216,790,236.71份</w:t>
            </w:r>
          </w:p>
        </w:tc>
      </w:tr>
      <w:tr>
        <w:tblPrEx>
          <w:tblW w:w="5000" w:type="pct"/>
        </w:tblPrEx>
        <w:tc>
          <w:tcPr>
            <w:tcW w:w="1923" w:type="pct"/>
            <w:vAlign w:val="center"/>
          </w:tcPr>
          <w:p>
            <w:pPr>
              <w:spacing w:line="240" w:lineRule="auto"/>
              <w:jc w:val="left"/>
            </w:pPr>
            <w:r>
              <w:rPr>
                <w:rFonts w:ascii="宋体" w:eastAsia="宋体" w:hAnsi="宋体" w:cs="宋体"/>
                <w:b w:val="0"/>
              </w:rPr>
              <w:t>投资目标</w:t>
            </w:r>
          </w:p>
        </w:tc>
        <w:tc>
          <w:tcPr>
            <w:tcW w:w="2592" w:type="pct"/>
            <w:gridSpan w:val="2"/>
            <w:vAlign w:val="center"/>
          </w:tcPr>
          <w:p>
            <w:pPr>
              <w:spacing w:line="240" w:lineRule="auto"/>
              <w:jc w:val="left"/>
            </w:pPr>
            <w:r>
              <w:rPr>
                <w:rFonts w:ascii="宋体" w:eastAsia="宋体" w:hAnsi="宋体" w:cs="宋体"/>
                <w:b w:val="0"/>
              </w:rPr>
              <w:t>本基金在严格控制风险的基础之上，通过深入研究、优选个股、主动的投资管理方式力求实现组合资产的稳健增值。</w:t>
            </w:r>
          </w:p>
        </w:tc>
      </w:tr>
      <w:tr>
        <w:tblPrEx>
          <w:tblW w:w="5000" w:type="pct"/>
        </w:tblPrEx>
        <w:tc>
          <w:tcPr>
            <w:tcW w:w="1923" w:type="pct"/>
            <w:vAlign w:val="center"/>
          </w:tcPr>
          <w:p>
            <w:pPr>
              <w:spacing w:line="240" w:lineRule="auto"/>
              <w:jc w:val="left"/>
            </w:pPr>
            <w:r>
              <w:rPr>
                <w:rFonts w:ascii="宋体" w:eastAsia="宋体" w:hAnsi="宋体" w:cs="宋体"/>
                <w:b w:val="0"/>
              </w:rPr>
              <w:t>投资策略</w:t>
            </w:r>
          </w:p>
        </w:tc>
        <w:tc>
          <w:tcPr>
            <w:tcW w:w="0" w:type="dxa"/>
            <w:gridSpan w:val="2"/>
            <w:vAlign w:val="center"/>
          </w:tcPr>
          <w:p>
            <w:pPr>
              <w:spacing w:line="240" w:lineRule="auto"/>
              <w:jc w:val="left"/>
            </w:pPr>
            <w:r>
              <w:rPr>
                <w:rFonts w:ascii="宋体" w:eastAsia="宋体" w:hAnsi="宋体" w:cs="宋体"/>
                <w:b w:val="0"/>
              </w:rPr>
              <w:t>本基金的投资策略主要有以下11个方面内容：</w:t>
              <w:br/>
            </w:r>
            <w:r>
              <w:rPr>
                <w:rFonts w:ascii="宋体" w:eastAsia="宋体" w:hAnsi="宋体" w:cs="宋体"/>
                <w:b w:val="0"/>
              </w:rPr>
              <w:t>1、大类资产配置策略</w:t>
              <w:br/>
            </w:r>
            <w:r>
              <w:rPr>
                <w:rFonts w:ascii="宋体" w:eastAsia="宋体" w:hAnsi="宋体" w:cs="宋体"/>
                <w:b w:val="0"/>
              </w:rPr>
              <w:t>本基金将根据国内外宏观经济情况、国内外证券市场估值水平阶段性不断调整权益类资产和其他资产之间的大类资产配置比例。</w:t>
              <w:br/>
            </w:r>
            <w:r>
              <w:rPr>
                <w:rFonts w:ascii="宋体" w:eastAsia="宋体" w:hAnsi="宋体" w:cs="宋体"/>
                <w:b w:val="0"/>
              </w:rPr>
              <w:t>2、个股优选策略</w:t>
              <w:br/>
            </w:r>
            <w:r>
              <w:rPr>
                <w:rFonts w:ascii="宋体" w:eastAsia="宋体" w:hAnsi="宋体" w:cs="宋体"/>
                <w:b w:val="0"/>
              </w:rPr>
              <w:t>基金管理人将采用定量分析与定性分析相结合的方式对上市公司进行分析，建立备选股票池，并以备选股票池成份股未来两年的PE衡量动态性价比作为选择其进入投资组合的重要依据。</w:t>
              <w:br/>
            </w:r>
            <w:r>
              <w:rPr>
                <w:rFonts w:ascii="宋体" w:eastAsia="宋体" w:hAnsi="宋体" w:cs="宋体"/>
                <w:b w:val="0"/>
              </w:rPr>
              <w:t xml:space="preserve">3、港股投资策略 </w:t>
              <w:br/>
            </w:r>
            <w:r>
              <w:rPr>
                <w:rFonts w:ascii="宋体" w:eastAsia="宋体" w:hAnsi="宋体" w:cs="宋体"/>
                <w:b w:val="0"/>
              </w:rPr>
              <w:t>本基金将通过内地与香港股票市场交易互联互通机制投资于香港股票市场，不使用合格境内机构投资者(QDII)境外投资额度进行境外投资。</w:t>
              <w:br/>
            </w:r>
            <w:r>
              <w:rPr>
                <w:rFonts w:ascii="宋体" w:eastAsia="宋体" w:hAnsi="宋体" w:cs="宋体"/>
                <w:b w:val="0"/>
              </w:rPr>
              <w:t>4、债券类资产投资策略</w:t>
              <w:br/>
            </w:r>
            <w:r>
              <w:rPr>
                <w:rFonts w:ascii="宋体" w:eastAsia="宋体" w:hAnsi="宋体" w:cs="宋体"/>
                <w:b w:val="0"/>
              </w:rPr>
              <w:t>本基金的债券投资将采取较为积极的策略，通过利率预测分析、收益率曲线变动分析、债券信用分析、收益率利差分析等，研判各类属固定收益类资产的风险趋势与收益预期，精选个券进行投资。</w:t>
              <w:br/>
            </w:r>
            <w:r>
              <w:rPr>
                <w:rFonts w:ascii="宋体" w:eastAsia="宋体" w:hAnsi="宋体" w:cs="宋体"/>
                <w:b w:val="0"/>
              </w:rPr>
              <w:t>5、可转债（含分离交易可转债）及可交换债券投资策略</w:t>
              <w:br/>
            </w:r>
            <w:r>
              <w:rPr>
                <w:rFonts w:ascii="宋体" w:eastAsia="宋体" w:hAnsi="宋体" w:cs="宋体"/>
                <w:b w:val="0"/>
              </w:rPr>
              <w:t>对于可转换债券的投资，本基金在评估其偿债能力的同时兼顾公司的成长性，以期通过转换条款分享因股价上升带来的高收益。</w:t>
              <w:br/>
            </w:r>
            <w:r>
              <w:rPr>
                <w:rFonts w:ascii="宋体" w:eastAsia="宋体" w:hAnsi="宋体" w:cs="宋体"/>
                <w:b w:val="0"/>
              </w:rPr>
              <w:t>6、股指期货投资策略</w:t>
              <w:br/>
            </w:r>
            <w:r>
              <w:rPr>
                <w:rFonts w:ascii="宋体" w:eastAsia="宋体" w:hAnsi="宋体" w:cs="宋体"/>
                <w:b w:val="0"/>
              </w:rPr>
              <w:t>本基金将按照风险管理的原则，以套期保值为主要目的，参与股指期货的投资。此外，本基金还将运用股指期货来管理特殊情况下的流动性风险，如预期大额申购赎回、大量分红等。</w:t>
              <w:br/>
            </w:r>
            <w:r>
              <w:rPr>
                <w:rFonts w:ascii="宋体" w:eastAsia="宋体" w:hAnsi="宋体" w:cs="宋体"/>
                <w:b w:val="0"/>
              </w:rPr>
              <w:t>7、融资业务投资策略</w:t>
              <w:br/>
            </w:r>
            <w:r>
              <w:rPr>
                <w:rFonts w:ascii="宋体" w:eastAsia="宋体" w:hAnsi="宋体" w:cs="宋体"/>
                <w:b w:val="0"/>
              </w:rPr>
              <w:t>本基金参与融资业务，将综合考虑融资成本、保证金比例、冲抵保证金证券折算率、信用资质等条件选择合适的交易对手方。同时，在保障基金投资组合充足流动性以及有效控制融资杠杆风险的前提下，确定融资比例。</w:t>
              <w:br/>
            </w:r>
            <w:r>
              <w:rPr>
                <w:rFonts w:ascii="宋体" w:eastAsia="宋体" w:hAnsi="宋体" w:cs="宋体"/>
                <w:b w:val="0"/>
              </w:rPr>
              <w:t>8、国债期货投资策略</w:t>
              <w:br/>
            </w:r>
            <w:r>
              <w:rPr>
                <w:rFonts w:ascii="宋体" w:eastAsia="宋体" w:hAnsi="宋体" w:cs="宋体"/>
                <w:b w:val="0"/>
              </w:rPr>
              <w:t>本基金将按照风险管理的原则，以套期保值为主要目的，参与国债期货的投资，管理市场风险，故国债期货空头的合约价值主要与债券组合的多头价值相对应。</w:t>
              <w:br/>
            </w:r>
            <w:r>
              <w:rPr>
                <w:rFonts w:ascii="宋体" w:eastAsia="宋体" w:hAnsi="宋体" w:cs="宋体"/>
                <w:b w:val="0"/>
              </w:rPr>
              <w:t>9、资产支持证券投资策略</w:t>
              <w:br/>
            </w:r>
            <w:r>
              <w:rPr>
                <w:rFonts w:ascii="宋体" w:eastAsia="宋体" w:hAnsi="宋体" w:cs="宋体"/>
                <w:b w:val="0"/>
              </w:rPr>
              <w:t>本基金将综合运用久期管理、收益率曲线、个券选择以及把握市场交易机会等积极策略，在严格控制风险的情况下，结合信用研究和流动性管理，选择风险调整后收益高的品种进行投资，以期获得长期稳定收益。</w:t>
              <w:br/>
            </w:r>
            <w:r>
              <w:rPr>
                <w:rFonts w:ascii="宋体" w:eastAsia="宋体" w:hAnsi="宋体" w:cs="宋体"/>
                <w:b w:val="0"/>
              </w:rPr>
              <w:t xml:space="preserve">10、股票期权投资策略 </w:t>
              <w:br/>
            </w:r>
            <w:r>
              <w:rPr>
                <w:rFonts w:ascii="宋体" w:eastAsia="宋体" w:hAnsi="宋体" w:cs="宋体"/>
                <w:b w:val="0"/>
              </w:rPr>
              <w:t>本基金以套期保值为主要目的参与股票期权交易，结合投资目标、比例限制、风险收益特征以及法律法规的相关限定和要求，确定参与股票期权交易的投资时机和投资比例。</w:t>
              <w:br/>
            </w:r>
            <w:r>
              <w:rPr>
                <w:rFonts w:ascii="宋体" w:eastAsia="宋体" w:hAnsi="宋体" w:cs="宋体"/>
                <w:b w:val="0"/>
              </w:rPr>
              <w:t>11、存托凭证投资策略</w:t>
              <w:br/>
            </w:r>
            <w:r>
              <w:rPr>
                <w:rFonts w:ascii="宋体" w:eastAsia="宋体" w:hAnsi="宋体" w:cs="宋体"/>
                <w:b w:val="0"/>
              </w:rPr>
              <w:t>本基金在深入研究的基础上，通过定性分析和定量分析相结合的方式，选择投资价值高的存托凭证进行投资。</w:t>
            </w:r>
          </w:p>
        </w:tc>
      </w:tr>
      <w:tr>
        <w:tblPrEx>
          <w:tblW w:w="5000" w:type="pct"/>
        </w:tblPrEx>
        <w:tc>
          <w:tcPr>
            <w:tcW w:w="1923" w:type="pct"/>
            <w:vAlign w:val="center"/>
          </w:tcPr>
          <w:p>
            <w:pPr>
              <w:spacing w:line="240" w:lineRule="auto"/>
              <w:jc w:val="left"/>
            </w:pPr>
            <w:r>
              <w:rPr>
                <w:rFonts w:ascii="宋体" w:eastAsia="宋体" w:hAnsi="宋体" w:cs="宋体"/>
                <w:b w:val="0"/>
              </w:rPr>
              <w:t>业绩比较基准</w:t>
            </w:r>
          </w:p>
        </w:tc>
        <w:tc>
          <w:tcPr>
            <w:tcW w:w="0" w:type="dxa"/>
            <w:gridSpan w:val="2"/>
            <w:vAlign w:val="center"/>
          </w:tcPr>
          <w:p>
            <w:pPr>
              <w:spacing w:line="240" w:lineRule="auto"/>
              <w:jc w:val="left"/>
            </w:pPr>
            <w:r>
              <w:rPr>
                <w:rFonts w:ascii="宋体" w:eastAsia="宋体" w:hAnsi="宋体" w:cs="宋体"/>
                <w:b w:val="0"/>
              </w:rPr>
              <w:t>中证800指数收益率×65%+恒生指数收益率×20%+中证综合债（全价）指数收益率×15%</w:t>
            </w:r>
          </w:p>
        </w:tc>
      </w:tr>
      <w:tr>
        <w:tblPrEx>
          <w:tblW w:w="5000" w:type="pct"/>
        </w:tblPrEx>
        <w:tc>
          <w:tcPr>
            <w:tcW w:w="1923" w:type="pct"/>
            <w:vAlign w:val="center"/>
          </w:tcPr>
          <w:p>
            <w:pPr>
              <w:spacing w:line="240" w:lineRule="auto"/>
              <w:jc w:val="left"/>
            </w:pPr>
            <w:r>
              <w:rPr>
                <w:rFonts w:ascii="宋体" w:eastAsia="宋体" w:hAnsi="宋体" w:cs="宋体"/>
                <w:b w:val="0"/>
              </w:rPr>
              <w:t>风险收益特征</w:t>
            </w:r>
          </w:p>
        </w:tc>
        <w:tc>
          <w:tcPr>
            <w:tcW w:w="2592" w:type="pct"/>
            <w:gridSpan w:val="2"/>
            <w:vAlign w:val="center"/>
          </w:tcPr>
          <w:p>
            <w:pPr>
              <w:spacing w:line="240" w:lineRule="auto"/>
              <w:jc w:val="left"/>
            </w:pPr>
            <w:r>
              <w:rPr>
                <w:rFonts w:ascii="宋体" w:eastAsia="宋体" w:hAnsi="宋体" w:cs="宋体"/>
                <w:b w:val="0"/>
              </w:rPr>
              <w:t>本基金为混合型基金，其预期收益和风险高于货币型基金、债券型基金。本基金如果投资港股通标的股票，需承担汇率风险以及境外市场的风险。</w:t>
            </w:r>
          </w:p>
        </w:tc>
      </w:tr>
      <w:tr>
        <w:tblPrEx>
          <w:tblW w:w="5000" w:type="pct"/>
        </w:tblPrEx>
        <w:tc>
          <w:tcPr>
            <w:tcW w:w="1923" w:type="pct"/>
            <w:vAlign w:val="center"/>
          </w:tcPr>
          <w:p>
            <w:pPr>
              <w:spacing w:line="240" w:lineRule="auto"/>
              <w:jc w:val="left"/>
            </w:pPr>
            <w:r>
              <w:rPr>
                <w:rFonts w:ascii="宋体" w:eastAsia="宋体" w:hAnsi="宋体" w:cs="宋体"/>
                <w:b w:val="0"/>
              </w:rPr>
              <w:t>基金管理人</w:t>
            </w:r>
          </w:p>
        </w:tc>
        <w:tc>
          <w:tcPr>
            <w:tcW w:w="0" w:type="dxa"/>
            <w:gridSpan w:val="2"/>
            <w:vAlign w:val="center"/>
          </w:tcPr>
          <w:p>
            <w:pPr>
              <w:spacing w:line="240" w:lineRule="auto"/>
              <w:jc w:val="left"/>
            </w:pPr>
            <w:r>
              <w:rPr>
                <w:rFonts w:ascii="宋体" w:eastAsia="宋体" w:hAnsi="宋体" w:cs="宋体"/>
                <w:b w:val="0"/>
              </w:rPr>
              <w:t>东方阿尔法基金管理有限公司</w:t>
            </w:r>
          </w:p>
        </w:tc>
      </w:tr>
      <w:tr>
        <w:tblPrEx>
          <w:tblW w:w="5000" w:type="pct"/>
        </w:tblPrEx>
        <w:tc>
          <w:tcPr>
            <w:tcW w:w="1923" w:type="pct"/>
            <w:vAlign w:val="center"/>
          </w:tcPr>
          <w:p>
            <w:pPr>
              <w:spacing w:line="240" w:lineRule="auto"/>
              <w:jc w:val="left"/>
            </w:pPr>
            <w:r>
              <w:rPr>
                <w:rFonts w:ascii="宋体" w:eastAsia="宋体" w:hAnsi="宋体" w:cs="宋体"/>
                <w:b w:val="0"/>
              </w:rPr>
              <w:t>基金托管人</w:t>
            </w:r>
          </w:p>
        </w:tc>
        <w:tc>
          <w:tcPr>
            <w:tcW w:w="0" w:type="dxa"/>
            <w:gridSpan w:val="2"/>
            <w:vAlign w:val="center"/>
          </w:tcPr>
          <w:p>
            <w:pPr>
              <w:spacing w:line="240" w:lineRule="auto"/>
              <w:jc w:val="left"/>
            </w:pPr>
            <w:r>
              <w:rPr>
                <w:rFonts w:ascii="宋体" w:eastAsia="宋体" w:hAnsi="宋体" w:cs="宋体"/>
                <w:b w:val="0"/>
              </w:rPr>
              <w:t>中国农业银行股份有限公司</w:t>
            </w:r>
          </w:p>
        </w:tc>
      </w:tr>
      <w:tr>
        <w:tblPrEx>
          <w:tblW w:w="5000" w:type="pct"/>
        </w:tblPrEx>
        <w:tc>
          <w:tcPr>
            <w:tcW w:w="0" w:type="dxa"/>
            <w:vAlign w:val="center"/>
          </w:tcPr>
          <w:p>
            <w:pPr>
              <w:spacing w:line="240" w:lineRule="auto"/>
              <w:jc w:val="left"/>
            </w:pPr>
            <w:r>
              <w:rPr>
                <w:rFonts w:ascii="宋体" w:eastAsia="宋体" w:hAnsi="宋体" w:cs="宋体"/>
                <w:b w:val="0"/>
              </w:rPr>
              <w:t>下属分级基金的基金简称</w:t>
            </w:r>
          </w:p>
        </w:tc>
        <w:tc>
          <w:tcPr>
            <w:tcW w:w="1500" w:type="pct"/>
            <w:vAlign w:val="center"/>
          </w:tcPr>
          <w:p>
            <w:pPr>
              <w:spacing w:line="240" w:lineRule="auto"/>
              <w:jc w:val="left"/>
            </w:pPr>
            <w:r>
              <w:rPr>
                <w:rFonts w:ascii="宋体" w:eastAsia="宋体" w:hAnsi="宋体" w:cs="宋体"/>
                <w:b w:val="0"/>
              </w:rPr>
              <w:t>东方阿尔法瑞丰混合发起A</w:t>
            </w:r>
          </w:p>
        </w:tc>
        <w:tc>
          <w:tcPr>
            <w:tcW w:w="1500" w:type="pct"/>
            <w:vAlign w:val="center"/>
          </w:tcPr>
          <w:p>
            <w:pPr>
              <w:spacing w:line="240" w:lineRule="auto"/>
              <w:jc w:val="left"/>
            </w:pPr>
            <w:r>
              <w:rPr>
                <w:rFonts w:ascii="宋体" w:eastAsia="宋体" w:hAnsi="宋体" w:cs="宋体"/>
                <w:b w:val="0"/>
              </w:rPr>
              <w:t>东方阿尔法瑞丰混合发起C</w:t>
            </w:r>
          </w:p>
        </w:tc>
      </w:tr>
      <w:tr>
        <w:tblPrEx>
          <w:tblW w:w="5000" w:type="pct"/>
        </w:tblPrEx>
        <w:tc>
          <w:tcPr>
            <w:tcW w:w="0" w:type="dxa"/>
            <w:vAlign w:val="center"/>
          </w:tcPr>
          <w:p>
            <w:pPr>
              <w:spacing w:line="240" w:lineRule="auto"/>
              <w:jc w:val="left"/>
            </w:pPr>
            <w:r>
              <w:rPr>
                <w:rFonts w:ascii="宋体" w:eastAsia="宋体" w:hAnsi="宋体" w:cs="宋体"/>
                <w:b w:val="0"/>
              </w:rPr>
              <w:t>下属分级基金的交易代码</w:t>
            </w:r>
          </w:p>
        </w:tc>
        <w:tc>
          <w:tcPr>
            <w:tcW w:w="1500" w:type="pct"/>
            <w:vAlign w:val="center"/>
          </w:tcPr>
          <w:p>
            <w:pPr>
              <w:spacing w:line="240" w:lineRule="auto"/>
              <w:jc w:val="left"/>
            </w:pPr>
            <w:r>
              <w:rPr>
                <w:rFonts w:ascii="宋体" w:eastAsia="宋体" w:hAnsi="宋体" w:cs="宋体"/>
                <w:b w:val="0"/>
              </w:rPr>
              <w:t>018362</w:t>
            </w:r>
          </w:p>
        </w:tc>
        <w:tc>
          <w:tcPr>
            <w:tcW w:w="1500" w:type="pct"/>
            <w:vAlign w:val="center"/>
          </w:tcPr>
          <w:p>
            <w:pPr>
              <w:spacing w:line="240" w:lineRule="auto"/>
              <w:jc w:val="left"/>
            </w:pPr>
            <w:r>
              <w:rPr>
                <w:rFonts w:ascii="宋体" w:eastAsia="宋体" w:hAnsi="宋体" w:cs="宋体"/>
                <w:b w:val="0"/>
              </w:rPr>
              <w:t>018363</w:t>
            </w:r>
          </w:p>
        </w:tc>
      </w:tr>
      <w:tr>
        <w:tblPrEx>
          <w:tblW w:w="5000" w:type="pct"/>
        </w:tblPrEx>
        <w:tc>
          <w:tcPr>
            <w:tcW w:w="0" w:type="dxa"/>
            <w:vAlign w:val="center"/>
          </w:tcPr>
          <w:p>
            <w:pPr>
              <w:spacing w:line="240" w:lineRule="auto"/>
              <w:jc w:val="left"/>
            </w:pPr>
            <w:r>
              <w:rPr>
                <w:rFonts w:ascii="宋体" w:eastAsia="宋体" w:hAnsi="宋体" w:cs="宋体"/>
                <w:b w:val="0"/>
              </w:rPr>
              <w:t>报告期末下属分级基金的份额总额</w:t>
            </w:r>
          </w:p>
        </w:tc>
        <w:tc>
          <w:tcPr>
            <w:tcW w:w="1500" w:type="pct"/>
            <w:vAlign w:val="center"/>
          </w:tcPr>
          <w:p>
            <w:pPr>
              <w:spacing w:line="240" w:lineRule="auto"/>
              <w:jc w:val="left"/>
            </w:pPr>
            <w:r>
              <w:rPr>
                <w:rFonts w:ascii="宋体" w:eastAsia="宋体" w:hAnsi="宋体" w:cs="宋体"/>
                <w:b w:val="0"/>
              </w:rPr>
              <w:t>28,923,101.85份</w:t>
            </w:r>
          </w:p>
        </w:tc>
        <w:tc>
          <w:tcPr>
            <w:tcW w:w="1500" w:type="pct"/>
            <w:vAlign w:val="center"/>
          </w:tcPr>
          <w:p>
            <w:pPr>
              <w:spacing w:line="240" w:lineRule="auto"/>
              <w:jc w:val="left"/>
            </w:pPr>
            <w:r>
              <w:rPr>
                <w:rFonts w:ascii="宋体" w:eastAsia="宋体" w:hAnsi="宋体" w:cs="宋体"/>
                <w:b w:val="0"/>
              </w:rPr>
              <w:t>187,867,134.86份</w:t>
            </w:r>
          </w:p>
        </w:tc>
      </w:tr>
    </w:tbl>
    <w:p>
      <w:r>
        <w:rPr>
          <w:rFonts w:ascii="宋体" w:eastAsia="宋体" w:hAnsi="宋体" w:cs="宋体"/>
          <w:b w:val="0"/>
        </w:rPr>
        <w:t>注：自 2026年9月21日起，本基金业绩比较基准由“中证800指数收益率*60%+恒生指数收益率*20%+中证综合债券指数收益率*20%”调整为“中证800指数收益率*65%+恒生指数收益率*20%+中证综合债（全价）指数收益率*15%”。</w:t>
      </w:r>
    </w:p>
    <w:p>
      <w:pPr>
        <w:pStyle w:val="Heading1"/>
        <w:jc w:val="center"/>
      </w:pPr>
      <w:r>
        <w:rPr>
          <w:rFonts w:ascii="宋体" w:eastAsia="宋体" w:hAnsi="宋体" w:cs="宋体"/>
        </w:rPr>
        <w:t>§3 主要财务指标和基金净值表现</w:t>
      </w:r>
    </w:p>
    <w:p>
      <w:pPr>
        <w:pStyle w:val="Heading2"/>
        <w:jc w:val="left"/>
      </w:pPr>
      <w:r>
        <w:rPr>
          <w:rFonts w:ascii="宋体" w:eastAsia="宋体" w:hAnsi="宋体" w:cs="宋体"/>
        </w:rPr>
        <w:t>3.1 主要财务指标</w:t>
      </w:r>
    </w:p>
    <w:p>
      <w:pPr>
        <w:jc w:val="right"/>
      </w:pPr>
      <w:r>
        <w:rPr>
          <w:rFonts w:ascii="宋体" w:eastAsia="宋体" w:hAnsi="宋体" w:cs="宋体"/>
          <w:b w:val="0"/>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Merge w:val="restart"/>
            <w:shd w:val="clear" w:color="auto" w:fill="D9D9D9"/>
            <w:vAlign w:val="center"/>
          </w:tcPr>
          <w:p>
            <w:pPr>
              <w:spacing w:line="240" w:lineRule="auto"/>
              <w:jc w:val="center"/>
            </w:pPr>
            <w:r>
              <w:rPr>
                <w:rFonts w:ascii="宋体" w:eastAsia="宋体" w:hAnsi="宋体" w:cs="宋体"/>
                <w:b/>
              </w:rPr>
              <w:t>主要财务指标</w:t>
            </w:r>
          </w:p>
        </w:tc>
        <w:tc>
          <w:tcPr>
            <w:tcW w:w="3077" w:type="pct"/>
            <w:gridSpan w:val="2"/>
            <w:shd w:val="clear" w:color="auto" w:fill="D9D9D9"/>
            <w:vAlign w:val="center"/>
          </w:tcPr>
          <w:p>
            <w:pPr>
              <w:spacing w:line="240" w:lineRule="auto"/>
              <w:jc w:val="center"/>
            </w:pPr>
            <w:r>
              <w:rPr>
                <w:rFonts w:ascii="宋体" w:eastAsia="宋体" w:hAnsi="宋体" w:cs="宋体"/>
                <w:b w:val="0"/>
              </w:rPr>
              <w:t>报告期（2026年07月01日-2026年09月30日）</w:t>
            </w:r>
          </w:p>
        </w:tc>
      </w:tr>
      <w:tr>
        <w:tblPrEx>
          <w:tblW w:w="5000" w:type="pct"/>
        </w:tblPrEx>
        <w:tc>
          <w:tcPr>
            <w:vMerge/>
          </w:tcPr>
          <w:p/>
        </w:tc>
        <w:tc>
          <w:tcPr>
            <w:tcW w:w="1500" w:type="pct"/>
            <w:shd w:val="clear" w:color="auto" w:fill="D9D9D9"/>
            <w:vAlign w:val="center"/>
          </w:tcPr>
          <w:p>
            <w:pPr>
              <w:spacing w:line="240" w:lineRule="auto"/>
              <w:jc w:val="center"/>
            </w:pPr>
            <w:r>
              <w:rPr>
                <w:rFonts w:ascii="宋体" w:eastAsia="宋体" w:hAnsi="宋体" w:cs="宋体"/>
                <w:b w:val="0"/>
              </w:rPr>
              <w:t>东方阿尔法瑞丰混合发起A</w:t>
            </w:r>
          </w:p>
        </w:tc>
        <w:tc>
          <w:tcPr>
            <w:tcW w:w="1500" w:type="pct"/>
            <w:shd w:val="clear" w:color="auto" w:fill="D9D9D9"/>
            <w:vAlign w:val="center"/>
          </w:tcPr>
          <w:p>
            <w:pPr>
              <w:spacing w:line="240" w:lineRule="auto"/>
              <w:jc w:val="center"/>
            </w:pPr>
            <w:r>
              <w:rPr>
                <w:rFonts w:ascii="宋体" w:eastAsia="宋体" w:hAnsi="宋体" w:cs="宋体"/>
                <w:b w:val="0"/>
              </w:rPr>
              <w:t>东方阿尔法瑞丰混合发起C</w:t>
            </w:r>
          </w:p>
        </w:tc>
      </w:tr>
      <w:tr>
        <w:tblPrEx>
          <w:tblW w:w="5000" w:type="pct"/>
        </w:tblPrEx>
        <w:tc>
          <w:tcPr>
            <w:tcW w:w="0" w:type="dxa"/>
            <w:vAlign w:val="center"/>
          </w:tcPr>
          <w:p>
            <w:pPr>
              <w:spacing w:line="240" w:lineRule="auto"/>
              <w:jc w:val="left"/>
            </w:pPr>
            <w:r>
              <w:rPr>
                <w:rFonts w:ascii="宋体" w:eastAsia="宋体" w:hAnsi="宋体" w:cs="宋体"/>
                <w:b w:val="0"/>
              </w:rPr>
              <w:t>1.本期已实现收益</w:t>
            </w:r>
          </w:p>
        </w:tc>
        <w:tc>
          <w:tcPr>
            <w:tcW w:w="1500" w:type="pct"/>
            <w:vAlign w:val="center"/>
          </w:tcPr>
          <w:p>
            <w:pPr>
              <w:spacing w:line="240" w:lineRule="auto"/>
              <w:jc w:val="right"/>
            </w:pPr>
            <w:r>
              <w:rPr>
                <w:rFonts w:ascii="宋体" w:eastAsia="宋体" w:hAnsi="宋体" w:cs="宋体"/>
                <w:b w:val="0"/>
              </w:rPr>
              <w:t>-8,493,326.93</w:t>
            </w:r>
          </w:p>
        </w:tc>
        <w:tc>
          <w:tcPr>
            <w:tcW w:w="1500" w:type="pct"/>
            <w:vAlign w:val="center"/>
          </w:tcPr>
          <w:p>
            <w:pPr>
              <w:spacing w:line="240" w:lineRule="auto"/>
              <w:jc w:val="right"/>
            </w:pPr>
            <w:r>
              <w:rPr>
                <w:rFonts w:ascii="宋体" w:eastAsia="宋体" w:hAnsi="宋体" w:cs="宋体"/>
                <w:b w:val="0"/>
              </w:rPr>
              <w:t>-60,743,464.40</w:t>
            </w:r>
          </w:p>
        </w:tc>
      </w:tr>
      <w:tr>
        <w:tblPrEx>
          <w:tblW w:w="5000" w:type="pct"/>
        </w:tblPrEx>
        <w:tc>
          <w:tcPr>
            <w:tcW w:w="0" w:type="dxa"/>
            <w:vAlign w:val="center"/>
          </w:tcPr>
          <w:p>
            <w:pPr>
              <w:spacing w:line="240" w:lineRule="auto"/>
              <w:jc w:val="left"/>
            </w:pPr>
            <w:r>
              <w:rPr>
                <w:rFonts w:ascii="宋体" w:eastAsia="宋体" w:hAnsi="宋体" w:cs="宋体"/>
                <w:b w:val="0"/>
              </w:rPr>
              <w:t>2.本期利润</w:t>
            </w:r>
          </w:p>
        </w:tc>
        <w:tc>
          <w:tcPr>
            <w:tcW w:w="1500" w:type="pct"/>
            <w:vAlign w:val="center"/>
          </w:tcPr>
          <w:p>
            <w:pPr>
              <w:spacing w:line="240" w:lineRule="auto"/>
              <w:jc w:val="right"/>
            </w:pPr>
            <w:r>
              <w:rPr>
                <w:rFonts w:ascii="宋体" w:eastAsia="宋体" w:hAnsi="宋体" w:cs="宋体"/>
                <w:b w:val="0"/>
              </w:rPr>
              <w:t>-14,333,087.14</w:t>
            </w:r>
          </w:p>
        </w:tc>
        <w:tc>
          <w:tcPr>
            <w:tcW w:w="1500" w:type="pct"/>
            <w:vAlign w:val="center"/>
          </w:tcPr>
          <w:p>
            <w:pPr>
              <w:spacing w:line="240" w:lineRule="auto"/>
              <w:jc w:val="right"/>
            </w:pPr>
            <w:r>
              <w:rPr>
                <w:rFonts w:ascii="宋体" w:eastAsia="宋体" w:hAnsi="宋体" w:cs="宋体"/>
                <w:b w:val="0"/>
              </w:rPr>
              <w:t>-105,751,468.14</w:t>
            </w:r>
          </w:p>
        </w:tc>
      </w:tr>
      <w:tr>
        <w:tblPrEx>
          <w:tblW w:w="5000" w:type="pct"/>
        </w:tblPrEx>
        <w:tc>
          <w:tcPr>
            <w:tcW w:w="0" w:type="dxa"/>
            <w:vAlign w:val="center"/>
          </w:tcPr>
          <w:p>
            <w:pPr>
              <w:spacing w:line="240" w:lineRule="auto"/>
              <w:jc w:val="left"/>
            </w:pPr>
            <w:r>
              <w:rPr>
                <w:rFonts w:ascii="宋体" w:eastAsia="宋体" w:hAnsi="宋体" w:cs="宋体"/>
                <w:b w:val="0"/>
              </w:rPr>
              <w:t>3.加权平均基金份额本期利润</w:t>
            </w:r>
          </w:p>
        </w:tc>
        <w:tc>
          <w:tcPr>
            <w:tcW w:w="1500" w:type="pct"/>
            <w:vAlign w:val="center"/>
          </w:tcPr>
          <w:p>
            <w:pPr>
              <w:spacing w:line="240" w:lineRule="auto"/>
              <w:jc w:val="right"/>
            </w:pPr>
            <w:r>
              <w:rPr>
                <w:rFonts w:ascii="宋体" w:eastAsia="宋体" w:hAnsi="宋体" w:cs="宋体"/>
                <w:b w:val="0"/>
              </w:rPr>
              <w:t>-0.5065</w:t>
            </w:r>
          </w:p>
        </w:tc>
        <w:tc>
          <w:tcPr>
            <w:tcW w:w="1500" w:type="pct"/>
            <w:vAlign w:val="center"/>
          </w:tcPr>
          <w:p>
            <w:pPr>
              <w:spacing w:line="240" w:lineRule="auto"/>
              <w:jc w:val="right"/>
            </w:pPr>
            <w:r>
              <w:rPr>
                <w:rFonts w:ascii="宋体" w:eastAsia="宋体" w:hAnsi="宋体" w:cs="宋体"/>
                <w:b w:val="0"/>
              </w:rPr>
              <w:t>-0.5123</w:t>
            </w:r>
          </w:p>
        </w:tc>
      </w:tr>
      <w:tr>
        <w:tblPrEx>
          <w:tblW w:w="5000" w:type="pct"/>
        </w:tblPrEx>
        <w:tc>
          <w:tcPr>
            <w:tcW w:w="0" w:type="dxa"/>
            <w:vAlign w:val="center"/>
          </w:tcPr>
          <w:p>
            <w:pPr>
              <w:spacing w:line="240" w:lineRule="auto"/>
              <w:jc w:val="left"/>
            </w:pPr>
            <w:r>
              <w:rPr>
                <w:rFonts w:ascii="宋体" w:eastAsia="宋体" w:hAnsi="宋体" w:cs="宋体"/>
                <w:b w:val="0"/>
              </w:rPr>
              <w:t>4.期末基金资产净值</w:t>
            </w:r>
          </w:p>
        </w:tc>
        <w:tc>
          <w:tcPr>
            <w:tcW w:w="1500" w:type="pct"/>
            <w:vAlign w:val="center"/>
          </w:tcPr>
          <w:p>
            <w:pPr>
              <w:spacing w:line="240" w:lineRule="auto"/>
              <w:jc w:val="right"/>
            </w:pPr>
            <w:r>
              <w:rPr>
                <w:rFonts w:ascii="宋体" w:eastAsia="宋体" w:hAnsi="宋体" w:cs="宋体"/>
                <w:b w:val="0"/>
              </w:rPr>
              <w:t>19,847,496.68</w:t>
            </w:r>
          </w:p>
        </w:tc>
        <w:tc>
          <w:tcPr>
            <w:tcW w:w="1500" w:type="pct"/>
            <w:vAlign w:val="center"/>
          </w:tcPr>
          <w:p>
            <w:pPr>
              <w:spacing w:line="240" w:lineRule="auto"/>
              <w:jc w:val="right"/>
            </w:pPr>
            <w:r>
              <w:rPr>
                <w:rFonts w:ascii="宋体" w:eastAsia="宋体" w:hAnsi="宋体" w:cs="宋体"/>
                <w:b w:val="0"/>
              </w:rPr>
              <w:t>127,130,062.34</w:t>
            </w:r>
          </w:p>
        </w:tc>
      </w:tr>
      <w:tr>
        <w:tblPrEx>
          <w:tblW w:w="5000" w:type="pct"/>
        </w:tblPrEx>
        <w:tc>
          <w:tcPr>
            <w:tcW w:w="0" w:type="dxa"/>
            <w:vAlign w:val="center"/>
          </w:tcPr>
          <w:p>
            <w:pPr>
              <w:spacing w:line="240" w:lineRule="auto"/>
              <w:jc w:val="left"/>
            </w:pPr>
            <w:r>
              <w:rPr>
                <w:rFonts w:ascii="宋体" w:eastAsia="宋体" w:hAnsi="宋体" w:cs="宋体"/>
                <w:b w:val="0"/>
              </w:rPr>
              <w:t>5.期末基金份额净值</w:t>
            </w:r>
          </w:p>
        </w:tc>
        <w:tc>
          <w:tcPr>
            <w:tcW w:w="1500" w:type="pct"/>
            <w:vAlign w:val="center"/>
          </w:tcPr>
          <w:p>
            <w:pPr>
              <w:spacing w:line="240" w:lineRule="auto"/>
              <w:jc w:val="right"/>
            </w:pPr>
            <w:r>
              <w:rPr>
                <w:rFonts w:ascii="宋体" w:eastAsia="宋体" w:hAnsi="宋体" w:cs="宋体"/>
                <w:b w:val="0"/>
              </w:rPr>
              <w:t>0.6862</w:t>
            </w:r>
          </w:p>
        </w:tc>
        <w:tc>
          <w:tcPr>
            <w:tcW w:w="1500" w:type="pct"/>
            <w:vAlign w:val="center"/>
          </w:tcPr>
          <w:p>
            <w:pPr>
              <w:spacing w:line="240" w:lineRule="auto"/>
              <w:jc w:val="right"/>
            </w:pPr>
            <w:r>
              <w:rPr>
                <w:rFonts w:ascii="宋体" w:eastAsia="宋体" w:hAnsi="宋体" w:cs="宋体"/>
                <w:b w:val="0"/>
              </w:rPr>
              <w:t>0.6767</w:t>
            </w:r>
          </w:p>
        </w:tc>
      </w:tr>
    </w:tbl>
    <w:p>
      <w:r>
        <w:rPr>
          <w:rFonts w:ascii="宋体" w:eastAsia="宋体" w:hAnsi="宋体" w:cs="宋体"/>
          <w:b w:val="0"/>
        </w:rPr>
        <w:t>注：1、本期已实现收益指基金本期利息收入、投资收益、其他收入(不含公允价值变动收益)扣除相关费用后的余额，本期利润为本期已实现收益加上本期公允价值变动收益。</w:t>
        <w:br/>
      </w:r>
      <w:r>
        <w:rPr>
          <w:rFonts w:ascii="宋体" w:eastAsia="宋体" w:hAnsi="宋体" w:cs="宋体"/>
          <w:b w:val="0"/>
        </w:rPr>
        <w:t>2、所述基金业绩指标不包括持有人认购或交易基金的各项费用，计入费用后实际收益水平要低于所列数字。</w:t>
      </w:r>
    </w:p>
    <w:p/>
    <w:p>
      <w:pPr>
        <w:pStyle w:val="Heading2"/>
        <w:jc w:val="left"/>
      </w:pPr>
      <w:r>
        <w:rPr>
          <w:rFonts w:ascii="宋体" w:eastAsia="宋体" w:hAnsi="宋体" w:cs="宋体"/>
        </w:rPr>
        <w:t>3.2 基金净值表现</w:t>
      </w:r>
    </w:p>
    <w:p>
      <w:pPr>
        <w:pStyle w:val="zhangjiep2"/>
      </w:pPr>
      <w:r>
        <w:rPr>
          <w:rStyle w:val="DefaultParagraphFont"/>
          <w:rFonts w:ascii="宋体" w:eastAsia="宋体" w:hAnsi="宋体" w:cs="宋体"/>
          <w:b/>
        </w:rPr>
        <w:t>3.2.1 基金份额净值增长率及其与同期业绩比较基准收益率的比较</w:t>
      </w:r>
    </w:p>
    <w:p>
      <w:pPr>
        <w:jc w:val="left"/>
      </w:pPr>
      <w:r>
        <w:rPr>
          <w:rFonts w:ascii="宋体" w:eastAsia="宋体" w:hAnsi="宋体" w:cs="宋体"/>
          <w:b/>
        </w:rPr>
        <w:t>东方阿尔法瑞丰混合发起A净值表现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-42.46%</w:t>
            </w:r>
          </w:p>
        </w:tc>
        <w:tc>
          <w:tcPr>
            <w:tcW w:w="0" w:type="dxa"/>
            <w:vAlign w:val="center"/>
          </w:tcPr>
          <w:p>
            <w:pPr>
              <w:spacing w:line="240" w:lineRule="auto"/>
              <w:jc w:val="right"/>
            </w:pPr>
            <w:r>
              <w:rPr>
                <w:rFonts w:ascii="宋体" w:eastAsia="宋体" w:hAnsi="宋体" w:cs="宋体"/>
                <w:b w:val="0"/>
              </w:rPr>
              <w:t>3.61%</w:t>
            </w:r>
          </w:p>
        </w:tc>
        <w:tc>
          <w:tcPr>
            <w:tcW w:w="0" w:type="dxa"/>
            <w:vAlign w:val="center"/>
          </w:tcPr>
          <w:p>
            <w:pPr>
              <w:spacing w:line="240" w:lineRule="auto"/>
              <w:jc w:val="right"/>
            </w:pPr>
            <w:r>
              <w:rPr>
                <w:rFonts w:ascii="宋体" w:eastAsia="宋体" w:hAnsi="宋体" w:cs="宋体"/>
                <w:b w:val="0"/>
              </w:rPr>
              <w:t>-7.31%</w:t>
            </w:r>
          </w:p>
        </w:tc>
        <w:tc>
          <w:tcPr>
            <w:tcW w:w="0" w:type="dxa"/>
            <w:vAlign w:val="center"/>
          </w:tcPr>
          <w:p>
            <w:pPr>
              <w:spacing w:line="240" w:lineRule="auto"/>
              <w:jc w:val="right"/>
            </w:pPr>
            <w:r>
              <w:rPr>
                <w:rFonts w:ascii="宋体" w:eastAsia="宋体" w:hAnsi="宋体" w:cs="宋体"/>
                <w:b w:val="0"/>
              </w:rPr>
              <w:t>0.93%</w:t>
            </w:r>
          </w:p>
        </w:tc>
        <w:tc>
          <w:tcPr>
            <w:tcW w:w="0" w:type="dxa"/>
            <w:vAlign w:val="center"/>
          </w:tcPr>
          <w:p>
            <w:pPr>
              <w:spacing w:line="240" w:lineRule="auto"/>
              <w:jc w:val="right"/>
            </w:pPr>
            <w:r>
              <w:rPr>
                <w:rFonts w:ascii="宋体" w:eastAsia="宋体" w:hAnsi="宋体" w:cs="宋体"/>
                <w:b w:val="0"/>
              </w:rPr>
              <w:t>-35.15%</w:t>
            </w:r>
          </w:p>
        </w:tc>
        <w:tc>
          <w:tcPr>
            <w:tcW w:w="0" w:type="dxa"/>
            <w:vAlign w:val="center"/>
          </w:tcPr>
          <w:p>
            <w:pPr>
              <w:spacing w:line="240" w:lineRule="auto"/>
              <w:jc w:val="right"/>
            </w:pPr>
            <w:r>
              <w:rPr>
                <w:rFonts w:ascii="宋体" w:eastAsia="宋体" w:hAnsi="宋体" w:cs="宋体"/>
                <w:b w:val="0"/>
              </w:rPr>
              <w:t>2.68%</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-35.94%</w:t>
            </w:r>
          </w:p>
        </w:tc>
        <w:tc>
          <w:tcPr>
            <w:tcW w:w="0" w:type="dxa"/>
            <w:vAlign w:val="center"/>
          </w:tcPr>
          <w:p>
            <w:pPr>
              <w:spacing w:line="240" w:lineRule="auto"/>
              <w:jc w:val="right"/>
            </w:pPr>
            <w:r>
              <w:rPr>
                <w:rFonts w:ascii="宋体" w:eastAsia="宋体" w:hAnsi="宋体" w:cs="宋体"/>
                <w:b w:val="0"/>
              </w:rPr>
              <w:t>3.27%</w:t>
            </w:r>
          </w:p>
        </w:tc>
        <w:tc>
          <w:tcPr>
            <w:tcW w:w="0" w:type="dxa"/>
            <w:vAlign w:val="center"/>
          </w:tcPr>
          <w:p>
            <w:pPr>
              <w:spacing w:line="240" w:lineRule="auto"/>
              <w:jc w:val="right"/>
            </w:pPr>
            <w:r>
              <w:rPr>
                <w:rFonts w:ascii="宋体" w:eastAsia="宋体" w:hAnsi="宋体" w:cs="宋体"/>
                <w:b w:val="0"/>
              </w:rPr>
              <w:t>-1.43%</w:t>
            </w:r>
          </w:p>
        </w:tc>
        <w:tc>
          <w:tcPr>
            <w:tcW w:w="0" w:type="dxa"/>
            <w:vAlign w:val="center"/>
          </w:tcPr>
          <w:p>
            <w:pPr>
              <w:spacing w:line="240" w:lineRule="auto"/>
              <w:jc w:val="right"/>
            </w:pPr>
            <w:r>
              <w:rPr>
                <w:rFonts w:ascii="宋体" w:eastAsia="宋体" w:hAnsi="宋体" w:cs="宋体"/>
                <w:b w:val="0"/>
              </w:rPr>
              <w:t>0.94%</w:t>
            </w:r>
          </w:p>
        </w:tc>
        <w:tc>
          <w:tcPr>
            <w:tcW w:w="0" w:type="dxa"/>
            <w:vAlign w:val="center"/>
          </w:tcPr>
          <w:p>
            <w:pPr>
              <w:spacing w:line="240" w:lineRule="auto"/>
              <w:jc w:val="right"/>
            </w:pPr>
            <w:r>
              <w:rPr>
                <w:rFonts w:ascii="宋体" w:eastAsia="宋体" w:hAnsi="宋体" w:cs="宋体"/>
                <w:b w:val="0"/>
              </w:rPr>
              <w:t>-34.51%</w:t>
            </w:r>
          </w:p>
        </w:tc>
        <w:tc>
          <w:tcPr>
            <w:tcW w:w="0" w:type="dxa"/>
            <w:vAlign w:val="center"/>
          </w:tcPr>
          <w:p>
            <w:pPr>
              <w:spacing w:line="240" w:lineRule="auto"/>
              <w:jc w:val="right"/>
            </w:pPr>
            <w:r>
              <w:rPr>
                <w:rFonts w:ascii="宋体" w:eastAsia="宋体" w:hAnsi="宋体" w:cs="宋体"/>
                <w:b w:val="0"/>
              </w:rPr>
              <w:t>2.33%</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-41.81%</w:t>
            </w:r>
          </w:p>
        </w:tc>
        <w:tc>
          <w:tcPr>
            <w:tcW w:w="0" w:type="dxa"/>
            <w:vAlign w:val="center"/>
          </w:tcPr>
          <w:p>
            <w:pPr>
              <w:spacing w:line="240" w:lineRule="auto"/>
              <w:jc w:val="right"/>
            </w:pPr>
            <w:r>
              <w:rPr>
                <w:rFonts w:ascii="宋体" w:eastAsia="宋体" w:hAnsi="宋体" w:cs="宋体"/>
                <w:b w:val="0"/>
              </w:rPr>
              <w:t>3.12%</w:t>
            </w:r>
          </w:p>
        </w:tc>
        <w:tc>
          <w:tcPr>
            <w:tcW w:w="0" w:type="dxa"/>
            <w:vAlign w:val="center"/>
          </w:tcPr>
          <w:p>
            <w:pPr>
              <w:spacing w:line="240" w:lineRule="auto"/>
              <w:jc w:val="right"/>
            </w:pPr>
            <w:r>
              <w:rPr>
                <w:rFonts w:ascii="宋体" w:eastAsia="宋体" w:hAnsi="宋体" w:cs="宋体"/>
                <w:b w:val="0"/>
              </w:rPr>
              <w:t>-4.55%</w:t>
            </w:r>
          </w:p>
        </w:tc>
        <w:tc>
          <w:tcPr>
            <w:tcW w:w="0" w:type="dxa"/>
            <w:vAlign w:val="center"/>
          </w:tcPr>
          <w:p>
            <w:pPr>
              <w:spacing w:line="240" w:lineRule="auto"/>
              <w:jc w:val="right"/>
            </w:pPr>
            <w:r>
              <w:rPr>
                <w:rFonts w:ascii="宋体" w:eastAsia="宋体" w:hAnsi="宋体" w:cs="宋体"/>
                <w:b w:val="0"/>
              </w:rPr>
              <w:t>0.89%</w:t>
            </w:r>
          </w:p>
        </w:tc>
        <w:tc>
          <w:tcPr>
            <w:tcW w:w="0" w:type="dxa"/>
            <w:vAlign w:val="center"/>
          </w:tcPr>
          <w:p>
            <w:pPr>
              <w:spacing w:line="240" w:lineRule="auto"/>
              <w:jc w:val="right"/>
            </w:pPr>
            <w:r>
              <w:rPr>
                <w:rFonts w:ascii="宋体" w:eastAsia="宋体" w:hAnsi="宋体" w:cs="宋体"/>
                <w:b w:val="0"/>
              </w:rPr>
              <w:t>-37.26%</w:t>
            </w:r>
          </w:p>
        </w:tc>
        <w:tc>
          <w:tcPr>
            <w:tcW w:w="0" w:type="dxa"/>
            <w:vAlign w:val="center"/>
          </w:tcPr>
          <w:p>
            <w:pPr>
              <w:spacing w:line="240" w:lineRule="auto"/>
              <w:jc w:val="right"/>
            </w:pPr>
            <w:r>
              <w:rPr>
                <w:rFonts w:ascii="宋体" w:eastAsia="宋体" w:hAnsi="宋体" w:cs="宋体"/>
                <w:b w:val="0"/>
              </w:rPr>
              <w:t>2.23%</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-28.00%</w:t>
            </w:r>
          </w:p>
        </w:tc>
        <w:tc>
          <w:tcPr>
            <w:tcW w:w="0" w:type="dxa"/>
            <w:vAlign w:val="center"/>
          </w:tcPr>
          <w:p>
            <w:pPr>
              <w:spacing w:line="240" w:lineRule="auto"/>
              <w:jc w:val="right"/>
            </w:pPr>
            <w:r>
              <w:rPr>
                <w:rFonts w:ascii="宋体" w:eastAsia="宋体" w:hAnsi="宋体" w:cs="宋体"/>
                <w:b w:val="0"/>
              </w:rPr>
              <w:t>2.28%</w:t>
            </w:r>
          </w:p>
        </w:tc>
        <w:tc>
          <w:tcPr>
            <w:tcW w:w="0" w:type="dxa"/>
            <w:vAlign w:val="center"/>
          </w:tcPr>
          <w:p>
            <w:pPr>
              <w:spacing w:line="240" w:lineRule="auto"/>
              <w:jc w:val="right"/>
            </w:pPr>
            <w:r>
              <w:rPr>
                <w:rFonts w:ascii="宋体" w:eastAsia="宋体" w:hAnsi="宋体" w:cs="宋体"/>
                <w:b w:val="0"/>
              </w:rPr>
              <w:t>23.03%</w:t>
            </w:r>
          </w:p>
        </w:tc>
        <w:tc>
          <w:tcPr>
            <w:tcW w:w="0" w:type="dxa"/>
            <w:vAlign w:val="center"/>
          </w:tcPr>
          <w:p>
            <w:pPr>
              <w:spacing w:line="240" w:lineRule="auto"/>
              <w:jc w:val="right"/>
            </w:pPr>
            <w:r>
              <w:rPr>
                <w:rFonts w:ascii="宋体" w:eastAsia="宋体" w:hAnsi="宋体" w:cs="宋体"/>
                <w:b w:val="0"/>
              </w:rPr>
              <w:t>0.92%</w:t>
            </w:r>
          </w:p>
        </w:tc>
        <w:tc>
          <w:tcPr>
            <w:tcW w:w="0" w:type="dxa"/>
            <w:vAlign w:val="center"/>
          </w:tcPr>
          <w:p>
            <w:pPr>
              <w:spacing w:line="240" w:lineRule="auto"/>
              <w:jc w:val="right"/>
            </w:pPr>
            <w:r>
              <w:rPr>
                <w:rFonts w:ascii="宋体" w:eastAsia="宋体" w:hAnsi="宋体" w:cs="宋体"/>
                <w:b w:val="0"/>
              </w:rPr>
              <w:t>-51.03%</w:t>
            </w:r>
          </w:p>
        </w:tc>
        <w:tc>
          <w:tcPr>
            <w:tcW w:w="0" w:type="dxa"/>
            <w:vAlign w:val="center"/>
          </w:tcPr>
          <w:p>
            <w:pPr>
              <w:spacing w:line="240" w:lineRule="auto"/>
              <w:jc w:val="right"/>
            </w:pPr>
            <w:r>
              <w:rPr>
                <w:rFonts w:ascii="宋体" w:eastAsia="宋体" w:hAnsi="宋体" w:cs="宋体"/>
                <w:b w:val="0"/>
              </w:rPr>
              <w:t>1.36%</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-31.38%</w:t>
            </w:r>
          </w:p>
        </w:tc>
        <w:tc>
          <w:tcPr>
            <w:tcW w:w="0" w:type="dxa"/>
            <w:vAlign w:val="center"/>
          </w:tcPr>
          <w:p>
            <w:pPr>
              <w:spacing w:line="240" w:lineRule="auto"/>
              <w:jc w:val="right"/>
            </w:pPr>
            <w:r>
              <w:rPr>
                <w:rFonts w:ascii="宋体" w:eastAsia="宋体" w:hAnsi="宋体" w:cs="宋体"/>
                <w:b w:val="0"/>
              </w:rPr>
              <w:t>2.17%</w:t>
            </w:r>
          </w:p>
        </w:tc>
        <w:tc>
          <w:tcPr>
            <w:tcW w:w="0" w:type="dxa"/>
            <w:vAlign w:val="center"/>
          </w:tcPr>
          <w:p>
            <w:pPr>
              <w:spacing w:line="240" w:lineRule="auto"/>
              <w:jc w:val="right"/>
            </w:pPr>
            <w:r>
              <w:rPr>
                <w:rFonts w:ascii="宋体" w:eastAsia="宋体" w:hAnsi="宋体" w:cs="宋体"/>
                <w:b w:val="0"/>
              </w:rPr>
              <w:t>16.36%</w:t>
            </w:r>
          </w:p>
        </w:tc>
        <w:tc>
          <w:tcPr>
            <w:tcW w:w="0" w:type="dxa"/>
            <w:vAlign w:val="center"/>
          </w:tcPr>
          <w:p>
            <w:pPr>
              <w:spacing w:line="240" w:lineRule="auto"/>
              <w:jc w:val="right"/>
            </w:pPr>
            <w:r>
              <w:rPr>
                <w:rFonts w:ascii="宋体" w:eastAsia="宋体" w:hAnsi="宋体" w:cs="宋体"/>
                <w:b w:val="0"/>
              </w:rPr>
              <w:t>0.90%</w:t>
            </w:r>
          </w:p>
        </w:tc>
        <w:tc>
          <w:tcPr>
            <w:tcW w:w="0" w:type="dxa"/>
            <w:vAlign w:val="center"/>
          </w:tcPr>
          <w:p>
            <w:pPr>
              <w:spacing w:line="240" w:lineRule="auto"/>
              <w:jc w:val="right"/>
            </w:pPr>
            <w:r>
              <w:rPr>
                <w:rFonts w:ascii="宋体" w:eastAsia="宋体" w:hAnsi="宋体" w:cs="宋体"/>
                <w:b w:val="0"/>
              </w:rPr>
              <w:t>-47.74%</w:t>
            </w:r>
          </w:p>
        </w:tc>
        <w:tc>
          <w:tcPr>
            <w:tcW w:w="0" w:type="dxa"/>
            <w:vAlign w:val="center"/>
          </w:tcPr>
          <w:p>
            <w:pPr>
              <w:spacing w:line="240" w:lineRule="auto"/>
              <w:jc w:val="right"/>
            </w:pPr>
            <w:r>
              <w:rPr>
                <w:rFonts w:ascii="宋体" w:eastAsia="宋体" w:hAnsi="宋体" w:cs="宋体"/>
                <w:b w:val="0"/>
              </w:rPr>
              <w:t>1.27%</w:t>
            </w:r>
          </w:p>
        </w:tc>
      </w:tr>
    </w:tbl>
    <w:p>
      <w:pPr>
        <w:jc w:val="left"/>
      </w:pPr>
      <w:r>
        <w:rPr>
          <w:rFonts w:ascii="宋体" w:eastAsia="宋体" w:hAnsi="宋体" w:cs="宋体"/>
          <w:b/>
        </w:rPr>
        <w:t>东方阿尔法瑞丰混合发起C净值表现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-42.53%</w:t>
            </w:r>
          </w:p>
        </w:tc>
        <w:tc>
          <w:tcPr>
            <w:tcW w:w="0" w:type="dxa"/>
            <w:vAlign w:val="center"/>
          </w:tcPr>
          <w:p>
            <w:pPr>
              <w:spacing w:line="240" w:lineRule="auto"/>
              <w:jc w:val="right"/>
            </w:pPr>
            <w:r>
              <w:rPr>
                <w:rFonts w:ascii="宋体" w:eastAsia="宋体" w:hAnsi="宋体" w:cs="宋体"/>
                <w:b w:val="0"/>
              </w:rPr>
              <w:t>3.61%</w:t>
            </w:r>
          </w:p>
        </w:tc>
        <w:tc>
          <w:tcPr>
            <w:tcW w:w="0" w:type="dxa"/>
            <w:vAlign w:val="center"/>
          </w:tcPr>
          <w:p>
            <w:pPr>
              <w:spacing w:line="240" w:lineRule="auto"/>
              <w:jc w:val="right"/>
            </w:pPr>
            <w:r>
              <w:rPr>
                <w:rFonts w:ascii="宋体" w:eastAsia="宋体" w:hAnsi="宋体" w:cs="宋体"/>
                <w:b w:val="0"/>
              </w:rPr>
              <w:t>-7.31%</w:t>
            </w:r>
          </w:p>
        </w:tc>
        <w:tc>
          <w:tcPr>
            <w:tcW w:w="0" w:type="dxa"/>
            <w:vAlign w:val="center"/>
          </w:tcPr>
          <w:p>
            <w:pPr>
              <w:spacing w:line="240" w:lineRule="auto"/>
              <w:jc w:val="right"/>
            </w:pPr>
            <w:r>
              <w:rPr>
                <w:rFonts w:ascii="宋体" w:eastAsia="宋体" w:hAnsi="宋体" w:cs="宋体"/>
                <w:b w:val="0"/>
              </w:rPr>
              <w:t>0.93%</w:t>
            </w:r>
          </w:p>
        </w:tc>
        <w:tc>
          <w:tcPr>
            <w:tcW w:w="0" w:type="dxa"/>
            <w:vAlign w:val="center"/>
          </w:tcPr>
          <w:p>
            <w:pPr>
              <w:spacing w:line="240" w:lineRule="auto"/>
              <w:jc w:val="right"/>
            </w:pPr>
            <w:r>
              <w:rPr>
                <w:rFonts w:ascii="宋体" w:eastAsia="宋体" w:hAnsi="宋体" w:cs="宋体"/>
                <w:b w:val="0"/>
              </w:rPr>
              <w:t>-35.22%</w:t>
            </w:r>
          </w:p>
        </w:tc>
        <w:tc>
          <w:tcPr>
            <w:tcW w:w="0" w:type="dxa"/>
            <w:vAlign w:val="center"/>
          </w:tcPr>
          <w:p>
            <w:pPr>
              <w:spacing w:line="240" w:lineRule="auto"/>
              <w:jc w:val="right"/>
            </w:pPr>
            <w:r>
              <w:rPr>
                <w:rFonts w:ascii="宋体" w:eastAsia="宋体" w:hAnsi="宋体" w:cs="宋体"/>
                <w:b w:val="0"/>
              </w:rPr>
              <w:t>2.68%</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-36.11%</w:t>
            </w:r>
          </w:p>
        </w:tc>
        <w:tc>
          <w:tcPr>
            <w:tcW w:w="0" w:type="dxa"/>
            <w:vAlign w:val="center"/>
          </w:tcPr>
          <w:p>
            <w:pPr>
              <w:spacing w:line="240" w:lineRule="auto"/>
              <w:jc w:val="right"/>
            </w:pPr>
            <w:r>
              <w:rPr>
                <w:rFonts w:ascii="宋体" w:eastAsia="宋体" w:hAnsi="宋体" w:cs="宋体"/>
                <w:b w:val="0"/>
              </w:rPr>
              <w:t>3.27%</w:t>
            </w:r>
          </w:p>
        </w:tc>
        <w:tc>
          <w:tcPr>
            <w:tcW w:w="0" w:type="dxa"/>
            <w:vAlign w:val="center"/>
          </w:tcPr>
          <w:p>
            <w:pPr>
              <w:spacing w:line="240" w:lineRule="auto"/>
              <w:jc w:val="right"/>
            </w:pPr>
            <w:r>
              <w:rPr>
                <w:rFonts w:ascii="宋体" w:eastAsia="宋体" w:hAnsi="宋体" w:cs="宋体"/>
                <w:b w:val="0"/>
              </w:rPr>
              <w:t>-1.43%</w:t>
            </w:r>
          </w:p>
        </w:tc>
        <w:tc>
          <w:tcPr>
            <w:tcW w:w="0" w:type="dxa"/>
            <w:vAlign w:val="center"/>
          </w:tcPr>
          <w:p>
            <w:pPr>
              <w:spacing w:line="240" w:lineRule="auto"/>
              <w:jc w:val="right"/>
            </w:pPr>
            <w:r>
              <w:rPr>
                <w:rFonts w:ascii="宋体" w:eastAsia="宋体" w:hAnsi="宋体" w:cs="宋体"/>
                <w:b w:val="0"/>
              </w:rPr>
              <w:t>0.94%</w:t>
            </w:r>
          </w:p>
        </w:tc>
        <w:tc>
          <w:tcPr>
            <w:tcW w:w="0" w:type="dxa"/>
            <w:vAlign w:val="center"/>
          </w:tcPr>
          <w:p>
            <w:pPr>
              <w:spacing w:line="240" w:lineRule="auto"/>
              <w:jc w:val="right"/>
            </w:pPr>
            <w:r>
              <w:rPr>
                <w:rFonts w:ascii="宋体" w:eastAsia="宋体" w:hAnsi="宋体" w:cs="宋体"/>
                <w:b w:val="0"/>
              </w:rPr>
              <w:t>-34.68%</w:t>
            </w:r>
          </w:p>
        </w:tc>
        <w:tc>
          <w:tcPr>
            <w:tcW w:w="0" w:type="dxa"/>
            <w:vAlign w:val="center"/>
          </w:tcPr>
          <w:p>
            <w:pPr>
              <w:spacing w:line="240" w:lineRule="auto"/>
              <w:jc w:val="right"/>
            </w:pPr>
            <w:r>
              <w:rPr>
                <w:rFonts w:ascii="宋体" w:eastAsia="宋体" w:hAnsi="宋体" w:cs="宋体"/>
                <w:b w:val="0"/>
              </w:rPr>
              <w:t>2.33%</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-42.12%</w:t>
            </w:r>
          </w:p>
        </w:tc>
        <w:tc>
          <w:tcPr>
            <w:tcW w:w="0" w:type="dxa"/>
            <w:vAlign w:val="center"/>
          </w:tcPr>
          <w:p>
            <w:pPr>
              <w:spacing w:line="240" w:lineRule="auto"/>
              <w:jc w:val="right"/>
            </w:pPr>
            <w:r>
              <w:rPr>
                <w:rFonts w:ascii="宋体" w:eastAsia="宋体" w:hAnsi="宋体" w:cs="宋体"/>
                <w:b w:val="0"/>
              </w:rPr>
              <w:t>3.12%</w:t>
            </w:r>
          </w:p>
        </w:tc>
        <w:tc>
          <w:tcPr>
            <w:tcW w:w="0" w:type="dxa"/>
            <w:vAlign w:val="center"/>
          </w:tcPr>
          <w:p>
            <w:pPr>
              <w:spacing w:line="240" w:lineRule="auto"/>
              <w:jc w:val="right"/>
            </w:pPr>
            <w:r>
              <w:rPr>
                <w:rFonts w:ascii="宋体" w:eastAsia="宋体" w:hAnsi="宋体" w:cs="宋体"/>
                <w:b w:val="0"/>
              </w:rPr>
              <w:t>-4.55%</w:t>
            </w:r>
          </w:p>
        </w:tc>
        <w:tc>
          <w:tcPr>
            <w:tcW w:w="0" w:type="dxa"/>
            <w:vAlign w:val="center"/>
          </w:tcPr>
          <w:p>
            <w:pPr>
              <w:spacing w:line="240" w:lineRule="auto"/>
              <w:jc w:val="right"/>
            </w:pPr>
            <w:r>
              <w:rPr>
                <w:rFonts w:ascii="宋体" w:eastAsia="宋体" w:hAnsi="宋体" w:cs="宋体"/>
                <w:b w:val="0"/>
              </w:rPr>
              <w:t>0.89%</w:t>
            </w:r>
          </w:p>
        </w:tc>
        <w:tc>
          <w:tcPr>
            <w:tcW w:w="0" w:type="dxa"/>
            <w:vAlign w:val="center"/>
          </w:tcPr>
          <w:p>
            <w:pPr>
              <w:spacing w:line="240" w:lineRule="auto"/>
              <w:jc w:val="right"/>
            </w:pPr>
            <w:r>
              <w:rPr>
                <w:rFonts w:ascii="宋体" w:eastAsia="宋体" w:hAnsi="宋体" w:cs="宋体"/>
                <w:b w:val="0"/>
              </w:rPr>
              <w:t>-37.57%</w:t>
            </w:r>
          </w:p>
        </w:tc>
        <w:tc>
          <w:tcPr>
            <w:tcW w:w="0" w:type="dxa"/>
            <w:vAlign w:val="center"/>
          </w:tcPr>
          <w:p>
            <w:pPr>
              <w:spacing w:line="240" w:lineRule="auto"/>
              <w:jc w:val="right"/>
            </w:pPr>
            <w:r>
              <w:rPr>
                <w:rFonts w:ascii="宋体" w:eastAsia="宋体" w:hAnsi="宋体" w:cs="宋体"/>
                <w:b w:val="0"/>
              </w:rPr>
              <w:t>2.23%</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-28.86%</w:t>
            </w:r>
          </w:p>
        </w:tc>
        <w:tc>
          <w:tcPr>
            <w:tcW w:w="0" w:type="dxa"/>
            <w:vAlign w:val="center"/>
          </w:tcPr>
          <w:p>
            <w:pPr>
              <w:spacing w:line="240" w:lineRule="auto"/>
              <w:jc w:val="right"/>
            </w:pPr>
            <w:r>
              <w:rPr>
                <w:rFonts w:ascii="宋体" w:eastAsia="宋体" w:hAnsi="宋体" w:cs="宋体"/>
                <w:b w:val="0"/>
              </w:rPr>
              <w:t>2.28%</w:t>
            </w:r>
          </w:p>
        </w:tc>
        <w:tc>
          <w:tcPr>
            <w:tcW w:w="0" w:type="dxa"/>
            <w:vAlign w:val="center"/>
          </w:tcPr>
          <w:p>
            <w:pPr>
              <w:spacing w:line="240" w:lineRule="auto"/>
              <w:jc w:val="right"/>
            </w:pPr>
            <w:r>
              <w:rPr>
                <w:rFonts w:ascii="宋体" w:eastAsia="宋体" w:hAnsi="宋体" w:cs="宋体"/>
                <w:b w:val="0"/>
              </w:rPr>
              <w:t>23.03%</w:t>
            </w:r>
          </w:p>
        </w:tc>
        <w:tc>
          <w:tcPr>
            <w:tcW w:w="0" w:type="dxa"/>
            <w:vAlign w:val="center"/>
          </w:tcPr>
          <w:p>
            <w:pPr>
              <w:spacing w:line="240" w:lineRule="auto"/>
              <w:jc w:val="right"/>
            </w:pPr>
            <w:r>
              <w:rPr>
                <w:rFonts w:ascii="宋体" w:eastAsia="宋体" w:hAnsi="宋体" w:cs="宋体"/>
                <w:b w:val="0"/>
              </w:rPr>
              <w:t>0.92%</w:t>
            </w:r>
          </w:p>
        </w:tc>
        <w:tc>
          <w:tcPr>
            <w:tcW w:w="0" w:type="dxa"/>
            <w:vAlign w:val="center"/>
          </w:tcPr>
          <w:p>
            <w:pPr>
              <w:spacing w:line="240" w:lineRule="auto"/>
              <w:jc w:val="right"/>
            </w:pPr>
            <w:r>
              <w:rPr>
                <w:rFonts w:ascii="宋体" w:eastAsia="宋体" w:hAnsi="宋体" w:cs="宋体"/>
                <w:b w:val="0"/>
              </w:rPr>
              <w:t>-51.89%</w:t>
            </w:r>
          </w:p>
        </w:tc>
        <w:tc>
          <w:tcPr>
            <w:tcW w:w="0" w:type="dxa"/>
            <w:vAlign w:val="center"/>
          </w:tcPr>
          <w:p>
            <w:pPr>
              <w:spacing w:line="240" w:lineRule="auto"/>
              <w:jc w:val="right"/>
            </w:pPr>
            <w:r>
              <w:rPr>
                <w:rFonts w:ascii="宋体" w:eastAsia="宋体" w:hAnsi="宋体" w:cs="宋体"/>
                <w:b w:val="0"/>
              </w:rPr>
              <w:t>1.36%</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-32.33%</w:t>
            </w:r>
          </w:p>
        </w:tc>
        <w:tc>
          <w:tcPr>
            <w:tcW w:w="0" w:type="dxa"/>
            <w:vAlign w:val="center"/>
          </w:tcPr>
          <w:p>
            <w:pPr>
              <w:spacing w:line="240" w:lineRule="auto"/>
              <w:jc w:val="right"/>
            </w:pPr>
            <w:r>
              <w:rPr>
                <w:rFonts w:ascii="宋体" w:eastAsia="宋体" w:hAnsi="宋体" w:cs="宋体"/>
                <w:b w:val="0"/>
              </w:rPr>
              <w:t>2.17%</w:t>
            </w:r>
          </w:p>
        </w:tc>
        <w:tc>
          <w:tcPr>
            <w:tcW w:w="0" w:type="dxa"/>
            <w:vAlign w:val="center"/>
          </w:tcPr>
          <w:p>
            <w:pPr>
              <w:spacing w:line="240" w:lineRule="auto"/>
              <w:jc w:val="right"/>
            </w:pPr>
            <w:r>
              <w:rPr>
                <w:rFonts w:ascii="宋体" w:eastAsia="宋体" w:hAnsi="宋体" w:cs="宋体"/>
                <w:b w:val="0"/>
              </w:rPr>
              <w:t>16.36%</w:t>
            </w:r>
          </w:p>
        </w:tc>
        <w:tc>
          <w:tcPr>
            <w:tcW w:w="0" w:type="dxa"/>
            <w:vAlign w:val="center"/>
          </w:tcPr>
          <w:p>
            <w:pPr>
              <w:spacing w:line="240" w:lineRule="auto"/>
              <w:jc w:val="right"/>
            </w:pPr>
            <w:r>
              <w:rPr>
                <w:rFonts w:ascii="宋体" w:eastAsia="宋体" w:hAnsi="宋体" w:cs="宋体"/>
                <w:b w:val="0"/>
              </w:rPr>
              <w:t>0.90%</w:t>
            </w:r>
          </w:p>
        </w:tc>
        <w:tc>
          <w:tcPr>
            <w:tcW w:w="0" w:type="dxa"/>
            <w:vAlign w:val="center"/>
          </w:tcPr>
          <w:p>
            <w:pPr>
              <w:spacing w:line="240" w:lineRule="auto"/>
              <w:jc w:val="right"/>
            </w:pPr>
            <w:r>
              <w:rPr>
                <w:rFonts w:ascii="宋体" w:eastAsia="宋体" w:hAnsi="宋体" w:cs="宋体"/>
                <w:b w:val="0"/>
              </w:rPr>
              <w:t>-48.69%</w:t>
            </w:r>
          </w:p>
        </w:tc>
        <w:tc>
          <w:tcPr>
            <w:tcW w:w="0" w:type="dxa"/>
            <w:vAlign w:val="center"/>
          </w:tcPr>
          <w:p>
            <w:pPr>
              <w:spacing w:line="240" w:lineRule="auto"/>
              <w:jc w:val="right"/>
            </w:pPr>
            <w:r>
              <w:rPr>
                <w:rFonts w:ascii="宋体" w:eastAsia="宋体" w:hAnsi="宋体" w:cs="宋体"/>
                <w:b w:val="0"/>
              </w:rPr>
              <w:t>1.27%</w:t>
            </w:r>
          </w:p>
        </w:tc>
      </w:tr>
    </w:tbl>
    <w:p>
      <w:r>
        <w:rPr>
          <w:rFonts w:ascii="宋体" w:eastAsia="宋体" w:hAnsi="宋体" w:cs="宋体"/>
          <w:b w:val="0"/>
        </w:rPr>
        <w:t>注：自2026年9月21日起，本基金业绩比较基准由“中证800指数收益率*60%+恒生指数收益率*20%+中证综合债券指数收益率*20%”调整为“中证800指数收益率*65%+恒生指数收益率*20%+中证综合债（全价）指数收益率*15%”。此次本基金业绩比较基准调整同时涉及更换业绩比较基准要素和调整业绩比较基准的要素权重。本基金的债券资产采用全市场策略，主要通过类属配置与券种选择进行投资管理。原业绩比较基准中，中证综合债券指数（指数代码H11009）选取在沪深交易所或银行间市场上市的BBB及以上、且剩余期限1个月及以上的国债、金融债、企业债等债券作为成份券，该指数旨在更全面地反映我国债券市场的整体价格变动趋势。调整后的新业绩比较基准中，中证综合债（全价）指数（指数代码H11009CNY030）为中证综合债券指数的全价算法衍生指数，适合作为本基金债券部分的业绩比较基准要素。此外，基于本基金历史持仓，并结合基金合同约定的投资比例限制以及本基金预期的资产配置比例中枢，将业绩比较基准中的股票资产所对应的基准要素权重从80%提高至85%（其中A股股票部分的基准要素权重相应从60%提高至65%，港股通标的股票部分的基准要素权重仍维持20%），将业绩比较基准中的债券资产所对应的基准要素权重从20%降低至15%，从而使得新业绩比较基准中各大资产类别所对应的基准要素权重与基金投资策略和基金过往实际投资运作等相匹配。本次调整业绩比较基准旨在提高基金业绩表现与业绩比较基准的可比性，更加清晰反映基金的风险收益特征，不会对产品投资运作、持有人利益产生实质性不利影响。基金业绩比较基准收益率在调整前后期间分别根据相应的指标计算。</w:t>
      </w:r>
    </w:p>
    <w:p/>
    <w:p>
      <w:pPr>
        <w:pStyle w:val="zhangjiep2"/>
      </w:pPr>
      <w:r>
        <w:rPr>
          <w:rStyle w:val="DefaultParagraphFont"/>
          <w:rFonts w:ascii="宋体" w:eastAsia="宋体" w:hAnsi="宋体" w:cs="宋体"/>
          <w:b/>
        </w:rPr>
        <w:t>3.2.2 自基金合同生效以来基金累计净值增长率变动及其与同期业绩比较基准收益率变动的比较</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r>
        <w:rPr>
          <w:rFonts w:ascii="宋体" w:eastAsia="宋体" w:hAnsi="宋体" w:cs="宋体"/>
          <w:b w:val="0"/>
        </w:rPr>
        <w:t>注：自2026年9月21日起，本基金业绩比较基准由“中证800指数收益率*60%+恒生指数收益率*20%+中证综合债券指数收益率*20%”调整为“中证800指数收益率*65%+恒生指数收益率*20%+中证综合债（全价）指数收益率*15%”。基金业绩比较基准收益率在调整前后期间分别根据相应的指标计算。</w:t>
      </w:r>
    </w:p>
    <w:p>
      <w:pPr>
        <w:pStyle w:val="Heading1"/>
        <w:jc w:val="center"/>
      </w:pPr>
      <w:r>
        <w:rPr>
          <w:rFonts w:ascii="宋体" w:eastAsia="宋体" w:hAnsi="宋体" w:cs="宋体"/>
        </w:rPr>
        <w:t>§4 管理人报告</w:t>
      </w:r>
    </w:p>
    <w:p>
      <w:pPr>
        <w:pStyle w:val="Heading2"/>
        <w:jc w:val="left"/>
      </w:pPr>
      <w:r>
        <w:rPr>
          <w:rFonts w:ascii="宋体" w:eastAsia="宋体" w:hAnsi="宋体" w:cs="宋体"/>
        </w:rPr>
        <w:t>4.1 基金经理（或基金经理小组）简介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2" w:type="pct"/>
            <w:vMerge w:val="restart"/>
            <w:shd w:val="clear" w:color="auto" w:fill="D9D9D9"/>
            <w:vAlign w:val="center"/>
          </w:tcPr>
          <w:p>
            <w:pPr>
              <w:spacing w:line="240" w:lineRule="auto"/>
              <w:jc w:val="center"/>
            </w:pPr>
            <w:r>
              <w:rPr>
                <w:rFonts w:ascii="宋体" w:eastAsia="宋体" w:hAnsi="宋体" w:cs="宋体"/>
                <w:b w:val="0"/>
              </w:rPr>
              <w:t>姓名</w:t>
            </w:r>
          </w:p>
        </w:tc>
        <w:tc>
          <w:tcPr>
            <w:tcW w:w="662" w:type="pct"/>
            <w:vMerge w:val="restart"/>
            <w:shd w:val="clear" w:color="auto" w:fill="D9D9D9"/>
            <w:vAlign w:val="center"/>
          </w:tcPr>
          <w:p>
            <w:pPr>
              <w:spacing w:line="240" w:lineRule="auto"/>
              <w:jc w:val="center"/>
            </w:pPr>
            <w:r>
              <w:rPr>
                <w:rFonts w:ascii="宋体" w:eastAsia="宋体" w:hAnsi="宋体" w:cs="宋体"/>
                <w:b w:val="0"/>
              </w:rPr>
              <w:t>职务</w:t>
            </w:r>
          </w:p>
        </w:tc>
        <w:tc>
          <w:tcPr>
            <w:tcW w:w="1615" w:type="pct"/>
            <w:gridSpan w:val="2"/>
            <w:shd w:val="clear" w:color="auto" w:fill="D9D9D9"/>
            <w:vAlign w:val="center"/>
          </w:tcPr>
          <w:p>
            <w:pPr>
              <w:spacing w:line="240" w:lineRule="auto"/>
              <w:jc w:val="center"/>
            </w:pPr>
            <w:r>
              <w:rPr>
                <w:rFonts w:ascii="宋体" w:eastAsia="宋体" w:hAnsi="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eastAsia="宋体" w:hAnsi="宋体" w:cs="宋体"/>
                <w:b w:val="0"/>
              </w:rPr>
              <w:t>证券从业年限</w:t>
            </w:r>
          </w:p>
        </w:tc>
        <w:tc>
          <w:tcPr>
            <w:tcW w:w="1631" w:type="pct"/>
            <w:vMerge w:val="restart"/>
            <w:shd w:val="clear" w:color="auto" w:fill="D9D9D9"/>
            <w:vAlign w:val="center"/>
          </w:tcPr>
          <w:p>
            <w:pPr>
              <w:spacing w:line="240" w:lineRule="auto"/>
              <w:jc w:val="center"/>
            </w:pPr>
            <w:r>
              <w:rPr>
                <w:rFonts w:ascii="宋体" w:eastAsia="宋体" w:hAnsi="宋体" w:cs="宋体"/>
                <w:b w:val="0"/>
              </w:rPr>
              <w:t>说明</w:t>
            </w:r>
          </w:p>
        </w:tc>
      </w:tr>
      <w:tr>
        <w:tblPrEx>
          <w:tblW w:w="5000" w:type="pct"/>
        </w:tblPrEx>
        <w:tc>
          <w:tcPr>
            <w:vMerge/>
          </w:tcPr>
          <w:p/>
        </w:tc>
        <w:tc>
          <w:tcPr>
            <w:vMerge/>
          </w:tcPr>
          <w:p/>
        </w:tc>
        <w:tc>
          <w:tcPr>
            <w:tcW w:w="808" w:type="pct"/>
            <w:shd w:val="clear" w:color="auto" w:fill="D9D9D9"/>
            <w:vAlign w:val="center"/>
          </w:tcPr>
          <w:p>
            <w:pPr>
              <w:spacing w:line="240" w:lineRule="auto"/>
              <w:jc w:val="center"/>
            </w:pPr>
            <w:r>
              <w:rPr>
                <w:rFonts w:ascii="宋体" w:eastAsia="宋体" w:hAnsi="宋体" w:cs="宋体"/>
                <w:b w:val="0"/>
              </w:rPr>
              <w:t>任职日期</w:t>
            </w:r>
          </w:p>
        </w:tc>
        <w:tc>
          <w:tcPr>
            <w:tcW w:w="808" w:type="pct"/>
            <w:shd w:val="clear" w:color="auto" w:fill="D9D9D9"/>
            <w:vAlign w:val="center"/>
          </w:tcPr>
          <w:p>
            <w:pPr>
              <w:spacing w:line="240" w:lineRule="auto"/>
              <w:jc w:val="center"/>
            </w:pPr>
            <w:r>
              <w:rPr>
                <w:rFonts w:ascii="宋体" w:eastAsia="宋体" w:hAnsi="宋体" w:cs="宋体"/>
                <w:b w:val="0"/>
              </w:rPr>
              <w:t>离任日期</w:t>
            </w:r>
          </w:p>
        </w:tc>
        <w:tc>
          <w:tcPr>
            <w:vMerge/>
          </w:tcPr>
          <w:p/>
        </w:tc>
        <w:tc>
          <w:tcPr>
            <w:vMerge/>
          </w:tcPr>
          <w:p/>
        </w:tc>
      </w:tr>
      <w:tr>
        <w:tblPrEx>
          <w:tblW w:w="5000" w:type="pct"/>
        </w:tblPrEx>
        <w:tc>
          <w:tcPr>
            <w:tcW w:w="0" w:type="dxa"/>
            <w:vAlign w:val="center"/>
          </w:tcPr>
          <w:p>
            <w:pPr>
              <w:spacing w:line="240" w:lineRule="auto"/>
              <w:jc w:val="left"/>
            </w:pPr>
            <w:r>
              <w:rPr>
                <w:rFonts w:ascii="宋体" w:eastAsia="宋体" w:hAnsi="宋体" w:cs="宋体"/>
                <w:b w:val="0"/>
              </w:rPr>
              <w:t>孙振波</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2023-05-12</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7年</w:t>
            </w:r>
          </w:p>
        </w:tc>
        <w:tc>
          <w:tcPr>
            <w:tcW w:w="0" w:type="dxa"/>
            <w:vAlign w:val="center"/>
          </w:tcPr>
          <w:p>
            <w:pPr>
              <w:spacing w:line="240" w:lineRule="auto"/>
              <w:jc w:val="left"/>
            </w:pPr>
            <w:r>
              <w:rPr>
                <w:rFonts w:ascii="宋体" w:eastAsia="宋体" w:hAnsi="宋体" w:cs="宋体"/>
                <w:b w:val="0"/>
              </w:rPr>
              <w:t>孙振波先生，中国科学技术大学理学学士，复旦大学理学硕士。于2019年6月入职东方阿尔法基金管理有限公司，历任研究员、基金经理助理。现任东方阿尔法基金管理有限公司基金经理。</w:t>
            </w:r>
          </w:p>
        </w:tc>
      </w:tr>
    </w:tbl>
    <w:p>
      <w:r>
        <w:rPr>
          <w:rFonts w:ascii="宋体" w:eastAsia="宋体" w:hAnsi="宋体" w:cs="宋体"/>
          <w:b w:val="0"/>
        </w:rPr>
        <w:t>注：1.对基金的首任基金经理，其"任职日期"为基金合同生效日，"离任日期"为根据公告确定的解聘日期；对此后的非首任基金经理，"任职日期"和"离任日期"分别指公告确定的任职日期和离任日期。</w:t>
        <w:br/>
      </w:r>
      <w:r>
        <w:rPr>
          <w:rFonts w:ascii="宋体" w:eastAsia="宋体" w:hAnsi="宋体" w:cs="宋体"/>
          <w:b w:val="0"/>
        </w:rPr>
        <w:t>2.证券从业的含义遵从《证券基金经营机构董事、监事、高级管理人员及从业人员监督管理办法》的相关规定。</w:t>
      </w:r>
    </w:p>
    <w:p/>
    <w:p>
      <w:pPr>
        <w:pStyle w:val="zhangjiep2"/>
      </w:pPr>
      <w:r>
        <w:rPr>
          <w:rStyle w:val="DefaultParagraphFont"/>
          <w:rFonts w:ascii="宋体" w:eastAsia="宋体" w:hAnsi="宋体" w:cs="宋体"/>
          <w:b/>
        </w:rPr>
        <w:t>4.1.1 期末兼任私募资产管理计划投资经理的基金经理同时管理的产品情况</w:t>
      </w:r>
    </w:p>
    <w:p>
      <w:r>
        <w:rPr>
          <w:rFonts w:ascii="宋体" w:eastAsia="宋体" w:hAnsi="宋体" w:cs="宋体"/>
          <w:b w:val="0"/>
        </w:rPr>
        <w:t xml:space="preserve">    本基金基金经理不存在兼任私募资产管理计划的投资经理的情况。</w:t>
      </w:r>
    </w:p>
    <w:p/>
    <w:p>
      <w:pPr>
        <w:pStyle w:val="Heading2"/>
        <w:jc w:val="left"/>
      </w:pPr>
      <w:r>
        <w:rPr>
          <w:rFonts w:ascii="宋体" w:eastAsia="宋体" w:hAnsi="宋体" w:cs="宋体"/>
        </w:rPr>
        <w:t>4.2 管理人对报告期内本基金运作遵规守信情况的说明</w:t>
      </w:r>
    </w:p>
    <w:p>
      <w:r>
        <w:rPr>
          <w:rFonts w:ascii="宋体" w:eastAsia="宋体" w:hAnsi="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Heading2"/>
        <w:jc w:val="left"/>
      </w:pPr>
      <w:r>
        <w:rPr>
          <w:rFonts w:ascii="宋体" w:eastAsia="宋体" w:hAnsi="宋体" w:cs="宋体"/>
        </w:rPr>
        <w:t>4.3 公平交易专项说明</w:t>
      </w:r>
    </w:p>
    <w:p>
      <w:pPr>
        <w:pStyle w:val="zhangjiep2"/>
      </w:pPr>
      <w:r>
        <w:rPr>
          <w:rStyle w:val="DefaultParagraphFont"/>
          <w:rFonts w:ascii="宋体" w:eastAsia="宋体" w:hAnsi="宋体" w:cs="宋体"/>
          <w:b/>
        </w:rPr>
        <w:t>4.3.1 公平交易制度的执行情况</w:t>
      </w:r>
    </w:p>
    <w:p>
      <w:r>
        <w:rPr>
          <w:rFonts w:ascii="宋体" w:eastAsia="宋体" w:hAnsi="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br/>
      </w:r>
      <w:r>
        <w:rPr>
          <w:rFonts w:ascii="宋体" w:eastAsia="宋体" w:hAnsi="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zhangjiep2"/>
      </w:pPr>
      <w:r>
        <w:rPr>
          <w:rStyle w:val="DefaultParagraphFont"/>
          <w:rFonts w:ascii="宋体" w:eastAsia="宋体" w:hAnsi="宋体" w:cs="宋体"/>
          <w:b/>
        </w:rPr>
        <w:t>4.3.2 异常交易行为的专项说明</w:t>
      </w:r>
    </w:p>
    <w:p>
      <w:r>
        <w:rPr>
          <w:rFonts w:ascii="宋体" w:eastAsia="宋体" w:hAnsi="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Heading2"/>
        <w:jc w:val="left"/>
      </w:pPr>
      <w:r>
        <w:rPr>
          <w:rFonts w:ascii="宋体" w:eastAsia="宋体" w:hAnsi="宋体" w:cs="宋体"/>
        </w:rPr>
        <w:t>4.4 报告期内基金的投资策略和运作分析</w:t>
      </w:r>
    </w:p>
    <w:p>
      <w:r>
        <w:rPr>
          <w:rFonts w:ascii="宋体" w:eastAsia="宋体" w:hAnsi="宋体" w:cs="宋体"/>
          <w:b w:val="0"/>
        </w:rPr>
        <w:t xml:space="preserve">    2026年三季度，商业航天产业延续加速兑现，但二级市场与产业基本面出现明显背离。产业端在可回收技术、批量组网、资本注入三条线上同时突破，板块估值却在成长股整体杀估值与前期主题热度降温的双重压力下大幅回撤。</w:t>
        <w:br/>
      </w:r>
      <w:r>
        <w:rPr>
          <w:rFonts w:ascii="宋体" w:eastAsia="宋体" w:hAnsi="宋体" w:cs="宋体"/>
          <w:b w:val="0"/>
        </w:rPr>
        <w:t xml:space="preserve">    产业端有三个标志性变化。一是可回收技术从“验证”走向“工程化”。7月，长征十号乙首飞并完成一子级海上网系捕获回收，为我国首次成功实施运载火箭可控回收；8月19日，朱雀三号遥二发射并实现一子级陆上软着陆回收，是国内民营火箭首次突破可回收，也是首次验证陆上着陆腿回收方案。二是民营火箭首次批量承担国家级星座组网。9月15日，朱雀二号改进型遥七以“一箭十星”方式将千帆极轨19组卫星送入预定轨道；9月16日，东方空间引力一号遥三在东海海域完成海上机动发射，一次送入8颗千帆组网卫星及1颗试验卫星，净载荷超3吨，创下国内单次海上发射载荷重量与轨道高度两项纪录。三是资本与政策同步加码。8月17日，垣信卫星完成69.76亿元增资、引入18家投资方，刷新国内商业卫星单轮融资纪录；工信部9月印发《信息通信行业发展“十五五”规划》，明确打造天地一体空间网络、推广手机直连卫星并适时启动6G商用。组网进度上，截至9月中旬千帆星座在轨248颗、中国星网在轨超过200颗，千帆计划2026年底完成一阶段324颗全球组网并启动商业化运营。</w:t>
        <w:br/>
      </w:r>
      <w:r>
        <w:rPr>
          <w:rFonts w:ascii="宋体" w:eastAsia="宋体" w:hAnsi="宋体" w:cs="宋体"/>
          <w:b w:val="0"/>
        </w:rPr>
        <w:t xml:space="preserve">    二级市场则明显滞后于产业。三季度上证指数下跌6.16%，深证成指下跌20.47%，创业板指下跌27.80%，科创50下跌30.70%，申万国防军工一级行业下跌12.59%。中航证券商业航天指数7月单月下跌26.64%，自1月12日高点回撤约40%。回撤的直接触发因素并非产业逻辑被破坏，而是“太空+算力”叙事降温、长十乙回收利好落地后的资金兑现、中报业绩不及预期，以及海外龙头上市后破发带来的情绪扰动。</w:t>
        <w:br/>
      </w:r>
      <w:r>
        <w:rPr>
          <w:rFonts w:ascii="宋体" w:eastAsia="宋体" w:hAnsi="宋体" w:cs="宋体"/>
          <w:b w:val="0"/>
        </w:rPr>
        <w:t xml:space="preserve">    基于上述判断，本基金在三季度维持了对商业航天方向的重点配置，持仓结构总体稳定，未作方向性调整，延续二季度确立的“太空能源与星地连接为主线、火箭发射配套为弹性、卫星应用为底仓”的配置框架。核心考虑是：可回收降本、星座批量组网、运营主体大额融资这三件事，指向的是产业从“技术验证”进入“规模部署”的实质性跃迁，属于中长期逻辑的强化而非削弱；季内的下跌主要来自估值与风险偏好的收缩，而非订单与产业节奏的逆转。</w:t>
        <w:br/>
      </w:r>
      <w:r>
        <w:rPr>
          <w:rFonts w:ascii="宋体" w:eastAsia="宋体" w:hAnsi="宋体" w:cs="宋体"/>
          <w:b w:val="0"/>
        </w:rPr>
        <w:t xml:space="preserve">    一是太空能源与算力基础设施，是组合的第一重仓方向。卫星批产与在轨算力部署对太阳翼面积、单位功率与轻量化提出更高要求，HJT、钙钛矿叠层等高效电池路线及配套设备、材料的产业权重随之上升；若太空算力按远期百GW级部署推进，太空光伏的市场空间有望从百亿级向千亿级跃升。但也需客观看待，该环节当前仍处于地面光伏需求下行、太空需求尚未规模放量的“青黄不接”期，相关公司中报收入与利润普遍承压，季内股价调整幅度较大，属于典型的“远期空间大、近期业绩弱”的资产。</w:t>
        <w:br/>
      </w:r>
      <w:r>
        <w:rPr>
          <w:rFonts w:ascii="宋体" w:eastAsia="宋体" w:hAnsi="宋体" w:cs="宋体"/>
          <w:b w:val="0"/>
        </w:rPr>
        <w:t xml:space="preserve">    二是星地连接环节，包括低轨终端相控阵天线、高频高速连接器与星间激光通信。全球低轨星座进入规模部署，地面终端需求先于运营收入释放，国内终端与器件企业已切入海外头部星座供应链并实现批量交付，是产业链中订单能见度相对较高的部分；但该类资产前期涨幅大、估值高，也是本季度回撤最明显的部分。</w:t>
        <w:br/>
      </w:r>
      <w:r>
        <w:rPr>
          <w:rFonts w:ascii="宋体" w:eastAsia="宋体" w:hAnsi="宋体" w:cs="宋体"/>
          <w:b w:val="0"/>
        </w:rPr>
        <w:t xml:space="preserve">    三是火箭发射及配套，包括紧固件、精密结构件、增材制造等。可回收带来的发射频次提升直接对应配套件的用量放量，是产业放量阶段弹性最大的环节，但短期业绩兑现节奏受发射排期与型号验证进度制约。四是卫星整星与数据应用，维持底仓配置，等待组网完成后的运营与数据服务收入放量。</w:t>
        <w:br/>
      </w:r>
      <w:r>
        <w:rPr>
          <w:rFonts w:ascii="宋体" w:eastAsia="宋体" w:hAnsi="宋体" w:cs="宋体"/>
          <w:b w:val="0"/>
        </w:rPr>
        <w:t xml:space="preserve">    总结来看，商业航天作为国家战略核心板块，正处于政策护航、技术破局、订单兑现的黄金拐点，迎来从“题材”到“真成长”的关键跃迁。本基金将持续关注国家航天强国战略，精选产业链核心资产，把握空天产业爆发红利。国家级星座组网驱动爆发式订单，2026年全年发射次数或将破百次，商业发射占比超60%，入轨航天器突破1000 颗，产业规模同比增长超 35%，进入高速增长期。管理人看好商业航天在通信、遥感、导航等领域的长期应用潜力，将持续跟踪技术进展与商业化节奏，努力为投资人布局未来。</w:t>
        <w:br/>
      </w:r>
      <w:r>
        <w:rPr>
          <w:rFonts w:ascii="宋体" w:eastAsia="宋体" w:hAnsi="宋体" w:cs="宋体"/>
          <w:b w:val="0"/>
        </w:rPr>
        <w:t xml:space="preserve">    在保持商业航天作为核心持仓的同时，也适度进行了组合的分散，寻找其他行业的投资机会。除商业航天外，管理人在跨行业比较中还重点跟踪两个方向，它们的产业逻辑与商业航天均处于供给格局重塑之后、由订单而非预期驱动的阶段，作为下一阶段的重点研究储备：一是碳酸锂；二是CXO，定价将从“预期博弈”转向“成本与订单”，持续跟踪，择机纳入组合。</w:t>
      </w:r>
    </w:p>
    <w:p/>
    <w:p>
      <w:pPr>
        <w:pStyle w:val="Heading2"/>
        <w:jc w:val="left"/>
      </w:pPr>
      <w:r>
        <w:rPr>
          <w:rFonts w:ascii="宋体" w:eastAsia="宋体" w:hAnsi="宋体" w:cs="宋体"/>
        </w:rPr>
        <w:t>4.5 报告期内基金的业绩表现</w:t>
      </w:r>
    </w:p>
    <w:p>
      <w:r>
        <w:rPr>
          <w:rFonts w:ascii="宋体" w:eastAsia="宋体" w:hAnsi="宋体" w:cs="宋体"/>
          <w:b w:val="0"/>
        </w:rPr>
        <w:t xml:space="preserve">    截至报告期末东方阿尔法瑞丰混合发起A基金份额净值为0.6862元，本报告期内，该类基金份额净值增长率为-42.46%，同期业绩比较基准收益率为-7.31%；截至报告期末东方阿尔法瑞丰混合发起C基金份额净值为0.6767元，本报告期内，该类基金份额净值增长率为-42.53%，同期业绩比较基准收益率为-7.31%。</w:t>
      </w:r>
    </w:p>
    <w:p/>
    <w:p>
      <w:pPr>
        <w:pStyle w:val="Heading2"/>
        <w:jc w:val="left"/>
      </w:pPr>
      <w:r>
        <w:rPr>
          <w:rFonts w:ascii="宋体" w:eastAsia="宋体" w:hAnsi="宋体" w:cs="宋体"/>
        </w:rPr>
        <w:t>4.6 报告期内基金持有人数或基金资产净值预警说明</w:t>
      </w:r>
    </w:p>
    <w:p>
      <w:r>
        <w:rPr>
          <w:rFonts w:ascii="宋体" w:eastAsia="宋体" w:hAnsi="宋体" w:cs="宋体"/>
          <w:b w:val="0"/>
        </w:rPr>
        <w:t xml:space="preserve">    本报告期内，本基金未出现连续20个工作日基金份额持有人数量不满200人或者基金资产净值低于5000万的情形。</w:t>
      </w:r>
    </w:p>
    <w:p>
      <w:pPr>
        <w:pStyle w:val="Heading1"/>
        <w:jc w:val="center"/>
      </w:pPr>
      <w:r>
        <w:rPr>
          <w:rFonts w:ascii="宋体" w:eastAsia="宋体" w:hAnsi="宋体" w:cs="宋体"/>
        </w:rPr>
        <w:t>§5 投资组合报告</w:t>
      </w:r>
    </w:p>
    <w:p>
      <w:pPr>
        <w:pStyle w:val="Heading2"/>
        <w:jc w:val="left"/>
      </w:pPr>
      <w:r>
        <w:rPr>
          <w:rFonts w:ascii="宋体" w:eastAsia="宋体" w:hAnsi="宋体" w:cs="宋体"/>
        </w:rPr>
        <w:t>5.1 报告期末基金资产组合情况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2"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项目</w:t>
            </w:r>
          </w:p>
        </w:tc>
        <w:tc>
          <w:tcPr>
            <w:tcW w:w="1538" w:type="pct"/>
            <w:shd w:val="clear" w:color="auto" w:fill="D9D9D9"/>
            <w:vAlign w:val="center"/>
          </w:tcPr>
          <w:p>
            <w:pPr>
              <w:spacing w:line="240" w:lineRule="auto"/>
              <w:jc w:val="center"/>
            </w:pPr>
            <w:r>
              <w:rPr>
                <w:rFonts w:ascii="宋体" w:eastAsia="宋体" w:hAnsi="宋体" w:cs="宋体"/>
                <w:b w:val="0"/>
              </w:rPr>
              <w:t>金额(元)</w:t>
            </w:r>
          </w:p>
        </w:tc>
        <w:tc>
          <w:tcPr>
            <w:tcW w:w="1538" w:type="pct"/>
            <w:shd w:val="clear" w:color="auto" w:fill="D9D9D9"/>
            <w:vAlign w:val="center"/>
          </w:tcPr>
          <w:p>
            <w:pPr>
              <w:spacing w:line="240" w:lineRule="auto"/>
              <w:jc w:val="center"/>
            </w:pPr>
            <w:r>
              <w:rPr>
                <w:rFonts w:ascii="宋体" w:eastAsia="宋体" w:hAnsi="宋体" w:cs="宋体"/>
                <w:b w:val="0"/>
              </w:rPr>
              <w:t>占基金总资产的比例（%）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权益投资</w:t>
            </w:r>
          </w:p>
        </w:tc>
        <w:tc>
          <w:tcPr>
            <w:tcW w:w="0" w:type="dxa"/>
            <w:vAlign w:val="center"/>
          </w:tcPr>
          <w:p>
            <w:pPr>
              <w:spacing w:line="240" w:lineRule="auto"/>
              <w:jc w:val="right"/>
            </w:pPr>
            <w:r>
              <w:rPr>
                <w:rFonts w:ascii="宋体" w:eastAsia="宋体" w:hAnsi="宋体" w:cs="宋体"/>
                <w:b w:val="0"/>
              </w:rPr>
              <w:t>133,654,569.19</w:t>
            </w:r>
          </w:p>
        </w:tc>
        <w:tc>
          <w:tcPr>
            <w:tcW w:w="0" w:type="dxa"/>
            <w:vAlign w:val="center"/>
          </w:tcPr>
          <w:p>
            <w:pPr>
              <w:spacing w:line="240" w:lineRule="auto"/>
              <w:jc w:val="right"/>
            </w:pPr>
            <w:r>
              <w:rPr>
                <w:rFonts w:ascii="宋体" w:eastAsia="宋体" w:hAnsi="宋体" w:cs="宋体"/>
                <w:b w:val="0"/>
              </w:rPr>
              <w:t>88.37</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其中：股票</w:t>
            </w:r>
          </w:p>
        </w:tc>
        <w:tc>
          <w:tcPr>
            <w:tcW w:w="0" w:type="dxa"/>
            <w:vAlign w:val="center"/>
          </w:tcPr>
          <w:p>
            <w:pPr>
              <w:spacing w:line="240" w:lineRule="auto"/>
              <w:jc w:val="right"/>
            </w:pPr>
            <w:r>
              <w:rPr>
                <w:rFonts w:ascii="宋体" w:eastAsia="宋体" w:hAnsi="宋体" w:cs="宋体"/>
                <w:b w:val="0"/>
              </w:rPr>
              <w:t>133,654,569.19</w:t>
            </w:r>
          </w:p>
        </w:tc>
        <w:tc>
          <w:tcPr>
            <w:tcW w:w="0" w:type="dxa"/>
            <w:vAlign w:val="center"/>
          </w:tcPr>
          <w:p>
            <w:pPr>
              <w:spacing w:line="240" w:lineRule="auto"/>
              <w:jc w:val="right"/>
            </w:pPr>
            <w:r>
              <w:rPr>
                <w:rFonts w:ascii="宋体" w:eastAsia="宋体" w:hAnsi="宋体" w:cs="宋体"/>
                <w:b w:val="0"/>
              </w:rPr>
              <w:t>88.37</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基金投资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固定收益投资</w:t>
            </w:r>
          </w:p>
        </w:tc>
        <w:tc>
          <w:tcPr>
            <w:tcW w:w="0" w:type="dxa"/>
            <w:vAlign w:val="center"/>
          </w:tcPr>
          <w:p>
            <w:pPr>
              <w:spacing w:line="240" w:lineRule="auto"/>
              <w:jc w:val="right"/>
            </w:pPr>
            <w:r>
              <w:rPr>
                <w:rFonts w:ascii="宋体" w:eastAsia="宋体" w:hAnsi="宋体" w:cs="宋体"/>
                <w:b w:val="0"/>
              </w:rPr>
              <w:t>10,584,997.06</w:t>
            </w:r>
          </w:p>
        </w:tc>
        <w:tc>
          <w:tcPr>
            <w:tcW w:w="0" w:type="dxa"/>
            <w:vAlign w:val="center"/>
          </w:tcPr>
          <w:p>
            <w:pPr>
              <w:spacing w:line="240" w:lineRule="auto"/>
              <w:jc w:val="right"/>
            </w:pPr>
            <w:r>
              <w:rPr>
                <w:rFonts w:ascii="宋体" w:eastAsia="宋体" w:hAnsi="宋体" w:cs="宋体"/>
                <w:b w:val="0"/>
              </w:rPr>
              <w:t>7.00</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其中：债券</w:t>
            </w:r>
          </w:p>
        </w:tc>
        <w:tc>
          <w:tcPr>
            <w:tcW w:w="0" w:type="dxa"/>
            <w:vAlign w:val="center"/>
          </w:tcPr>
          <w:p>
            <w:pPr>
              <w:spacing w:line="240" w:lineRule="auto"/>
              <w:jc w:val="right"/>
            </w:pPr>
            <w:r>
              <w:rPr>
                <w:rFonts w:ascii="宋体" w:eastAsia="宋体" w:hAnsi="宋体" w:cs="宋体"/>
                <w:b w:val="0"/>
              </w:rPr>
              <w:t>10,584,997.06</w:t>
            </w:r>
          </w:p>
        </w:tc>
        <w:tc>
          <w:tcPr>
            <w:tcW w:w="0" w:type="dxa"/>
            <w:vAlign w:val="center"/>
          </w:tcPr>
          <w:p>
            <w:pPr>
              <w:spacing w:line="240" w:lineRule="auto"/>
              <w:jc w:val="right"/>
            </w:pPr>
            <w:r>
              <w:rPr>
                <w:rFonts w:ascii="宋体" w:eastAsia="宋体" w:hAnsi="宋体" w:cs="宋体"/>
                <w:b w:val="0"/>
              </w:rPr>
              <w:t>7.00</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 xml:space="preserve">      资产支持证券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pPr>
            <w:r>
              <w:rPr>
                <w:rFonts w:ascii="宋体" w:eastAsia="宋体" w:hAnsi="宋体" w:cs="宋体"/>
                <w:b w:val="0"/>
              </w:rPr>
              <w:t>贵金属投资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金融衍生品投资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其中：买断式回购的买入返售金融资产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银行存款和结算备付金合计</w:t>
            </w:r>
          </w:p>
        </w:tc>
        <w:tc>
          <w:tcPr>
            <w:tcW w:w="0" w:type="dxa"/>
            <w:vAlign w:val="center"/>
          </w:tcPr>
          <w:p>
            <w:pPr>
              <w:spacing w:line="240" w:lineRule="auto"/>
              <w:jc w:val="right"/>
            </w:pPr>
            <w:r>
              <w:rPr>
                <w:rFonts w:ascii="宋体" w:eastAsia="宋体" w:hAnsi="宋体" w:cs="宋体"/>
                <w:b w:val="0"/>
              </w:rPr>
              <w:t>5,987,000.43</w:t>
            </w:r>
          </w:p>
        </w:tc>
        <w:tc>
          <w:tcPr>
            <w:tcW w:w="0" w:type="dxa"/>
            <w:vAlign w:val="center"/>
          </w:tcPr>
          <w:p>
            <w:pPr>
              <w:spacing w:line="240" w:lineRule="auto"/>
              <w:jc w:val="right"/>
            </w:pPr>
            <w:r>
              <w:rPr>
                <w:rFonts w:ascii="宋体" w:eastAsia="宋体" w:hAnsi="宋体" w:cs="宋体"/>
                <w:b w:val="0"/>
              </w:rPr>
              <w:t>3.96</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其他资产</w:t>
            </w:r>
          </w:p>
        </w:tc>
        <w:tc>
          <w:tcPr>
            <w:tcW w:w="0" w:type="dxa"/>
            <w:vAlign w:val="center"/>
          </w:tcPr>
          <w:p>
            <w:pPr>
              <w:spacing w:line="240" w:lineRule="auto"/>
              <w:jc w:val="right"/>
            </w:pPr>
            <w:r>
              <w:rPr>
                <w:rFonts w:ascii="宋体" w:eastAsia="宋体" w:hAnsi="宋体" w:cs="宋体"/>
                <w:b w:val="0"/>
              </w:rPr>
              <w:t>1,018,196.04</w:t>
            </w:r>
          </w:p>
        </w:tc>
        <w:tc>
          <w:tcPr>
            <w:tcW w:w="0" w:type="dxa"/>
            <w:vAlign w:val="center"/>
          </w:tcPr>
          <w:p>
            <w:pPr>
              <w:spacing w:line="240" w:lineRule="auto"/>
              <w:jc w:val="right"/>
            </w:pPr>
            <w:r>
              <w:rPr>
                <w:rFonts w:ascii="宋体" w:eastAsia="宋体" w:hAnsi="宋体" w:cs="宋体"/>
                <w:b w:val="0"/>
              </w:rPr>
              <w:t>0.67</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151,244,762.72</w:t>
            </w:r>
          </w:p>
        </w:tc>
        <w:tc>
          <w:tcPr>
            <w:tcW w:w="0" w:type="dxa"/>
            <w:vAlign w:val="center"/>
          </w:tcPr>
          <w:p>
            <w:pPr>
              <w:spacing w:line="240" w:lineRule="auto"/>
              <w:jc w:val="right"/>
            </w:pPr>
            <w:r>
              <w:rPr>
                <w:rFonts w:ascii="宋体" w:eastAsia="宋体" w:hAnsi="宋体" w:cs="宋体"/>
                <w:b w:val="0"/>
              </w:rPr>
              <w:t>100.00</w:t>
            </w:r>
          </w:p>
        </w:tc>
      </w:tr>
    </w:tbl>
    <w:p>
      <w:r>
        <w:rPr>
          <w:rFonts w:ascii="宋体" w:eastAsia="宋体" w:hAnsi="宋体" w:cs="宋体"/>
          <w:b w:val="0"/>
        </w:rPr>
        <w:t>注：报告期末本基金通过港股通交易机制投资的港股公允价值合计9,099,917.28元，占基金资产净值的比例为6.19%。</w:t>
      </w:r>
    </w:p>
    <w:p/>
    <w:p>
      <w:pPr>
        <w:pStyle w:val="Heading2"/>
        <w:jc w:val="left"/>
      </w:pPr>
      <w:r>
        <w:rPr>
          <w:rFonts w:ascii="宋体" w:eastAsia="宋体" w:hAnsi="宋体" w:cs="宋体"/>
        </w:rPr>
        <w:t>5.2 报告期末按行业分类的股票投资组合</w:t>
      </w:r>
    </w:p>
    <w:p>
      <w:pPr>
        <w:pStyle w:val="zhangjiep2"/>
      </w:pPr>
      <w:r>
        <w:rPr>
          <w:rStyle w:val="DefaultParagraphFont"/>
          <w:rFonts w:ascii="宋体" w:eastAsia="宋体" w:hAnsi="宋体" w:cs="宋体"/>
          <w:b/>
        </w:rPr>
        <w:t>5.2.1 报告期末按行业分类的境内股票投资组合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代码</w:t>
            </w:r>
          </w:p>
        </w:tc>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A</w:t>
            </w:r>
          </w:p>
        </w:tc>
        <w:tc>
          <w:tcPr>
            <w:tcW w:w="0" w:type="dxa"/>
            <w:vAlign w:val="center"/>
          </w:tcPr>
          <w:p>
            <w:pPr>
              <w:spacing w:line="240" w:lineRule="auto"/>
              <w:jc w:val="left"/>
            </w:pPr>
            <w:r>
              <w:rPr>
                <w:rFonts w:ascii="宋体" w:eastAsia="宋体" w:hAnsi="宋体" w:cs="宋体"/>
                <w:b w:val="0"/>
              </w:rPr>
              <w:t>农、林、牧、渔业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B</w:t>
            </w:r>
          </w:p>
        </w:tc>
        <w:tc>
          <w:tcPr>
            <w:tcW w:w="0" w:type="dxa"/>
            <w:vAlign w:val="center"/>
          </w:tcPr>
          <w:p>
            <w:pPr>
              <w:spacing w:line="240" w:lineRule="auto"/>
              <w:jc w:val="left"/>
            </w:pPr>
            <w:r>
              <w:rPr>
                <w:rFonts w:ascii="宋体" w:eastAsia="宋体" w:hAnsi="宋体" w:cs="宋体"/>
                <w:b w:val="0"/>
              </w:rPr>
              <w:t>采矿业</w:t>
            </w:r>
          </w:p>
        </w:tc>
        <w:tc>
          <w:tcPr>
            <w:tcW w:w="0" w:type="dxa"/>
            <w:vAlign w:val="center"/>
          </w:tcPr>
          <w:p>
            <w:pPr>
              <w:spacing w:line="240" w:lineRule="auto"/>
              <w:jc w:val="right"/>
            </w:pPr>
            <w:r>
              <w:rPr>
                <w:rFonts w:ascii="宋体" w:eastAsia="宋体" w:hAnsi="宋体" w:cs="宋体"/>
                <w:b w:val="0"/>
              </w:rPr>
              <w:t>118,869.29</w:t>
            </w:r>
          </w:p>
        </w:tc>
        <w:tc>
          <w:tcPr>
            <w:tcW w:w="0" w:type="dxa"/>
            <w:vAlign w:val="center"/>
          </w:tcPr>
          <w:p>
            <w:pPr>
              <w:spacing w:line="240" w:lineRule="auto"/>
              <w:jc w:val="right"/>
            </w:pPr>
            <w:r>
              <w:rPr>
                <w:rFonts w:ascii="宋体" w:eastAsia="宋体" w:hAnsi="宋体" w:cs="宋体"/>
                <w:b w:val="0"/>
              </w:rPr>
              <w:t>0.08</w:t>
            </w:r>
          </w:p>
        </w:tc>
      </w:tr>
      <w:tr>
        <w:tblPrEx>
          <w:tblW w:w="5000" w:type="pct"/>
        </w:tblPrEx>
        <w:tc>
          <w:tcPr>
            <w:tcW w:w="0" w:type="dxa"/>
            <w:vAlign w:val="center"/>
          </w:tcPr>
          <w:p>
            <w:pPr>
              <w:spacing w:line="240" w:lineRule="auto"/>
              <w:jc w:val="center"/>
            </w:pPr>
            <w:r>
              <w:rPr>
                <w:rFonts w:ascii="宋体" w:eastAsia="宋体" w:hAnsi="宋体" w:cs="宋体"/>
                <w:b w:val="0"/>
              </w:rPr>
              <w:t>C</w:t>
            </w:r>
          </w:p>
        </w:tc>
        <w:tc>
          <w:tcPr>
            <w:tcW w:w="0" w:type="dxa"/>
            <w:vAlign w:val="center"/>
          </w:tcPr>
          <w:p>
            <w:pPr>
              <w:spacing w:line="240" w:lineRule="auto"/>
              <w:jc w:val="left"/>
            </w:pPr>
            <w:r>
              <w:rPr>
                <w:rFonts w:ascii="宋体" w:eastAsia="宋体" w:hAnsi="宋体" w:cs="宋体"/>
                <w:b w:val="0"/>
              </w:rPr>
              <w:t>制造业</w:t>
            </w:r>
          </w:p>
        </w:tc>
        <w:tc>
          <w:tcPr>
            <w:tcW w:w="0" w:type="dxa"/>
            <w:vAlign w:val="center"/>
          </w:tcPr>
          <w:p>
            <w:pPr>
              <w:spacing w:line="240" w:lineRule="auto"/>
              <w:jc w:val="right"/>
            </w:pPr>
            <w:r>
              <w:rPr>
                <w:rFonts w:ascii="宋体" w:eastAsia="宋体" w:hAnsi="宋体" w:cs="宋体"/>
                <w:b w:val="0"/>
              </w:rPr>
              <w:t>110,509,986.73</w:t>
            </w:r>
          </w:p>
        </w:tc>
        <w:tc>
          <w:tcPr>
            <w:tcW w:w="0" w:type="dxa"/>
            <w:vAlign w:val="center"/>
          </w:tcPr>
          <w:p>
            <w:pPr>
              <w:spacing w:line="240" w:lineRule="auto"/>
              <w:jc w:val="right"/>
            </w:pPr>
            <w:r>
              <w:rPr>
                <w:rFonts w:ascii="宋体" w:eastAsia="宋体" w:hAnsi="宋体" w:cs="宋体"/>
                <w:b w:val="0"/>
              </w:rPr>
              <w:t>75.19</w:t>
            </w:r>
          </w:p>
        </w:tc>
      </w:tr>
      <w:tr>
        <w:tblPrEx>
          <w:tblW w:w="5000" w:type="pct"/>
        </w:tblPrEx>
        <w:tc>
          <w:tcPr>
            <w:tcW w:w="0" w:type="dxa"/>
            <w:vAlign w:val="center"/>
          </w:tcPr>
          <w:p>
            <w:pPr>
              <w:spacing w:line="240" w:lineRule="auto"/>
              <w:jc w:val="center"/>
            </w:pPr>
            <w:r>
              <w:rPr>
                <w:rFonts w:ascii="宋体" w:eastAsia="宋体" w:hAnsi="宋体" w:cs="宋体"/>
                <w:b w:val="0"/>
              </w:rPr>
              <w:t>D</w:t>
            </w:r>
          </w:p>
        </w:tc>
        <w:tc>
          <w:tcPr>
            <w:tcW w:w="0" w:type="dxa"/>
            <w:vAlign w:val="center"/>
          </w:tcPr>
          <w:p>
            <w:pPr>
              <w:spacing w:line="240" w:lineRule="auto"/>
              <w:jc w:val="left"/>
            </w:pPr>
            <w:r>
              <w:rPr>
                <w:rFonts w:ascii="宋体" w:eastAsia="宋体" w:hAnsi="宋体" w:cs="宋体"/>
                <w:b w:val="0"/>
              </w:rPr>
              <w:t>电力、热力、燃气及水生产和供应业</w:t>
            </w:r>
          </w:p>
        </w:tc>
        <w:tc>
          <w:tcPr>
            <w:tcW w:w="0" w:type="dxa"/>
            <w:vAlign w:val="center"/>
          </w:tcPr>
          <w:p>
            <w:pPr>
              <w:spacing w:line="240" w:lineRule="auto"/>
              <w:jc w:val="right"/>
            </w:pPr>
            <w:r>
              <w:rPr>
                <w:rFonts w:ascii="宋体" w:eastAsia="宋体" w:hAnsi="宋体" w:cs="宋体"/>
                <w:b w:val="0"/>
              </w:rPr>
              <w:t>178,300.00</w:t>
            </w:r>
          </w:p>
        </w:tc>
        <w:tc>
          <w:tcPr>
            <w:tcW w:w="0" w:type="dxa"/>
            <w:vAlign w:val="center"/>
          </w:tcPr>
          <w:p>
            <w:pPr>
              <w:spacing w:line="240" w:lineRule="auto"/>
              <w:jc w:val="right"/>
            </w:pPr>
            <w:r>
              <w:rPr>
                <w:rFonts w:ascii="宋体" w:eastAsia="宋体" w:hAnsi="宋体" w:cs="宋体"/>
                <w:b w:val="0"/>
              </w:rPr>
              <w:t>0.12</w:t>
            </w:r>
          </w:p>
        </w:tc>
      </w:tr>
      <w:tr>
        <w:tblPrEx>
          <w:tblW w:w="5000" w:type="pct"/>
        </w:tblPrEx>
        <w:tc>
          <w:tcPr>
            <w:tcW w:w="0" w:type="dxa"/>
            <w:vAlign w:val="center"/>
          </w:tcPr>
          <w:p>
            <w:pPr>
              <w:spacing w:line="240" w:lineRule="auto"/>
              <w:jc w:val="center"/>
            </w:pPr>
            <w:r>
              <w:rPr>
                <w:rFonts w:ascii="宋体" w:eastAsia="宋体" w:hAnsi="宋体" w:cs="宋体"/>
                <w:b w:val="0"/>
              </w:rPr>
              <w:t>E</w:t>
            </w:r>
          </w:p>
        </w:tc>
        <w:tc>
          <w:tcPr>
            <w:tcW w:w="0" w:type="dxa"/>
            <w:vAlign w:val="center"/>
          </w:tcPr>
          <w:p>
            <w:pPr>
              <w:spacing w:line="240" w:lineRule="auto"/>
              <w:jc w:val="left"/>
            </w:pPr>
            <w:r>
              <w:rPr>
                <w:rFonts w:ascii="宋体" w:eastAsia="宋体" w:hAnsi="宋体" w:cs="宋体"/>
                <w:b w:val="0"/>
              </w:rPr>
              <w:t>建筑业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F</w:t>
            </w:r>
          </w:p>
        </w:tc>
        <w:tc>
          <w:tcPr>
            <w:tcW w:w="0" w:type="dxa"/>
            <w:vAlign w:val="center"/>
          </w:tcPr>
          <w:p>
            <w:pPr>
              <w:spacing w:line="240" w:lineRule="auto"/>
              <w:jc w:val="left"/>
            </w:pPr>
            <w:r>
              <w:rPr>
                <w:rFonts w:ascii="宋体" w:eastAsia="宋体" w:hAnsi="宋体" w:cs="宋体"/>
                <w:b w:val="0"/>
              </w:rPr>
              <w:t>批发和零售业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G</w:t>
            </w:r>
          </w:p>
        </w:tc>
        <w:tc>
          <w:tcPr>
            <w:tcW w:w="0" w:type="dxa"/>
            <w:vAlign w:val="center"/>
          </w:tcPr>
          <w:p>
            <w:pPr>
              <w:spacing w:line="240" w:lineRule="auto"/>
              <w:jc w:val="left"/>
            </w:pPr>
            <w:r>
              <w:rPr>
                <w:rFonts w:ascii="宋体" w:eastAsia="宋体" w:hAnsi="宋体" w:cs="宋体"/>
                <w:b w:val="0"/>
              </w:rPr>
              <w:t>交通运输、仓储和邮政业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H</w:t>
            </w:r>
          </w:p>
        </w:tc>
        <w:tc>
          <w:tcPr>
            <w:tcW w:w="0" w:type="dxa"/>
            <w:vAlign w:val="center"/>
          </w:tcPr>
          <w:p>
            <w:pPr>
              <w:spacing w:line="240" w:lineRule="auto"/>
              <w:jc w:val="left"/>
            </w:pPr>
            <w:r>
              <w:rPr>
                <w:rFonts w:ascii="宋体" w:eastAsia="宋体" w:hAnsi="宋体" w:cs="宋体"/>
                <w:b w:val="0"/>
              </w:rPr>
              <w:t>住宿和餐饮业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I</w:t>
            </w:r>
          </w:p>
        </w:tc>
        <w:tc>
          <w:tcPr>
            <w:tcW w:w="0" w:type="dxa"/>
            <w:vAlign w:val="center"/>
          </w:tcPr>
          <w:p>
            <w:pPr>
              <w:spacing w:line="240" w:lineRule="auto"/>
              <w:jc w:val="left"/>
            </w:pPr>
            <w:r>
              <w:rPr>
                <w:rFonts w:ascii="宋体" w:eastAsia="宋体" w:hAnsi="宋体" w:cs="宋体"/>
                <w:b w:val="0"/>
              </w:rPr>
              <w:t>信息传输、软件和信息技术服务业</w:t>
            </w:r>
          </w:p>
        </w:tc>
        <w:tc>
          <w:tcPr>
            <w:tcW w:w="0" w:type="dxa"/>
            <w:vAlign w:val="center"/>
          </w:tcPr>
          <w:p>
            <w:pPr>
              <w:spacing w:line="240" w:lineRule="auto"/>
              <w:jc w:val="right"/>
            </w:pPr>
            <w:r>
              <w:rPr>
                <w:rFonts w:ascii="宋体" w:eastAsia="宋体" w:hAnsi="宋体" w:cs="宋体"/>
                <w:b w:val="0"/>
              </w:rPr>
              <w:t>18,100.89</w:t>
            </w:r>
          </w:p>
        </w:tc>
        <w:tc>
          <w:tcPr>
            <w:tcW w:w="0" w:type="dxa"/>
            <w:vAlign w:val="center"/>
          </w:tcPr>
          <w:p>
            <w:pPr>
              <w:spacing w:line="240" w:lineRule="auto"/>
              <w:jc w:val="right"/>
            </w:pPr>
            <w:r>
              <w:rPr>
                <w:rFonts w:ascii="宋体" w:eastAsia="宋体" w:hAnsi="宋体" w:cs="宋体"/>
                <w:b w:val="0"/>
              </w:rPr>
              <w:t>0.01</w:t>
            </w:r>
          </w:p>
        </w:tc>
      </w:tr>
      <w:tr>
        <w:tblPrEx>
          <w:tblW w:w="5000" w:type="pct"/>
        </w:tblPrEx>
        <w:tc>
          <w:tcPr>
            <w:tcW w:w="0" w:type="dxa"/>
            <w:vAlign w:val="center"/>
          </w:tcPr>
          <w:p>
            <w:pPr>
              <w:spacing w:line="240" w:lineRule="auto"/>
              <w:jc w:val="center"/>
            </w:pPr>
            <w:r>
              <w:rPr>
                <w:rFonts w:ascii="宋体" w:eastAsia="宋体" w:hAnsi="宋体" w:cs="宋体"/>
                <w:b w:val="0"/>
              </w:rPr>
              <w:t>J</w:t>
            </w:r>
          </w:p>
        </w:tc>
        <w:tc>
          <w:tcPr>
            <w:tcW w:w="0" w:type="dxa"/>
            <w:vAlign w:val="center"/>
          </w:tcPr>
          <w:p>
            <w:pPr>
              <w:spacing w:line="240" w:lineRule="auto"/>
              <w:jc w:val="left"/>
            </w:pPr>
            <w:r>
              <w:rPr>
                <w:rFonts w:ascii="宋体" w:eastAsia="宋体" w:hAnsi="宋体" w:cs="宋体"/>
                <w:b w:val="0"/>
              </w:rPr>
              <w:t>金融业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K</w:t>
            </w:r>
          </w:p>
        </w:tc>
        <w:tc>
          <w:tcPr>
            <w:tcW w:w="0" w:type="dxa"/>
            <w:vAlign w:val="center"/>
          </w:tcPr>
          <w:p>
            <w:pPr>
              <w:spacing w:line="240" w:lineRule="auto"/>
              <w:jc w:val="left"/>
            </w:pPr>
            <w:r>
              <w:rPr>
                <w:rFonts w:ascii="宋体" w:eastAsia="宋体" w:hAnsi="宋体" w:cs="宋体"/>
                <w:b w:val="0"/>
              </w:rPr>
              <w:t>房地产业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L</w:t>
            </w:r>
          </w:p>
        </w:tc>
        <w:tc>
          <w:tcPr>
            <w:tcW w:w="0" w:type="dxa"/>
            <w:vAlign w:val="center"/>
          </w:tcPr>
          <w:p>
            <w:pPr>
              <w:spacing w:line="240" w:lineRule="auto"/>
              <w:jc w:val="left"/>
            </w:pPr>
            <w:r>
              <w:rPr>
                <w:rFonts w:ascii="宋体" w:eastAsia="宋体" w:hAnsi="宋体" w:cs="宋体"/>
                <w:b w:val="0"/>
              </w:rPr>
              <w:t>租赁和商务服务业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M</w:t>
            </w:r>
          </w:p>
        </w:tc>
        <w:tc>
          <w:tcPr>
            <w:tcW w:w="0" w:type="dxa"/>
            <w:vAlign w:val="center"/>
          </w:tcPr>
          <w:p>
            <w:pPr>
              <w:spacing w:line="240" w:lineRule="auto"/>
              <w:jc w:val="left"/>
            </w:pPr>
            <w:r>
              <w:rPr>
                <w:rFonts w:ascii="宋体" w:eastAsia="宋体" w:hAnsi="宋体" w:cs="宋体"/>
                <w:b w:val="0"/>
              </w:rPr>
              <w:t>科学研究和技术服务业</w:t>
            </w:r>
          </w:p>
        </w:tc>
        <w:tc>
          <w:tcPr>
            <w:tcW w:w="0" w:type="dxa"/>
            <w:vAlign w:val="center"/>
          </w:tcPr>
          <w:p>
            <w:pPr>
              <w:spacing w:line="240" w:lineRule="auto"/>
              <w:jc w:val="right"/>
            </w:pPr>
            <w:r>
              <w:rPr>
                <w:rFonts w:ascii="宋体" w:eastAsia="宋体" w:hAnsi="宋体" w:cs="宋体"/>
                <w:b w:val="0"/>
              </w:rPr>
              <w:t>13,729,395.00</w:t>
            </w:r>
          </w:p>
        </w:tc>
        <w:tc>
          <w:tcPr>
            <w:tcW w:w="0" w:type="dxa"/>
            <w:vAlign w:val="center"/>
          </w:tcPr>
          <w:p>
            <w:pPr>
              <w:spacing w:line="240" w:lineRule="auto"/>
              <w:jc w:val="right"/>
            </w:pPr>
            <w:r>
              <w:rPr>
                <w:rFonts w:ascii="宋体" w:eastAsia="宋体" w:hAnsi="宋体" w:cs="宋体"/>
                <w:b w:val="0"/>
              </w:rPr>
              <w:t>9.34</w:t>
            </w:r>
          </w:p>
        </w:tc>
      </w:tr>
      <w:tr>
        <w:tblPrEx>
          <w:tblW w:w="5000" w:type="pct"/>
        </w:tblPrEx>
        <w:tc>
          <w:tcPr>
            <w:tcW w:w="0" w:type="dxa"/>
            <w:vAlign w:val="center"/>
          </w:tcPr>
          <w:p>
            <w:pPr>
              <w:spacing w:line="240" w:lineRule="auto"/>
              <w:jc w:val="center"/>
            </w:pPr>
            <w:r>
              <w:rPr>
                <w:rFonts w:ascii="宋体" w:eastAsia="宋体" w:hAnsi="宋体" w:cs="宋体"/>
                <w:b w:val="0"/>
              </w:rPr>
              <w:t>N</w:t>
            </w:r>
          </w:p>
        </w:tc>
        <w:tc>
          <w:tcPr>
            <w:tcW w:w="0" w:type="dxa"/>
            <w:vAlign w:val="center"/>
          </w:tcPr>
          <w:p>
            <w:pPr>
              <w:spacing w:line="240" w:lineRule="auto"/>
              <w:jc w:val="left"/>
            </w:pPr>
            <w:r>
              <w:rPr>
                <w:rFonts w:ascii="宋体" w:eastAsia="宋体" w:hAnsi="宋体" w:cs="宋体"/>
                <w:b w:val="0"/>
              </w:rPr>
              <w:t>水利、环境和公共设施管理业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O</w:t>
            </w:r>
          </w:p>
        </w:tc>
        <w:tc>
          <w:tcPr>
            <w:tcW w:w="0" w:type="dxa"/>
            <w:vAlign w:val="center"/>
          </w:tcPr>
          <w:p>
            <w:pPr>
              <w:spacing w:line="240" w:lineRule="auto"/>
              <w:jc w:val="left"/>
            </w:pPr>
            <w:r>
              <w:rPr>
                <w:rFonts w:ascii="宋体" w:eastAsia="宋体" w:hAnsi="宋体" w:cs="宋体"/>
                <w:b w:val="0"/>
              </w:rPr>
              <w:t>居民服务、修理和其他服务业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P</w:t>
            </w:r>
          </w:p>
        </w:tc>
        <w:tc>
          <w:tcPr>
            <w:tcW w:w="0" w:type="dxa"/>
            <w:vAlign w:val="center"/>
          </w:tcPr>
          <w:p>
            <w:pPr>
              <w:spacing w:line="240" w:lineRule="auto"/>
              <w:jc w:val="left"/>
            </w:pPr>
            <w:r>
              <w:rPr>
                <w:rFonts w:ascii="宋体" w:eastAsia="宋体" w:hAnsi="宋体" w:cs="宋体"/>
                <w:b w:val="0"/>
              </w:rPr>
              <w:t>教育</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Q</w:t>
            </w:r>
          </w:p>
        </w:tc>
        <w:tc>
          <w:tcPr>
            <w:tcW w:w="0" w:type="dxa"/>
            <w:vAlign w:val="center"/>
          </w:tcPr>
          <w:p>
            <w:pPr>
              <w:spacing w:line="240" w:lineRule="auto"/>
              <w:jc w:val="left"/>
            </w:pPr>
            <w:r>
              <w:rPr>
                <w:rFonts w:ascii="宋体" w:eastAsia="宋体" w:hAnsi="宋体" w:cs="宋体"/>
                <w:b w:val="0"/>
              </w:rPr>
              <w:t>卫生和社会工作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R</w:t>
            </w:r>
          </w:p>
        </w:tc>
        <w:tc>
          <w:tcPr>
            <w:tcW w:w="0" w:type="dxa"/>
            <w:vAlign w:val="center"/>
          </w:tcPr>
          <w:p>
            <w:pPr>
              <w:spacing w:line="240" w:lineRule="auto"/>
              <w:jc w:val="left"/>
            </w:pPr>
            <w:r>
              <w:rPr>
                <w:rFonts w:ascii="宋体" w:eastAsia="宋体" w:hAnsi="宋体" w:cs="宋体"/>
                <w:b w:val="0"/>
              </w:rPr>
              <w:t>文化、体育和娱乐业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S</w:t>
            </w:r>
          </w:p>
        </w:tc>
        <w:tc>
          <w:tcPr>
            <w:tcW w:w="0" w:type="dxa"/>
            <w:vAlign w:val="center"/>
          </w:tcPr>
          <w:p>
            <w:pPr>
              <w:spacing w:line="240" w:lineRule="auto"/>
              <w:jc w:val="left"/>
            </w:pPr>
            <w:r>
              <w:rPr>
                <w:rFonts w:ascii="宋体" w:eastAsia="宋体" w:hAnsi="宋体" w:cs="宋体"/>
                <w:b w:val="0"/>
              </w:rPr>
              <w:t>综合</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124,554,651.91</w:t>
            </w:r>
          </w:p>
        </w:tc>
        <w:tc>
          <w:tcPr>
            <w:tcW w:w="0" w:type="dxa"/>
            <w:vAlign w:val="center"/>
          </w:tcPr>
          <w:p>
            <w:pPr>
              <w:spacing w:line="240" w:lineRule="auto"/>
              <w:jc w:val="right"/>
            </w:pPr>
            <w:r>
              <w:rPr>
                <w:rFonts w:ascii="宋体" w:eastAsia="宋体" w:hAnsi="宋体" w:cs="宋体"/>
                <w:b w:val="0"/>
              </w:rPr>
              <w:t>84.74</w:t>
            </w:r>
          </w:p>
        </w:tc>
      </w:tr>
    </w:tbl>
    <w:p/>
    <w:p>
      <w:pPr>
        <w:pStyle w:val="zhangjiep2"/>
      </w:pPr>
      <w:r>
        <w:rPr>
          <w:rStyle w:val="DefaultParagraphFont"/>
          <w:rFonts w:ascii="宋体" w:eastAsia="宋体" w:hAnsi="宋体" w:cs="宋体"/>
          <w:b/>
        </w:rPr>
        <w:t>5.2.2 报告期末按行业分类的港股通投资股票投资组合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1538" w:type="pct"/>
            <w:shd w:val="clear" w:color="auto" w:fill="D9D9D9"/>
            <w:vAlign w:val="center"/>
          </w:tcPr>
          <w:p>
            <w:pPr>
              <w:spacing w:line="240" w:lineRule="auto"/>
              <w:jc w:val="center"/>
            </w:pPr>
            <w:r>
              <w:rPr>
                <w:rFonts w:ascii="宋体" w:eastAsia="宋体" w:hAnsi="宋体" w:cs="宋体"/>
                <w:b w:val="0"/>
              </w:rPr>
              <w:t>公允价值（人民币）</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left"/>
            </w:pPr>
            <w:r>
              <w:rPr>
                <w:rFonts w:ascii="宋体" w:eastAsia="宋体" w:hAnsi="宋体" w:cs="宋体"/>
                <w:b w:val="0"/>
              </w:rPr>
              <w:t>医疗保健</w:t>
            </w:r>
          </w:p>
        </w:tc>
        <w:tc>
          <w:tcPr>
            <w:tcW w:w="0" w:type="dxa"/>
            <w:vAlign w:val="center"/>
          </w:tcPr>
          <w:p>
            <w:pPr>
              <w:spacing w:line="240" w:lineRule="auto"/>
              <w:jc w:val="right"/>
            </w:pPr>
            <w:r>
              <w:rPr>
                <w:rFonts w:ascii="宋体" w:eastAsia="宋体" w:hAnsi="宋体" w:cs="宋体"/>
                <w:b w:val="0"/>
              </w:rPr>
              <w:t>9,099,917.28</w:t>
            </w:r>
          </w:p>
        </w:tc>
        <w:tc>
          <w:tcPr>
            <w:tcW w:w="0" w:type="dxa"/>
            <w:vAlign w:val="center"/>
          </w:tcPr>
          <w:p>
            <w:pPr>
              <w:spacing w:line="240" w:lineRule="auto"/>
              <w:jc w:val="right"/>
            </w:pPr>
            <w:r>
              <w:rPr>
                <w:rFonts w:ascii="宋体" w:eastAsia="宋体" w:hAnsi="宋体" w:cs="宋体"/>
                <w:b w:val="0"/>
              </w:rPr>
              <w:t>6.19</w:t>
            </w:r>
          </w:p>
        </w:tc>
      </w:tr>
      <w:tr>
        <w:tblPrEx>
          <w:tblW w:w="5000" w:type="pct"/>
        </w:tblPrEx>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9,099,917.28</w:t>
            </w:r>
          </w:p>
        </w:tc>
        <w:tc>
          <w:tcPr>
            <w:tcW w:w="0" w:type="dxa"/>
            <w:vAlign w:val="center"/>
          </w:tcPr>
          <w:p>
            <w:pPr>
              <w:spacing w:line="240" w:lineRule="auto"/>
              <w:jc w:val="right"/>
            </w:pPr>
            <w:r>
              <w:rPr>
                <w:rFonts w:ascii="宋体" w:eastAsia="宋体" w:hAnsi="宋体" w:cs="宋体"/>
                <w:b w:val="0"/>
              </w:rPr>
              <w:t>6.19</w:t>
            </w:r>
          </w:p>
        </w:tc>
      </w:tr>
    </w:tbl>
    <w:p/>
    <w:p>
      <w:pPr>
        <w:pStyle w:val="Heading2"/>
        <w:jc w:val="left"/>
      </w:pPr>
      <w:r>
        <w:rPr>
          <w:rFonts w:ascii="宋体" w:eastAsia="宋体" w:hAnsi="宋体" w:cs="宋体"/>
        </w:rPr>
        <w:t>5.3 报告期末按公允价值占基金资产净值比例大小排序的前十名股票投资明细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股票代码</w:t>
            </w:r>
          </w:p>
        </w:tc>
        <w:tc>
          <w:tcPr>
            <w:tcW w:w="769" w:type="pct"/>
            <w:shd w:val="clear" w:color="auto" w:fill="D9D9D9"/>
            <w:vAlign w:val="center"/>
          </w:tcPr>
          <w:p>
            <w:pPr>
              <w:spacing w:line="240" w:lineRule="auto"/>
              <w:jc w:val="center"/>
            </w:pPr>
            <w:r>
              <w:rPr>
                <w:rFonts w:ascii="宋体" w:eastAsia="宋体" w:hAnsi="宋体" w:cs="宋体"/>
                <w:b w:val="0"/>
              </w:rPr>
              <w:t>股票名称</w:t>
            </w:r>
          </w:p>
        </w:tc>
        <w:tc>
          <w:tcPr>
            <w:tcW w:w="615" w:type="pct"/>
            <w:shd w:val="clear" w:color="auto" w:fill="D9D9D9"/>
            <w:vAlign w:val="center"/>
          </w:tcPr>
          <w:p>
            <w:pPr>
              <w:spacing w:line="240" w:lineRule="auto"/>
              <w:jc w:val="center"/>
            </w:pPr>
            <w:r>
              <w:rPr>
                <w:rFonts w:ascii="宋体" w:eastAsia="宋体" w:hAnsi="宋体" w:cs="宋体"/>
                <w:b w:val="0"/>
              </w:rPr>
              <w:t>数量(股)</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001400</w:t>
            </w:r>
          </w:p>
        </w:tc>
        <w:tc>
          <w:tcPr>
            <w:tcW w:w="0" w:type="dxa"/>
            <w:vAlign w:val="center"/>
          </w:tcPr>
          <w:p>
            <w:pPr>
              <w:spacing w:line="240" w:lineRule="auto"/>
              <w:jc w:val="left"/>
            </w:pPr>
            <w:r>
              <w:rPr>
                <w:rFonts w:ascii="宋体" w:eastAsia="宋体" w:hAnsi="宋体" w:cs="宋体"/>
                <w:b w:val="0"/>
              </w:rPr>
              <w:t>江顺科技</w:t>
            </w:r>
          </w:p>
        </w:tc>
        <w:tc>
          <w:tcPr>
            <w:tcW w:w="0" w:type="dxa"/>
            <w:vAlign w:val="center"/>
          </w:tcPr>
          <w:p>
            <w:pPr>
              <w:spacing w:line="240" w:lineRule="auto"/>
              <w:jc w:val="right"/>
            </w:pPr>
            <w:r>
              <w:rPr>
                <w:rFonts w:ascii="宋体" w:eastAsia="宋体" w:hAnsi="宋体" w:cs="宋体"/>
                <w:b w:val="0"/>
              </w:rPr>
              <w:t>121,060</w:t>
            </w:r>
          </w:p>
        </w:tc>
        <w:tc>
          <w:tcPr>
            <w:tcW w:w="0" w:type="dxa"/>
            <w:vAlign w:val="center"/>
          </w:tcPr>
          <w:p>
            <w:pPr>
              <w:spacing w:line="240" w:lineRule="auto"/>
              <w:jc w:val="right"/>
            </w:pPr>
            <w:r>
              <w:rPr>
                <w:rFonts w:ascii="宋体" w:eastAsia="宋体" w:hAnsi="宋体" w:cs="宋体"/>
                <w:b w:val="0"/>
              </w:rPr>
              <w:t>10,265,888.00</w:t>
            </w:r>
          </w:p>
        </w:tc>
        <w:tc>
          <w:tcPr>
            <w:tcW w:w="0" w:type="dxa"/>
            <w:vAlign w:val="center"/>
          </w:tcPr>
          <w:p>
            <w:pPr>
              <w:spacing w:line="240" w:lineRule="auto"/>
              <w:jc w:val="right"/>
            </w:pPr>
            <w:r>
              <w:rPr>
                <w:rFonts w:ascii="宋体" w:eastAsia="宋体" w:hAnsi="宋体" w:cs="宋体"/>
                <w:b w:val="0"/>
              </w:rPr>
              <w:t>6.98</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688387</w:t>
            </w:r>
          </w:p>
        </w:tc>
        <w:tc>
          <w:tcPr>
            <w:tcW w:w="0" w:type="dxa"/>
            <w:vAlign w:val="center"/>
          </w:tcPr>
          <w:p>
            <w:pPr>
              <w:spacing w:line="240" w:lineRule="auto"/>
              <w:jc w:val="left"/>
            </w:pPr>
            <w:r>
              <w:rPr>
                <w:rFonts w:ascii="宋体" w:eastAsia="宋体" w:hAnsi="宋体" w:cs="宋体"/>
                <w:b w:val="0"/>
              </w:rPr>
              <w:t>信科移动</w:t>
            </w:r>
          </w:p>
        </w:tc>
        <w:tc>
          <w:tcPr>
            <w:tcW w:w="0" w:type="dxa"/>
            <w:vAlign w:val="center"/>
          </w:tcPr>
          <w:p>
            <w:pPr>
              <w:spacing w:line="240" w:lineRule="auto"/>
              <w:jc w:val="right"/>
            </w:pPr>
            <w:r>
              <w:rPr>
                <w:rFonts w:ascii="宋体" w:eastAsia="宋体" w:hAnsi="宋体" w:cs="宋体"/>
                <w:b w:val="0"/>
              </w:rPr>
              <w:t>863,119</w:t>
            </w:r>
          </w:p>
        </w:tc>
        <w:tc>
          <w:tcPr>
            <w:tcW w:w="0" w:type="dxa"/>
            <w:vAlign w:val="center"/>
          </w:tcPr>
          <w:p>
            <w:pPr>
              <w:spacing w:line="240" w:lineRule="auto"/>
              <w:jc w:val="right"/>
            </w:pPr>
            <w:r>
              <w:rPr>
                <w:rFonts w:ascii="宋体" w:eastAsia="宋体" w:hAnsi="宋体" w:cs="宋体"/>
                <w:b w:val="0"/>
              </w:rPr>
              <w:t>9,891,343.74</w:t>
            </w:r>
          </w:p>
        </w:tc>
        <w:tc>
          <w:tcPr>
            <w:tcW w:w="0" w:type="dxa"/>
            <w:vAlign w:val="center"/>
          </w:tcPr>
          <w:p>
            <w:pPr>
              <w:spacing w:line="240" w:lineRule="auto"/>
              <w:jc w:val="right"/>
            </w:pPr>
            <w:r>
              <w:rPr>
                <w:rFonts w:ascii="宋体" w:eastAsia="宋体" w:hAnsi="宋体" w:cs="宋体"/>
                <w:b w:val="0"/>
              </w:rPr>
              <w:t>6.73</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688375</w:t>
            </w:r>
          </w:p>
        </w:tc>
        <w:tc>
          <w:tcPr>
            <w:tcW w:w="0" w:type="dxa"/>
            <w:vAlign w:val="center"/>
          </w:tcPr>
          <w:p>
            <w:pPr>
              <w:spacing w:line="240" w:lineRule="auto"/>
              <w:jc w:val="left"/>
            </w:pPr>
            <w:r>
              <w:rPr>
                <w:rFonts w:ascii="宋体" w:eastAsia="宋体" w:hAnsi="宋体" w:cs="宋体"/>
                <w:b w:val="0"/>
              </w:rPr>
              <w:t>国博电子</w:t>
            </w:r>
          </w:p>
        </w:tc>
        <w:tc>
          <w:tcPr>
            <w:tcW w:w="0" w:type="dxa"/>
            <w:vAlign w:val="center"/>
          </w:tcPr>
          <w:p>
            <w:pPr>
              <w:spacing w:line="240" w:lineRule="auto"/>
              <w:jc w:val="right"/>
            </w:pPr>
            <w:r>
              <w:rPr>
                <w:rFonts w:ascii="宋体" w:eastAsia="宋体" w:hAnsi="宋体" w:cs="宋体"/>
                <w:b w:val="0"/>
              </w:rPr>
              <w:t>134,886</w:t>
            </w:r>
          </w:p>
        </w:tc>
        <w:tc>
          <w:tcPr>
            <w:tcW w:w="0" w:type="dxa"/>
            <w:vAlign w:val="center"/>
          </w:tcPr>
          <w:p>
            <w:pPr>
              <w:spacing w:line="240" w:lineRule="auto"/>
              <w:jc w:val="right"/>
            </w:pPr>
            <w:r>
              <w:rPr>
                <w:rFonts w:ascii="宋体" w:eastAsia="宋体" w:hAnsi="宋体" w:cs="宋体"/>
                <w:b w:val="0"/>
              </w:rPr>
              <w:t>8,635,401.72</w:t>
            </w:r>
          </w:p>
        </w:tc>
        <w:tc>
          <w:tcPr>
            <w:tcW w:w="0" w:type="dxa"/>
            <w:vAlign w:val="center"/>
          </w:tcPr>
          <w:p>
            <w:pPr>
              <w:spacing w:line="240" w:lineRule="auto"/>
              <w:jc w:val="right"/>
            </w:pPr>
            <w:r>
              <w:rPr>
                <w:rFonts w:ascii="宋体" w:eastAsia="宋体" w:hAnsi="宋体" w:cs="宋体"/>
                <w:b w:val="0"/>
              </w:rPr>
              <w:t>5.88</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300900</w:t>
            </w:r>
          </w:p>
        </w:tc>
        <w:tc>
          <w:tcPr>
            <w:tcW w:w="0" w:type="dxa"/>
            <w:vAlign w:val="center"/>
          </w:tcPr>
          <w:p>
            <w:pPr>
              <w:spacing w:line="240" w:lineRule="auto"/>
              <w:jc w:val="left"/>
            </w:pPr>
            <w:r>
              <w:rPr>
                <w:rFonts w:ascii="宋体" w:eastAsia="宋体" w:hAnsi="宋体" w:cs="宋体"/>
                <w:b w:val="0"/>
              </w:rPr>
              <w:t>广联航空</w:t>
            </w:r>
          </w:p>
        </w:tc>
        <w:tc>
          <w:tcPr>
            <w:tcW w:w="0" w:type="dxa"/>
            <w:vAlign w:val="center"/>
          </w:tcPr>
          <w:p>
            <w:pPr>
              <w:spacing w:line="240" w:lineRule="auto"/>
              <w:jc w:val="right"/>
            </w:pPr>
            <w:r>
              <w:rPr>
                <w:rFonts w:ascii="宋体" w:eastAsia="宋体" w:hAnsi="宋体" w:cs="宋体"/>
                <w:b w:val="0"/>
              </w:rPr>
              <w:t>385,500</w:t>
            </w:r>
          </w:p>
        </w:tc>
        <w:tc>
          <w:tcPr>
            <w:tcW w:w="0" w:type="dxa"/>
            <w:vAlign w:val="center"/>
          </w:tcPr>
          <w:p>
            <w:pPr>
              <w:spacing w:line="240" w:lineRule="auto"/>
              <w:jc w:val="right"/>
            </w:pPr>
            <w:r>
              <w:rPr>
                <w:rFonts w:ascii="宋体" w:eastAsia="宋体" w:hAnsi="宋体" w:cs="宋体"/>
                <w:b w:val="0"/>
              </w:rPr>
              <w:t>8,280,540.00</w:t>
            </w:r>
          </w:p>
        </w:tc>
        <w:tc>
          <w:tcPr>
            <w:tcW w:w="0" w:type="dxa"/>
            <w:vAlign w:val="center"/>
          </w:tcPr>
          <w:p>
            <w:pPr>
              <w:spacing w:line="240" w:lineRule="auto"/>
              <w:jc w:val="right"/>
            </w:pPr>
            <w:r>
              <w:rPr>
                <w:rFonts w:ascii="宋体" w:eastAsia="宋体" w:hAnsi="宋体" w:cs="宋体"/>
                <w:b w:val="0"/>
              </w:rPr>
              <w:t>5.63</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300136</w:t>
            </w:r>
          </w:p>
        </w:tc>
        <w:tc>
          <w:tcPr>
            <w:tcW w:w="0" w:type="dxa"/>
            <w:vAlign w:val="center"/>
          </w:tcPr>
          <w:p>
            <w:pPr>
              <w:spacing w:line="240" w:lineRule="auto"/>
              <w:jc w:val="left"/>
            </w:pPr>
            <w:r>
              <w:rPr>
                <w:rFonts w:ascii="宋体" w:eastAsia="宋体" w:hAnsi="宋体" w:cs="宋体"/>
                <w:b w:val="0"/>
              </w:rPr>
              <w:t>信维通信</w:t>
            </w:r>
          </w:p>
        </w:tc>
        <w:tc>
          <w:tcPr>
            <w:tcW w:w="0" w:type="dxa"/>
            <w:vAlign w:val="center"/>
          </w:tcPr>
          <w:p>
            <w:pPr>
              <w:spacing w:line="240" w:lineRule="auto"/>
              <w:jc w:val="right"/>
            </w:pPr>
            <w:r>
              <w:rPr>
                <w:rFonts w:ascii="宋体" w:eastAsia="宋体" w:hAnsi="宋体" w:cs="宋体"/>
                <w:b w:val="0"/>
              </w:rPr>
              <w:t>152,400</w:t>
            </w:r>
          </w:p>
        </w:tc>
        <w:tc>
          <w:tcPr>
            <w:tcW w:w="0" w:type="dxa"/>
            <w:vAlign w:val="center"/>
          </w:tcPr>
          <w:p>
            <w:pPr>
              <w:spacing w:line="240" w:lineRule="auto"/>
              <w:jc w:val="right"/>
            </w:pPr>
            <w:r>
              <w:rPr>
                <w:rFonts w:ascii="宋体" w:eastAsia="宋体" w:hAnsi="宋体" w:cs="宋体"/>
                <w:b w:val="0"/>
              </w:rPr>
              <w:t>7,807,452.00</w:t>
            </w:r>
          </w:p>
        </w:tc>
        <w:tc>
          <w:tcPr>
            <w:tcW w:w="0" w:type="dxa"/>
            <w:vAlign w:val="center"/>
          </w:tcPr>
          <w:p>
            <w:pPr>
              <w:spacing w:line="240" w:lineRule="auto"/>
              <w:jc w:val="right"/>
            </w:pPr>
            <w:r>
              <w:rPr>
                <w:rFonts w:ascii="宋体" w:eastAsia="宋体" w:hAnsi="宋体" w:cs="宋体"/>
                <w:b w:val="0"/>
              </w:rPr>
              <w:t>5.31</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301232</w:t>
            </w:r>
          </w:p>
        </w:tc>
        <w:tc>
          <w:tcPr>
            <w:tcW w:w="0" w:type="dxa"/>
            <w:vAlign w:val="center"/>
          </w:tcPr>
          <w:p>
            <w:pPr>
              <w:spacing w:line="240" w:lineRule="auto"/>
              <w:jc w:val="left"/>
            </w:pPr>
            <w:r>
              <w:rPr>
                <w:rFonts w:ascii="宋体" w:eastAsia="宋体" w:hAnsi="宋体" w:cs="宋体"/>
                <w:b w:val="0"/>
              </w:rPr>
              <w:t>飞沃科技</w:t>
            </w:r>
          </w:p>
        </w:tc>
        <w:tc>
          <w:tcPr>
            <w:tcW w:w="0" w:type="dxa"/>
            <w:vAlign w:val="center"/>
          </w:tcPr>
          <w:p>
            <w:pPr>
              <w:spacing w:line="240" w:lineRule="auto"/>
              <w:jc w:val="right"/>
            </w:pPr>
            <w:r>
              <w:rPr>
                <w:rFonts w:ascii="宋体" w:eastAsia="宋体" w:hAnsi="宋体" w:cs="宋体"/>
                <w:b w:val="0"/>
              </w:rPr>
              <w:t>96,780</w:t>
            </w:r>
          </w:p>
        </w:tc>
        <w:tc>
          <w:tcPr>
            <w:tcW w:w="0" w:type="dxa"/>
            <w:vAlign w:val="center"/>
          </w:tcPr>
          <w:p>
            <w:pPr>
              <w:spacing w:line="240" w:lineRule="auto"/>
              <w:jc w:val="right"/>
            </w:pPr>
            <w:r>
              <w:rPr>
                <w:rFonts w:ascii="宋体" w:eastAsia="宋体" w:hAnsi="宋体" w:cs="宋体"/>
                <w:b w:val="0"/>
              </w:rPr>
              <w:t>7,624,328.40</w:t>
            </w:r>
          </w:p>
        </w:tc>
        <w:tc>
          <w:tcPr>
            <w:tcW w:w="0" w:type="dxa"/>
            <w:vAlign w:val="center"/>
          </w:tcPr>
          <w:p>
            <w:pPr>
              <w:spacing w:line="240" w:lineRule="auto"/>
              <w:jc w:val="right"/>
            </w:pPr>
            <w:r>
              <w:rPr>
                <w:rFonts w:ascii="宋体" w:eastAsia="宋体" w:hAnsi="宋体" w:cs="宋体"/>
                <w:b w:val="0"/>
              </w:rPr>
              <w:t>5.19</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301005</w:t>
            </w:r>
          </w:p>
        </w:tc>
        <w:tc>
          <w:tcPr>
            <w:tcW w:w="0" w:type="dxa"/>
            <w:vAlign w:val="center"/>
          </w:tcPr>
          <w:p>
            <w:pPr>
              <w:spacing w:line="240" w:lineRule="auto"/>
              <w:jc w:val="left"/>
            </w:pPr>
            <w:r>
              <w:rPr>
                <w:rFonts w:ascii="宋体" w:eastAsia="宋体" w:hAnsi="宋体" w:cs="宋体"/>
                <w:b w:val="0"/>
              </w:rPr>
              <w:t>超捷股份</w:t>
            </w:r>
          </w:p>
        </w:tc>
        <w:tc>
          <w:tcPr>
            <w:tcW w:w="0" w:type="dxa"/>
            <w:vAlign w:val="center"/>
          </w:tcPr>
          <w:p>
            <w:pPr>
              <w:spacing w:line="240" w:lineRule="auto"/>
              <w:jc w:val="right"/>
            </w:pPr>
            <w:r>
              <w:rPr>
                <w:rFonts w:ascii="宋体" w:eastAsia="宋体" w:hAnsi="宋体" w:cs="宋体"/>
                <w:b w:val="0"/>
              </w:rPr>
              <w:t>132,889</w:t>
            </w:r>
          </w:p>
        </w:tc>
        <w:tc>
          <w:tcPr>
            <w:tcW w:w="0" w:type="dxa"/>
            <w:vAlign w:val="center"/>
          </w:tcPr>
          <w:p>
            <w:pPr>
              <w:spacing w:line="240" w:lineRule="auto"/>
              <w:jc w:val="right"/>
            </w:pPr>
            <w:r>
              <w:rPr>
                <w:rFonts w:ascii="宋体" w:eastAsia="宋体" w:hAnsi="宋体" w:cs="宋体"/>
                <w:b w:val="0"/>
              </w:rPr>
              <w:t>7,541,450.75</w:t>
            </w:r>
          </w:p>
        </w:tc>
        <w:tc>
          <w:tcPr>
            <w:tcW w:w="0" w:type="dxa"/>
            <w:vAlign w:val="center"/>
          </w:tcPr>
          <w:p>
            <w:pPr>
              <w:spacing w:line="240" w:lineRule="auto"/>
              <w:jc w:val="right"/>
            </w:pPr>
            <w:r>
              <w:rPr>
                <w:rFonts w:ascii="宋体" w:eastAsia="宋体" w:hAnsi="宋体" w:cs="宋体"/>
                <w:b w:val="0"/>
              </w:rPr>
              <w:t>5.13</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688102</w:t>
            </w:r>
          </w:p>
        </w:tc>
        <w:tc>
          <w:tcPr>
            <w:tcW w:w="0" w:type="dxa"/>
            <w:vAlign w:val="center"/>
          </w:tcPr>
          <w:p>
            <w:pPr>
              <w:spacing w:line="240" w:lineRule="auto"/>
              <w:jc w:val="left"/>
            </w:pPr>
            <w:r>
              <w:rPr>
                <w:rFonts w:ascii="宋体" w:eastAsia="宋体" w:hAnsi="宋体" w:cs="宋体"/>
                <w:b w:val="0"/>
              </w:rPr>
              <w:t>斯瑞新材</w:t>
            </w:r>
          </w:p>
        </w:tc>
        <w:tc>
          <w:tcPr>
            <w:tcW w:w="0" w:type="dxa"/>
            <w:vAlign w:val="center"/>
          </w:tcPr>
          <w:p>
            <w:pPr>
              <w:spacing w:line="240" w:lineRule="auto"/>
              <w:jc w:val="right"/>
            </w:pPr>
            <w:r>
              <w:rPr>
                <w:rFonts w:ascii="宋体" w:eastAsia="宋体" w:hAnsi="宋体" w:cs="宋体"/>
                <w:b w:val="0"/>
              </w:rPr>
              <w:t>250,658</w:t>
            </w:r>
          </w:p>
        </w:tc>
        <w:tc>
          <w:tcPr>
            <w:tcW w:w="0" w:type="dxa"/>
            <w:vAlign w:val="center"/>
          </w:tcPr>
          <w:p>
            <w:pPr>
              <w:spacing w:line="240" w:lineRule="auto"/>
              <w:jc w:val="right"/>
            </w:pPr>
            <w:r>
              <w:rPr>
                <w:rFonts w:ascii="宋体" w:eastAsia="宋体" w:hAnsi="宋体" w:cs="宋体"/>
                <w:b w:val="0"/>
              </w:rPr>
              <w:t>7,201,404.34</w:t>
            </w:r>
          </w:p>
        </w:tc>
        <w:tc>
          <w:tcPr>
            <w:tcW w:w="0" w:type="dxa"/>
            <w:vAlign w:val="center"/>
          </w:tcPr>
          <w:p>
            <w:pPr>
              <w:spacing w:line="240" w:lineRule="auto"/>
              <w:jc w:val="right"/>
            </w:pPr>
            <w:r>
              <w:rPr>
                <w:rFonts w:ascii="宋体" w:eastAsia="宋体" w:hAnsi="宋体" w:cs="宋体"/>
                <w:b w:val="0"/>
              </w:rPr>
              <w:t>4.90</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300762</w:t>
            </w:r>
          </w:p>
        </w:tc>
        <w:tc>
          <w:tcPr>
            <w:tcW w:w="0" w:type="dxa"/>
            <w:vAlign w:val="center"/>
          </w:tcPr>
          <w:p>
            <w:pPr>
              <w:spacing w:line="240" w:lineRule="auto"/>
              <w:jc w:val="left"/>
            </w:pPr>
            <w:r>
              <w:rPr>
                <w:rFonts w:ascii="宋体" w:eastAsia="宋体" w:hAnsi="宋体" w:cs="宋体"/>
                <w:b w:val="0"/>
              </w:rPr>
              <w:t>上海瀚讯</w:t>
            </w:r>
          </w:p>
        </w:tc>
        <w:tc>
          <w:tcPr>
            <w:tcW w:w="0" w:type="dxa"/>
            <w:vAlign w:val="center"/>
          </w:tcPr>
          <w:p>
            <w:pPr>
              <w:spacing w:line="240" w:lineRule="auto"/>
              <w:jc w:val="right"/>
            </w:pPr>
            <w:r>
              <w:rPr>
                <w:rFonts w:ascii="宋体" w:eastAsia="宋体" w:hAnsi="宋体" w:cs="宋体"/>
                <w:b w:val="0"/>
              </w:rPr>
              <w:t>270,700</w:t>
            </w:r>
          </w:p>
        </w:tc>
        <w:tc>
          <w:tcPr>
            <w:tcW w:w="0" w:type="dxa"/>
            <w:vAlign w:val="center"/>
          </w:tcPr>
          <w:p>
            <w:pPr>
              <w:spacing w:line="240" w:lineRule="auto"/>
              <w:jc w:val="right"/>
            </w:pPr>
            <w:r>
              <w:rPr>
                <w:rFonts w:ascii="宋体" w:eastAsia="宋体" w:hAnsi="宋体" w:cs="宋体"/>
                <w:b w:val="0"/>
              </w:rPr>
              <w:t>6,642,978.00</w:t>
            </w:r>
          </w:p>
        </w:tc>
        <w:tc>
          <w:tcPr>
            <w:tcW w:w="0" w:type="dxa"/>
            <w:vAlign w:val="center"/>
          </w:tcPr>
          <w:p>
            <w:pPr>
              <w:spacing w:line="240" w:lineRule="auto"/>
              <w:jc w:val="right"/>
            </w:pPr>
            <w:r>
              <w:rPr>
                <w:rFonts w:ascii="宋体" w:eastAsia="宋体" w:hAnsi="宋体" w:cs="宋体"/>
                <w:b w:val="0"/>
              </w:rPr>
              <w:t>4.52</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688818</w:t>
            </w:r>
          </w:p>
        </w:tc>
        <w:tc>
          <w:tcPr>
            <w:tcW w:w="0" w:type="dxa"/>
            <w:vAlign w:val="center"/>
          </w:tcPr>
          <w:p>
            <w:pPr>
              <w:spacing w:line="240" w:lineRule="auto"/>
              <w:jc w:val="left"/>
            </w:pPr>
            <w:r>
              <w:rPr>
                <w:rFonts w:ascii="宋体" w:eastAsia="宋体" w:hAnsi="宋体" w:cs="宋体"/>
                <w:b w:val="0"/>
              </w:rPr>
              <w:t>电科蓝天</w:t>
            </w:r>
          </w:p>
        </w:tc>
        <w:tc>
          <w:tcPr>
            <w:tcW w:w="0" w:type="dxa"/>
            <w:vAlign w:val="center"/>
          </w:tcPr>
          <w:p>
            <w:pPr>
              <w:spacing w:line="240" w:lineRule="auto"/>
              <w:jc w:val="right"/>
            </w:pPr>
            <w:r>
              <w:rPr>
                <w:rFonts w:ascii="宋体" w:eastAsia="宋体" w:hAnsi="宋体" w:cs="宋体"/>
                <w:b w:val="0"/>
              </w:rPr>
              <w:t>157,276</w:t>
            </w:r>
          </w:p>
        </w:tc>
        <w:tc>
          <w:tcPr>
            <w:tcW w:w="0" w:type="dxa"/>
            <w:vAlign w:val="center"/>
          </w:tcPr>
          <w:p>
            <w:pPr>
              <w:spacing w:line="240" w:lineRule="auto"/>
              <w:jc w:val="right"/>
            </w:pPr>
            <w:r>
              <w:rPr>
                <w:rFonts w:ascii="宋体" w:eastAsia="宋体" w:hAnsi="宋体" w:cs="宋体"/>
                <w:b w:val="0"/>
              </w:rPr>
              <w:t>6,206,110.96</w:t>
            </w:r>
          </w:p>
        </w:tc>
        <w:tc>
          <w:tcPr>
            <w:tcW w:w="0" w:type="dxa"/>
            <w:vAlign w:val="center"/>
          </w:tcPr>
          <w:p>
            <w:pPr>
              <w:spacing w:line="240" w:lineRule="auto"/>
              <w:jc w:val="right"/>
            </w:pPr>
            <w:r>
              <w:rPr>
                <w:rFonts w:ascii="宋体" w:eastAsia="宋体" w:hAnsi="宋体" w:cs="宋体"/>
                <w:b w:val="0"/>
              </w:rPr>
              <w:t>4.22</w:t>
            </w:r>
          </w:p>
        </w:tc>
      </w:tr>
    </w:tbl>
    <w:p/>
    <w:p>
      <w:pPr>
        <w:pStyle w:val="Heading2"/>
        <w:jc w:val="left"/>
      </w:pPr>
      <w:r>
        <w:rPr>
          <w:rFonts w:ascii="宋体" w:eastAsia="宋体" w:hAnsi="宋体" w:cs="宋体"/>
        </w:rPr>
        <w:t>5.4 报告期末按债券品种分类的债券投资组合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债券品种</w:t>
            </w:r>
          </w:p>
        </w:tc>
        <w:tc>
          <w:tcPr>
            <w:tcW w:w="769" w:type="pct"/>
            <w:shd w:val="clear" w:color="auto" w:fill="D9D9D9"/>
            <w:vAlign w:val="center"/>
          </w:tcPr>
          <w:p>
            <w:pPr>
              <w:spacing w:line="240" w:lineRule="auto"/>
              <w:jc w:val="center"/>
            </w:pPr>
            <w:r>
              <w:rPr>
                <w:rFonts w:ascii="宋体" w:eastAsia="宋体" w:hAnsi="宋体" w:cs="宋体"/>
                <w:b w:val="0"/>
              </w:rPr>
              <w:t>公允价值(元)</w:t>
            </w:r>
          </w:p>
        </w:tc>
        <w:tc>
          <w:tcPr>
            <w:tcW w:w="1077"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国家债券</w:t>
            </w:r>
          </w:p>
        </w:tc>
        <w:tc>
          <w:tcPr>
            <w:tcW w:w="0" w:type="dxa"/>
            <w:vAlign w:val="center"/>
          </w:tcPr>
          <w:p>
            <w:pPr>
              <w:spacing w:line="240" w:lineRule="auto"/>
              <w:jc w:val="right"/>
            </w:pPr>
            <w:r>
              <w:rPr>
                <w:rFonts w:ascii="宋体" w:eastAsia="宋体" w:hAnsi="宋体" w:cs="宋体"/>
                <w:b w:val="0"/>
              </w:rPr>
              <w:t>10,584,997.06</w:t>
            </w:r>
          </w:p>
        </w:tc>
        <w:tc>
          <w:tcPr>
            <w:tcW w:w="0" w:type="dxa"/>
            <w:vAlign w:val="center"/>
          </w:tcPr>
          <w:p>
            <w:pPr>
              <w:spacing w:line="240" w:lineRule="auto"/>
              <w:jc w:val="right"/>
            </w:pPr>
            <w:r>
              <w:rPr>
                <w:rFonts w:ascii="宋体" w:eastAsia="宋体" w:hAnsi="宋体" w:cs="宋体"/>
                <w:b w:val="0"/>
              </w:rPr>
              <w:t>7.20</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央行票据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金融债券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其中：政策性金融债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企业债券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企业短期融资券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中期票据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可转债（可交换债）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同业存单</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10,584,997.06</w:t>
            </w:r>
          </w:p>
        </w:tc>
        <w:tc>
          <w:tcPr>
            <w:tcW w:w="0" w:type="dxa"/>
            <w:vAlign w:val="center"/>
          </w:tcPr>
          <w:p>
            <w:pPr>
              <w:spacing w:line="240" w:lineRule="auto"/>
              <w:jc w:val="right"/>
            </w:pPr>
            <w:r>
              <w:rPr>
                <w:rFonts w:ascii="宋体" w:eastAsia="宋体" w:hAnsi="宋体" w:cs="宋体"/>
                <w:b w:val="0"/>
              </w:rPr>
              <w:t>7.20</w:t>
            </w:r>
          </w:p>
        </w:tc>
      </w:tr>
    </w:tbl>
    <w:p/>
    <w:p>
      <w:pPr>
        <w:pStyle w:val="Heading2"/>
        <w:jc w:val="left"/>
      </w:pPr>
      <w:r>
        <w:rPr>
          <w:rFonts w:ascii="宋体" w:eastAsia="宋体" w:hAnsi="宋体" w:cs="宋体"/>
        </w:rPr>
        <w:t>5.5 报告期末按公允价值占基金资产净值比例大小排序的前五名债券投资明细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债券代码</w:t>
            </w:r>
          </w:p>
        </w:tc>
        <w:tc>
          <w:tcPr>
            <w:tcW w:w="769" w:type="pct"/>
            <w:shd w:val="clear" w:color="auto" w:fill="D9D9D9"/>
            <w:vAlign w:val="center"/>
          </w:tcPr>
          <w:p>
            <w:pPr>
              <w:spacing w:line="240" w:lineRule="auto"/>
              <w:jc w:val="center"/>
            </w:pPr>
            <w:r>
              <w:rPr>
                <w:rFonts w:ascii="宋体" w:eastAsia="宋体" w:hAnsi="宋体" w:cs="宋体"/>
                <w:b w:val="0"/>
              </w:rPr>
              <w:t>债券名称</w:t>
            </w:r>
          </w:p>
        </w:tc>
        <w:tc>
          <w:tcPr>
            <w:tcW w:w="615" w:type="pct"/>
            <w:shd w:val="clear" w:color="auto" w:fill="D9D9D9"/>
            <w:vAlign w:val="center"/>
          </w:tcPr>
          <w:p>
            <w:pPr>
              <w:spacing w:line="240" w:lineRule="auto"/>
              <w:jc w:val="center"/>
            </w:pPr>
            <w:r>
              <w:rPr>
                <w:rFonts w:ascii="宋体" w:eastAsia="宋体" w:hAnsi="宋体" w:cs="宋体"/>
                <w:b w:val="0"/>
              </w:rPr>
              <w:t>数量(张)</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019827</w:t>
            </w:r>
          </w:p>
        </w:tc>
        <w:tc>
          <w:tcPr>
            <w:tcW w:w="0" w:type="dxa"/>
            <w:vAlign w:val="center"/>
          </w:tcPr>
          <w:p>
            <w:pPr>
              <w:spacing w:line="240" w:lineRule="auto"/>
              <w:jc w:val="left"/>
            </w:pPr>
            <w:r>
              <w:rPr>
                <w:rFonts w:ascii="宋体" w:eastAsia="宋体" w:hAnsi="宋体" w:cs="宋体"/>
                <w:b w:val="0"/>
              </w:rPr>
              <w:t>26国债01</w:t>
            </w:r>
          </w:p>
        </w:tc>
        <w:tc>
          <w:tcPr>
            <w:tcW w:w="0" w:type="dxa"/>
            <w:vAlign w:val="center"/>
          </w:tcPr>
          <w:p>
            <w:pPr>
              <w:spacing w:line="240" w:lineRule="auto"/>
              <w:jc w:val="right"/>
            </w:pPr>
            <w:r>
              <w:rPr>
                <w:rFonts w:ascii="宋体" w:eastAsia="宋体" w:hAnsi="宋体" w:cs="宋体"/>
                <w:b w:val="0"/>
              </w:rPr>
              <w:t>92,000</w:t>
            </w:r>
          </w:p>
        </w:tc>
        <w:tc>
          <w:tcPr>
            <w:tcW w:w="0" w:type="dxa"/>
            <w:vAlign w:val="center"/>
          </w:tcPr>
          <w:p>
            <w:pPr>
              <w:spacing w:line="240" w:lineRule="auto"/>
              <w:jc w:val="right"/>
            </w:pPr>
            <w:r>
              <w:rPr>
                <w:rFonts w:ascii="宋体" w:eastAsia="宋体" w:hAnsi="宋体" w:cs="宋体"/>
                <w:b w:val="0"/>
              </w:rPr>
              <w:t>9,279,644.27</w:t>
            </w:r>
          </w:p>
        </w:tc>
        <w:tc>
          <w:tcPr>
            <w:tcW w:w="0" w:type="dxa"/>
            <w:vAlign w:val="center"/>
          </w:tcPr>
          <w:p>
            <w:pPr>
              <w:spacing w:line="240" w:lineRule="auto"/>
              <w:jc w:val="right"/>
            </w:pPr>
            <w:r>
              <w:rPr>
                <w:rFonts w:ascii="宋体" w:eastAsia="宋体" w:hAnsi="宋体" w:cs="宋体"/>
                <w:b w:val="0"/>
              </w:rPr>
              <w:t>6.31</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019835</w:t>
            </w:r>
          </w:p>
        </w:tc>
        <w:tc>
          <w:tcPr>
            <w:tcW w:w="0" w:type="dxa"/>
            <w:vAlign w:val="center"/>
          </w:tcPr>
          <w:p>
            <w:pPr>
              <w:spacing w:line="240" w:lineRule="auto"/>
              <w:jc w:val="left"/>
            </w:pPr>
            <w:r>
              <w:rPr>
                <w:rFonts w:ascii="宋体" w:eastAsia="宋体" w:hAnsi="宋体" w:cs="宋体"/>
                <w:b w:val="0"/>
              </w:rPr>
              <w:t>26国债09</w:t>
            </w:r>
          </w:p>
        </w:tc>
        <w:tc>
          <w:tcPr>
            <w:tcW w:w="0" w:type="dxa"/>
            <w:vAlign w:val="center"/>
          </w:tcPr>
          <w:p>
            <w:pPr>
              <w:spacing w:line="240" w:lineRule="auto"/>
              <w:jc w:val="right"/>
            </w:pPr>
            <w:r>
              <w:rPr>
                <w:rFonts w:ascii="宋体" w:eastAsia="宋体" w:hAnsi="宋体" w:cs="宋体"/>
                <w:b w:val="0"/>
              </w:rPr>
              <w:t>13,000</w:t>
            </w:r>
          </w:p>
        </w:tc>
        <w:tc>
          <w:tcPr>
            <w:tcW w:w="0" w:type="dxa"/>
            <w:vAlign w:val="center"/>
          </w:tcPr>
          <w:p>
            <w:pPr>
              <w:spacing w:line="240" w:lineRule="auto"/>
              <w:jc w:val="right"/>
            </w:pPr>
            <w:r>
              <w:rPr>
                <w:rFonts w:ascii="宋体" w:eastAsia="宋体" w:hAnsi="宋体" w:cs="宋体"/>
                <w:b w:val="0"/>
              </w:rPr>
              <w:t>1,305,352.79</w:t>
            </w:r>
          </w:p>
        </w:tc>
        <w:tc>
          <w:tcPr>
            <w:tcW w:w="0" w:type="dxa"/>
            <w:vAlign w:val="center"/>
          </w:tcPr>
          <w:p>
            <w:pPr>
              <w:spacing w:line="240" w:lineRule="auto"/>
              <w:jc w:val="right"/>
            </w:pPr>
            <w:r>
              <w:rPr>
                <w:rFonts w:ascii="宋体" w:eastAsia="宋体" w:hAnsi="宋体" w:cs="宋体"/>
                <w:b w:val="0"/>
              </w:rPr>
              <w:t>0.89</w:t>
            </w:r>
          </w:p>
        </w:tc>
      </w:tr>
    </w:tbl>
    <w:p>
      <w:r>
        <w:rPr>
          <w:rFonts w:ascii="宋体" w:eastAsia="宋体" w:hAnsi="宋体" w:cs="宋体"/>
          <w:b w:val="0"/>
        </w:rPr>
        <w:t>注：本基金本报告期末仅持有上述债券。</w:t>
      </w:r>
    </w:p>
    <w:p/>
    <w:p>
      <w:pPr>
        <w:pStyle w:val="Heading2"/>
        <w:jc w:val="left"/>
      </w:pPr>
      <w:r>
        <w:rPr>
          <w:rFonts w:ascii="宋体" w:eastAsia="宋体" w:hAnsi="宋体" w:cs="宋体"/>
        </w:rPr>
        <w:t>5.6 报告期末按公允价值占基金资产净值比例大小排序的前十名资产支持证券投资明细</w:t>
      </w:r>
    </w:p>
    <w:p>
      <w:r>
        <w:rPr>
          <w:rFonts w:ascii="宋体" w:eastAsia="宋体" w:hAnsi="宋体" w:cs="宋体"/>
          <w:b w:val="0"/>
        </w:rPr>
        <w:t xml:space="preserve">    本基金本报告期末未持有资产支持证券。</w:t>
      </w:r>
    </w:p>
    <w:p/>
    <w:p>
      <w:pPr>
        <w:pStyle w:val="Heading2"/>
        <w:jc w:val="left"/>
      </w:pPr>
      <w:r>
        <w:rPr>
          <w:rFonts w:ascii="宋体" w:eastAsia="宋体" w:hAnsi="宋体" w:cs="宋体"/>
        </w:rPr>
        <w:t>5.7 报告期末按公允价值占基金资产净值比例大小排序的前五名贵金属投资明细</w:t>
      </w:r>
    </w:p>
    <w:p>
      <w:r>
        <w:rPr>
          <w:rFonts w:ascii="宋体" w:eastAsia="宋体" w:hAnsi="宋体" w:cs="宋体"/>
          <w:b w:val="0"/>
        </w:rPr>
        <w:t xml:space="preserve">    本基金本报告期末未持有贵金属。</w:t>
      </w:r>
    </w:p>
    <w:p/>
    <w:p>
      <w:pPr>
        <w:pStyle w:val="Heading2"/>
        <w:jc w:val="left"/>
      </w:pPr>
      <w:r>
        <w:rPr>
          <w:rFonts w:ascii="宋体" w:eastAsia="宋体" w:hAnsi="宋体" w:cs="宋体"/>
        </w:rPr>
        <w:t>5.8 报告期末按公允价值占基金资产净值比例大小排序的前五名权证投资明细</w:t>
      </w:r>
    </w:p>
    <w:p>
      <w:r>
        <w:rPr>
          <w:rFonts w:ascii="宋体" w:eastAsia="宋体" w:hAnsi="宋体" w:cs="宋体"/>
          <w:b w:val="0"/>
        </w:rPr>
        <w:t xml:space="preserve">    本基金本报告期末未持有权证。</w:t>
      </w:r>
    </w:p>
    <w:p/>
    <w:p>
      <w:pPr>
        <w:pStyle w:val="Heading2"/>
        <w:jc w:val="left"/>
      </w:pPr>
      <w:r>
        <w:rPr>
          <w:rFonts w:ascii="宋体" w:eastAsia="宋体" w:hAnsi="宋体" w:cs="宋体"/>
        </w:rPr>
        <w:t>5.9 报告期末本基金投资的股指期货交易情况说明</w:t>
      </w:r>
    </w:p>
    <w:p>
      <w:r>
        <w:rPr>
          <w:rFonts w:ascii="宋体" w:eastAsia="宋体" w:hAnsi="宋体" w:cs="宋体"/>
          <w:b w:val="0"/>
        </w:rPr>
        <w:t xml:space="preserve">    本基金本报告期末未持有股指期货。</w:t>
      </w:r>
    </w:p>
    <w:p/>
    <w:p>
      <w:pPr>
        <w:pStyle w:val="Heading2"/>
        <w:jc w:val="left"/>
      </w:pPr>
      <w:r>
        <w:rPr>
          <w:rFonts w:ascii="宋体" w:eastAsia="宋体" w:hAnsi="宋体" w:cs="宋体"/>
        </w:rPr>
        <w:t>5.10 报告期末本基金投资的国债期货交易情况说明</w:t>
      </w:r>
    </w:p>
    <w:p>
      <w:r>
        <w:rPr>
          <w:rFonts w:ascii="宋体" w:eastAsia="宋体" w:hAnsi="宋体" w:cs="宋体"/>
          <w:b w:val="0"/>
        </w:rPr>
        <w:t xml:space="preserve">    本基金本报告期末未持有国债期货。</w:t>
      </w:r>
    </w:p>
    <w:p/>
    <w:p>
      <w:pPr>
        <w:pStyle w:val="Heading2"/>
        <w:jc w:val="left"/>
      </w:pPr>
      <w:r>
        <w:rPr>
          <w:rFonts w:ascii="宋体" w:eastAsia="宋体" w:hAnsi="宋体" w:cs="宋体"/>
        </w:rPr>
        <w:t>5.11 投资组合报告附注</w:t>
      </w:r>
    </w:p>
    <w:p>
      <w:pPr>
        <w:pStyle w:val="zhangjiep2"/>
      </w:pPr>
      <w:r>
        <w:rPr>
          <w:rStyle w:val="DefaultParagraphFont"/>
          <w:rFonts w:ascii="宋体" w:eastAsia="宋体" w:hAnsi="宋体" w:cs="宋体"/>
          <w:b/>
        </w:rPr>
        <w:t>5.11.1 本基金投资的前十名证券的发行主体本期受到监管部门立案调查或报告编制日前一年内受到公开谴责、处罚的情形说明</w:t>
      </w:r>
    </w:p>
    <w:p>
      <w:r>
        <w:rPr>
          <w:rFonts w:ascii="宋体" w:eastAsia="宋体" w:hAnsi="宋体" w:cs="宋体"/>
          <w:b w:val="0"/>
        </w:rPr>
        <w:t xml:space="preserve">    本基金投资的前十名证券的发行主体本期未出现被监管部门立案调查，或在报告编制日前一年内受到公开谴责、处罚的情形。</w:t>
      </w:r>
    </w:p>
    <w:p/>
    <w:p>
      <w:pPr>
        <w:pStyle w:val="zhangjiep2"/>
      </w:pPr>
      <w:r>
        <w:rPr>
          <w:rStyle w:val="DefaultParagraphFont"/>
          <w:rFonts w:ascii="宋体" w:eastAsia="宋体" w:hAnsi="宋体" w:cs="宋体"/>
          <w:b/>
        </w:rPr>
        <w:t>5.11.2 基金投资的前十名股票超出基金合同约定的备选股票库情况的说明</w:t>
      </w:r>
    </w:p>
    <w:p>
      <w:r>
        <w:rPr>
          <w:rFonts w:ascii="宋体" w:eastAsia="宋体" w:hAnsi="宋体" w:cs="宋体"/>
          <w:b w:val="0"/>
        </w:rPr>
        <w:t xml:space="preserve">    基金投资的前十名股票，均为基金合同约定备选股票库之内的股票。</w:t>
      </w:r>
    </w:p>
    <w:p/>
    <w:p>
      <w:pPr>
        <w:pStyle w:val="zhangjiep2"/>
      </w:pPr>
      <w:r>
        <w:rPr>
          <w:rStyle w:val="DefaultParagraphFont"/>
          <w:rFonts w:ascii="宋体" w:eastAsia="宋体" w:hAnsi="宋体" w:cs="宋体"/>
          <w:b/>
        </w:rPr>
        <w:t>5.11.3 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2308" w:type="pct"/>
            <w:shd w:val="clear" w:color="auto" w:fill="D9D9D9"/>
            <w:vAlign w:val="center"/>
          </w:tcPr>
          <w:p>
            <w:pPr>
              <w:spacing w:line="240" w:lineRule="auto"/>
              <w:jc w:val="center"/>
            </w:pPr>
            <w:r>
              <w:rPr>
                <w:rFonts w:ascii="宋体" w:eastAsia="宋体" w:hAnsi="宋体" w:cs="宋体"/>
                <w:b w:val="0"/>
              </w:rPr>
              <w:t>名称</w:t>
            </w:r>
          </w:p>
        </w:tc>
        <w:tc>
          <w:tcPr>
            <w:tcW w:w="1538" w:type="pct"/>
            <w:shd w:val="clear" w:color="auto" w:fill="D9D9D9"/>
            <w:vAlign w:val="center"/>
          </w:tcPr>
          <w:p>
            <w:pPr>
              <w:spacing w:line="240" w:lineRule="auto"/>
              <w:jc w:val="center"/>
            </w:pPr>
            <w:r>
              <w:rPr>
                <w:rFonts w:ascii="宋体" w:eastAsia="宋体" w:hAnsi="宋体" w:cs="宋体"/>
                <w:b w:val="0"/>
              </w:rPr>
              <w:t>金额(元)</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存出保证金</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应收证券清算款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应收股利</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应收利息</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应收申购款</w:t>
            </w:r>
          </w:p>
        </w:tc>
        <w:tc>
          <w:tcPr>
            <w:tcW w:w="0" w:type="dxa"/>
            <w:vAlign w:val="center"/>
          </w:tcPr>
          <w:p>
            <w:pPr>
              <w:spacing w:line="240" w:lineRule="auto"/>
              <w:jc w:val="right"/>
            </w:pPr>
            <w:r>
              <w:rPr>
                <w:rFonts w:ascii="宋体" w:eastAsia="宋体" w:hAnsi="宋体" w:cs="宋体"/>
                <w:b w:val="0"/>
              </w:rPr>
              <w:t>1,018,196.04</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其他应收款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1,018,196.04</w:t>
            </w:r>
          </w:p>
        </w:tc>
      </w:tr>
    </w:tbl>
    <w:p/>
    <w:p>
      <w:pPr>
        <w:pStyle w:val="zhangjiep2"/>
      </w:pPr>
      <w:r>
        <w:rPr>
          <w:rStyle w:val="DefaultParagraphFont"/>
          <w:rFonts w:ascii="宋体" w:eastAsia="宋体" w:hAnsi="宋体" w:cs="宋体"/>
          <w:b/>
        </w:rPr>
        <w:t>5.11.4 报告期末持有的处于转股期的可转换债券明细</w:t>
      </w:r>
    </w:p>
    <w:p>
      <w:r>
        <w:rPr>
          <w:rFonts w:ascii="宋体" w:eastAsia="宋体" w:hAnsi="宋体" w:cs="宋体"/>
          <w:b w:val="0"/>
        </w:rPr>
        <w:t xml:space="preserve">    本基金本报告期末未持有处于转股期的可转换债券。</w:t>
      </w:r>
    </w:p>
    <w:p/>
    <w:p>
      <w:pPr>
        <w:pStyle w:val="zhangjiep2"/>
      </w:pPr>
      <w:r>
        <w:rPr>
          <w:rStyle w:val="DefaultParagraphFont"/>
          <w:rFonts w:ascii="宋体" w:eastAsia="宋体" w:hAnsi="宋体" w:cs="宋体"/>
          <w:b/>
        </w:rPr>
        <w:t>5.11.5 报告期末前十名股票中存在流通受限情况的说明</w:t>
      </w:r>
    </w:p>
    <w:p>
      <w:r>
        <w:rPr>
          <w:rFonts w:ascii="宋体" w:eastAsia="宋体" w:hAnsi="宋体" w:cs="宋体"/>
          <w:b w:val="0"/>
        </w:rPr>
        <w:t xml:space="preserve">    本基金本报告期末前十名股票中不存在流通受限的情况。</w:t>
      </w:r>
    </w:p>
    <w:p/>
    <w:p>
      <w:pPr>
        <w:pStyle w:val="zhangjiep2"/>
      </w:pPr>
      <w:r>
        <w:rPr>
          <w:rStyle w:val="DefaultParagraphFont"/>
          <w:rFonts w:ascii="宋体" w:eastAsia="宋体" w:hAnsi="宋体" w:cs="宋体"/>
          <w:b/>
        </w:rPr>
        <w:t>5.11.6 投资组合报告附注的其他文字描述部分</w:t>
      </w:r>
    </w:p>
    <w:p>
      <w:r>
        <w:rPr>
          <w:rFonts w:ascii="宋体" w:eastAsia="宋体" w:hAnsi="宋体" w:cs="宋体"/>
          <w:b w:val="0"/>
        </w:rPr>
        <w:t xml:space="preserve">    由于四舍五入原因，分项之和与合计项之间可能存在尾差。</w:t>
      </w:r>
    </w:p>
    <w:p>
      <w:pPr>
        <w:pStyle w:val="Heading1"/>
        <w:jc w:val="center"/>
      </w:pPr>
      <w:r>
        <w:rPr>
          <w:rFonts w:ascii="宋体" w:eastAsia="宋体" w:hAnsi="宋体" w:cs="宋体"/>
        </w:rPr>
        <w:t>§6 开放式基金份额变动</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260"/>
        <w:gridCol w:w="2400"/>
        <w:gridCol w:w="24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2308" w:type="pct"/>
            <w:vAlign w:val="center"/>
          </w:tcPr>
          <w:p>
            <w:pPr>
              <w:spacing w:line="240" w:lineRule="auto"/>
              <w:jc w:val="center"/>
            </w:pPr>
          </w:p>
        </w:tc>
        <w:tc>
          <w:tcPr>
            <w:tcW w:w="1300" w:type="pct"/>
            <w:vAlign w:val="center"/>
          </w:tcPr>
          <w:p>
            <w:pPr>
              <w:spacing w:line="240" w:lineRule="auto"/>
              <w:jc w:val="center"/>
            </w:pPr>
            <w:r>
              <w:rPr>
                <w:rFonts w:ascii="宋体" w:eastAsia="宋体" w:hAnsi="宋体" w:cs="宋体"/>
                <w:b w:val="0"/>
              </w:rPr>
              <w:t>东方阿尔法瑞丰混合发起A</w:t>
            </w:r>
          </w:p>
        </w:tc>
        <w:tc>
          <w:tcPr>
            <w:tcW w:w="1300" w:type="pct"/>
            <w:vAlign w:val="center"/>
          </w:tcPr>
          <w:p>
            <w:pPr>
              <w:spacing w:line="240" w:lineRule="auto"/>
              <w:jc w:val="center"/>
            </w:pPr>
            <w:r>
              <w:rPr>
                <w:rFonts w:ascii="宋体" w:eastAsia="宋体" w:hAnsi="宋体" w:cs="宋体"/>
                <w:b w:val="0"/>
              </w:rPr>
              <w:t>东方阿尔法瑞丰混合发起C</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报告期期初基金份额总额</w:t>
            </w:r>
          </w:p>
        </w:tc>
        <w:tc>
          <w:tcPr>
            <w:tcW w:w="1300" w:type="pct"/>
            <w:vAlign w:val="center"/>
          </w:tcPr>
          <w:p>
            <w:pPr>
              <w:spacing w:line="240" w:lineRule="auto"/>
              <w:jc w:val="right"/>
            </w:pPr>
            <w:r>
              <w:rPr>
                <w:rFonts w:ascii="宋体" w:eastAsia="宋体" w:hAnsi="宋体" w:cs="宋体"/>
                <w:b w:val="0"/>
              </w:rPr>
              <w:t>31,965,195.80</w:t>
            </w:r>
          </w:p>
        </w:tc>
        <w:tc>
          <w:tcPr>
            <w:tcW w:w="1300" w:type="pct"/>
            <w:vAlign w:val="center"/>
          </w:tcPr>
          <w:p>
            <w:pPr>
              <w:spacing w:line="240" w:lineRule="auto"/>
              <w:jc w:val="right"/>
            </w:pPr>
            <w:r>
              <w:rPr>
                <w:rFonts w:ascii="宋体" w:eastAsia="宋体" w:hAnsi="宋体" w:cs="宋体"/>
                <w:b w:val="0"/>
              </w:rPr>
              <w:t>226,558,651.98</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报告期期间基金总申购份额</w:t>
            </w:r>
          </w:p>
        </w:tc>
        <w:tc>
          <w:tcPr>
            <w:tcW w:w="1300" w:type="pct"/>
            <w:vAlign w:val="center"/>
          </w:tcPr>
          <w:p>
            <w:pPr>
              <w:spacing w:line="240" w:lineRule="auto"/>
              <w:jc w:val="right"/>
            </w:pPr>
            <w:r>
              <w:rPr>
                <w:rFonts w:ascii="宋体" w:eastAsia="宋体" w:hAnsi="宋体" w:cs="宋体"/>
                <w:b w:val="0"/>
              </w:rPr>
              <w:t>5,107,763.49</w:t>
            </w:r>
          </w:p>
        </w:tc>
        <w:tc>
          <w:tcPr>
            <w:tcW w:w="1300" w:type="pct"/>
            <w:vAlign w:val="center"/>
          </w:tcPr>
          <w:p>
            <w:pPr>
              <w:spacing w:line="240" w:lineRule="auto"/>
              <w:jc w:val="right"/>
            </w:pPr>
            <w:r>
              <w:rPr>
                <w:rFonts w:ascii="宋体" w:eastAsia="宋体" w:hAnsi="宋体" w:cs="宋体"/>
                <w:b w:val="0"/>
              </w:rPr>
              <w:t>175,657,520.58</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减：报告期期间基金总赎回份额</w:t>
            </w:r>
          </w:p>
        </w:tc>
        <w:tc>
          <w:tcPr>
            <w:tcW w:w="1300" w:type="pct"/>
            <w:vAlign w:val="center"/>
          </w:tcPr>
          <w:p>
            <w:pPr>
              <w:spacing w:line="240" w:lineRule="auto"/>
              <w:jc w:val="right"/>
            </w:pPr>
            <w:r>
              <w:rPr>
                <w:rFonts w:ascii="宋体" w:eastAsia="宋体" w:hAnsi="宋体" w:cs="宋体"/>
                <w:b w:val="0"/>
              </w:rPr>
              <w:t>8,149,857.44</w:t>
            </w:r>
          </w:p>
        </w:tc>
        <w:tc>
          <w:tcPr>
            <w:tcW w:w="1300" w:type="pct"/>
            <w:vAlign w:val="center"/>
          </w:tcPr>
          <w:p>
            <w:pPr>
              <w:spacing w:line="240" w:lineRule="auto"/>
              <w:jc w:val="right"/>
            </w:pPr>
            <w:r>
              <w:rPr>
                <w:rFonts w:ascii="宋体" w:eastAsia="宋体" w:hAnsi="宋体" w:cs="宋体"/>
                <w:b w:val="0"/>
              </w:rPr>
              <w:t>214,349,037.70</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报告期期间基金拆分变动份额（份额减少以“-”填列）</w:t>
            </w:r>
          </w:p>
        </w:tc>
        <w:tc>
          <w:tcPr>
            <w:tcW w:w="1300" w:type="pct"/>
            <w:vAlign w:val="center"/>
          </w:tcPr>
          <w:p>
            <w:pPr>
              <w:spacing w:line="240" w:lineRule="auto"/>
              <w:jc w:val="right"/>
            </w:pPr>
            <w:r>
              <w:rPr>
                <w:rFonts w:ascii="宋体" w:eastAsia="宋体" w:hAnsi="宋体" w:cs="宋体"/>
                <w:b w:val="0"/>
              </w:rPr>
              <w:t>-</w:t>
            </w:r>
          </w:p>
        </w:tc>
        <w:tc>
          <w:tcPr>
            <w:tcW w:w="130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报告期期末基金份额总额</w:t>
            </w:r>
          </w:p>
        </w:tc>
        <w:tc>
          <w:tcPr>
            <w:tcW w:w="1300" w:type="pct"/>
            <w:vAlign w:val="center"/>
          </w:tcPr>
          <w:p>
            <w:pPr>
              <w:spacing w:line="240" w:lineRule="auto"/>
              <w:jc w:val="right"/>
            </w:pPr>
            <w:r>
              <w:rPr>
                <w:rFonts w:ascii="宋体" w:eastAsia="宋体" w:hAnsi="宋体" w:cs="宋体"/>
                <w:b w:val="0"/>
              </w:rPr>
              <w:t>28,923,101.85</w:t>
            </w:r>
          </w:p>
        </w:tc>
        <w:tc>
          <w:tcPr>
            <w:tcW w:w="1300" w:type="pct"/>
            <w:vAlign w:val="center"/>
          </w:tcPr>
          <w:p>
            <w:pPr>
              <w:spacing w:line="240" w:lineRule="auto"/>
              <w:jc w:val="right"/>
            </w:pPr>
            <w:r>
              <w:rPr>
                <w:rFonts w:ascii="宋体" w:eastAsia="宋体" w:hAnsi="宋体" w:cs="宋体"/>
                <w:b w:val="0"/>
              </w:rPr>
              <w:t>187,867,134.86</w:t>
            </w:r>
          </w:p>
        </w:tc>
      </w:tr>
    </w:tbl>
    <w:p>
      <w:pPr>
        <w:pStyle w:val="Heading1"/>
        <w:jc w:val="center"/>
      </w:pPr>
      <w:r>
        <w:rPr>
          <w:rFonts w:ascii="宋体" w:eastAsia="宋体" w:hAnsi="宋体" w:cs="宋体"/>
        </w:rPr>
        <w:t>§7 基金管理人运用固有资金投资本基金情况</w:t>
      </w:r>
    </w:p>
    <w:p>
      <w:pPr>
        <w:pStyle w:val="Heading2"/>
        <w:jc w:val="left"/>
      </w:pPr>
      <w:r>
        <w:rPr>
          <w:rFonts w:ascii="宋体" w:eastAsia="宋体" w:hAnsi="宋体" w:cs="宋体"/>
        </w:rPr>
        <w:t>7.1 基金管理人持有本基金份额变动情况</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5602"/>
        <w:gridCol w:w="1729"/>
        <w:gridCol w:w="172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3077" w:type="pct"/>
            <w:vAlign w:val="center"/>
          </w:tcPr>
          <w:p>
            <w:pPr>
              <w:spacing w:line="240" w:lineRule="auto"/>
              <w:jc w:val="center"/>
            </w:pPr>
          </w:p>
        </w:tc>
        <w:tc>
          <w:tcPr>
            <w:tcW w:w="950" w:type="pct"/>
            <w:vAlign w:val="center"/>
          </w:tcPr>
          <w:p>
            <w:pPr>
              <w:spacing w:line="240" w:lineRule="auto"/>
              <w:jc w:val="center"/>
            </w:pPr>
            <w:r>
              <w:rPr>
                <w:rFonts w:ascii="宋体" w:eastAsia="宋体" w:hAnsi="宋体" w:cs="宋体"/>
                <w:b w:val="0"/>
              </w:rPr>
              <w:t>东方阿尔法瑞丰混合发起A</w:t>
            </w:r>
          </w:p>
        </w:tc>
        <w:tc>
          <w:tcPr>
            <w:tcW w:w="950" w:type="pct"/>
            <w:vAlign w:val="center"/>
          </w:tcPr>
          <w:p>
            <w:pPr>
              <w:spacing w:line="240" w:lineRule="auto"/>
              <w:jc w:val="center"/>
            </w:pPr>
            <w:r>
              <w:rPr>
                <w:rFonts w:ascii="宋体" w:eastAsia="宋体" w:hAnsi="宋体" w:cs="宋体"/>
                <w:b w:val="0"/>
              </w:rPr>
              <w:t>东方阿尔法瑞丰混合发起C</w:t>
            </w:r>
          </w:p>
        </w:tc>
      </w:tr>
      <w:tr>
        <w:tblPrEx>
          <w:tblW w:w="5000" w:type="pct"/>
          <w:tblLayout w:type="fixed"/>
        </w:tblPrEx>
        <w:tc>
          <w:tcPr>
            <w:tcW w:w="3077" w:type="pct"/>
            <w:vAlign w:val="center"/>
          </w:tcPr>
          <w:p>
            <w:pPr>
              <w:spacing w:line="240" w:lineRule="auto"/>
              <w:jc w:val="left"/>
            </w:pPr>
            <w:r>
              <w:rPr>
                <w:rFonts w:ascii="宋体" w:eastAsia="宋体" w:hAnsi="宋体" w:cs="宋体"/>
                <w:b w:val="0"/>
              </w:rPr>
              <w:t>报告期期初管理人持有的本基金份额</w:t>
            </w:r>
          </w:p>
        </w:tc>
        <w:tc>
          <w:tcPr>
            <w:tcW w:w="950" w:type="pct"/>
            <w:vAlign w:val="center"/>
          </w:tcPr>
          <w:p>
            <w:pPr>
              <w:spacing w:line="240" w:lineRule="auto"/>
              <w:jc w:val="right"/>
            </w:pPr>
            <w:r>
              <w:rPr>
                <w:rFonts w:ascii="宋体" w:eastAsia="宋体" w:hAnsi="宋体" w:cs="宋体"/>
                <w:b w:val="0"/>
              </w:rPr>
              <w:t>5,000,225.02</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报告期期间买入/申购总份额</w:t>
            </w:r>
          </w:p>
        </w:tc>
        <w:tc>
          <w:tcPr>
            <w:tcW w:w="950" w:type="pct"/>
            <w:vAlign w:val="center"/>
          </w:tcPr>
          <w:p>
            <w:pPr>
              <w:spacing w:line="240" w:lineRule="auto"/>
              <w:jc w:val="right"/>
            </w:pPr>
            <w:r>
              <w:rPr>
                <w:rFonts w:ascii="宋体" w:eastAsia="宋体" w:hAnsi="宋体" w:cs="宋体"/>
                <w:b w:val="0"/>
              </w:rPr>
              <w:t>-</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报告期期间卖出/赎回总份额</w:t>
            </w:r>
          </w:p>
        </w:tc>
        <w:tc>
          <w:tcPr>
            <w:tcW w:w="950" w:type="pct"/>
            <w:vAlign w:val="center"/>
          </w:tcPr>
          <w:p>
            <w:pPr>
              <w:spacing w:line="240" w:lineRule="auto"/>
              <w:jc w:val="right"/>
            </w:pPr>
            <w:r>
              <w:rPr>
                <w:rFonts w:ascii="宋体" w:eastAsia="宋体" w:hAnsi="宋体" w:cs="宋体"/>
                <w:b w:val="0"/>
              </w:rPr>
              <w:t>5,000,225.02</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报告期期末管理人持有的本基金份额</w:t>
            </w:r>
          </w:p>
        </w:tc>
        <w:tc>
          <w:tcPr>
            <w:tcW w:w="950" w:type="pct"/>
            <w:vAlign w:val="center"/>
          </w:tcPr>
          <w:p>
            <w:pPr>
              <w:spacing w:line="240" w:lineRule="auto"/>
              <w:jc w:val="right"/>
            </w:pPr>
            <w:r>
              <w:rPr>
                <w:rFonts w:ascii="宋体" w:eastAsia="宋体" w:hAnsi="宋体" w:cs="宋体"/>
                <w:b w:val="0"/>
              </w:rPr>
              <w:t>-</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报告期期末持有的本基金份额占基金总份额比例（%）</w:t>
            </w:r>
          </w:p>
        </w:tc>
        <w:tc>
          <w:tcPr>
            <w:tcW w:w="950" w:type="pct"/>
            <w:vAlign w:val="center"/>
          </w:tcPr>
          <w:p>
            <w:pPr>
              <w:spacing w:line="240" w:lineRule="auto"/>
              <w:jc w:val="right"/>
            </w:pPr>
            <w:r>
              <w:rPr>
                <w:rFonts w:ascii="宋体" w:eastAsia="宋体" w:hAnsi="宋体" w:cs="宋体"/>
                <w:b w:val="0"/>
              </w:rPr>
              <w:t>-</w:t>
            </w:r>
          </w:p>
        </w:tc>
        <w:tc>
          <w:tcPr>
            <w:tcW w:w="950" w:type="pct"/>
            <w:vAlign w:val="center"/>
          </w:tcPr>
          <w:p>
            <w:pPr>
              <w:spacing w:line="240" w:lineRule="auto"/>
              <w:jc w:val="right"/>
            </w:pPr>
            <w:r>
              <w:rPr>
                <w:rFonts w:ascii="宋体" w:eastAsia="宋体" w:hAnsi="宋体" w:cs="宋体"/>
                <w:b w:val="0"/>
              </w:rPr>
              <w:t>-</w:t>
            </w:r>
          </w:p>
        </w:tc>
      </w:tr>
    </w:tbl>
    <w:p>
      <w:r>
        <w:rPr>
          <w:rFonts w:ascii="宋体" w:eastAsia="宋体" w:hAnsi="宋体" w:cs="宋体"/>
          <w:b w:val="0"/>
        </w:rPr>
        <w:t>注：报告期期末持有的本基金份额占基金总份额比例的分母采用期末基金份额总额，不区分下属不同类别基金。</w:t>
      </w:r>
    </w:p>
    <w:p/>
    <w:p>
      <w:pPr>
        <w:pStyle w:val="Heading2"/>
        <w:jc w:val="left"/>
      </w:pPr>
      <w:r>
        <w:rPr>
          <w:rFonts w:ascii="宋体" w:eastAsia="宋体" w:hAnsi="宋体" w:cs="宋体"/>
        </w:rPr>
        <w:t>7.2 基金管理人运用固有资金投资本基金交易明细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交易方式</w:t>
            </w:r>
          </w:p>
        </w:tc>
        <w:tc>
          <w:tcPr>
            <w:tcW w:w="769" w:type="pct"/>
            <w:shd w:val="clear" w:color="auto" w:fill="D9D9D9"/>
            <w:vAlign w:val="center"/>
          </w:tcPr>
          <w:p>
            <w:pPr>
              <w:spacing w:line="240" w:lineRule="auto"/>
              <w:jc w:val="center"/>
            </w:pPr>
            <w:r>
              <w:rPr>
                <w:rFonts w:ascii="宋体" w:eastAsia="宋体" w:hAnsi="宋体" w:cs="宋体"/>
                <w:b w:val="0"/>
              </w:rPr>
              <w:t>交易日期</w:t>
            </w:r>
          </w:p>
        </w:tc>
        <w:tc>
          <w:tcPr>
            <w:tcW w:w="923" w:type="pct"/>
            <w:shd w:val="clear" w:color="auto" w:fill="D9D9D9"/>
            <w:vAlign w:val="center"/>
          </w:tcPr>
          <w:p>
            <w:pPr>
              <w:spacing w:line="240" w:lineRule="auto"/>
              <w:jc w:val="center"/>
            </w:pPr>
            <w:r>
              <w:rPr>
                <w:rFonts w:ascii="宋体" w:eastAsia="宋体" w:hAnsi="宋体" w:cs="宋体"/>
                <w:b w:val="0"/>
              </w:rPr>
              <w:t>交易份额（份）</w:t>
            </w:r>
          </w:p>
        </w:tc>
        <w:tc>
          <w:tcPr>
            <w:tcW w:w="923" w:type="pct"/>
            <w:shd w:val="clear" w:color="auto" w:fill="D9D9D9"/>
            <w:vAlign w:val="center"/>
          </w:tcPr>
          <w:p>
            <w:pPr>
              <w:spacing w:line="240" w:lineRule="auto"/>
              <w:jc w:val="center"/>
            </w:pPr>
            <w:r>
              <w:rPr>
                <w:rFonts w:ascii="宋体" w:eastAsia="宋体" w:hAnsi="宋体" w:cs="宋体"/>
                <w:b w:val="0"/>
              </w:rPr>
              <w:t>交易金额 （元）</w:t>
            </w:r>
          </w:p>
        </w:tc>
        <w:tc>
          <w:tcPr>
            <w:tcW w:w="769" w:type="pct"/>
            <w:shd w:val="clear" w:color="auto" w:fill="D9D9D9"/>
            <w:vAlign w:val="center"/>
          </w:tcPr>
          <w:p>
            <w:pPr>
              <w:spacing w:line="240" w:lineRule="auto"/>
              <w:jc w:val="center"/>
            </w:pPr>
            <w:r>
              <w:rPr>
                <w:rFonts w:ascii="宋体" w:eastAsia="宋体" w:hAnsi="宋体" w:cs="宋体"/>
                <w:b w:val="0"/>
              </w:rPr>
              <w:t>适用费率</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赎回</w:t>
            </w:r>
          </w:p>
        </w:tc>
        <w:tc>
          <w:tcPr>
            <w:tcW w:w="0" w:type="dxa"/>
            <w:vAlign w:val="center"/>
          </w:tcPr>
          <w:p>
            <w:pPr>
              <w:spacing w:line="240" w:lineRule="auto"/>
              <w:jc w:val="center"/>
            </w:pPr>
            <w:r>
              <w:rPr>
                <w:rFonts w:ascii="宋体" w:eastAsia="宋体" w:hAnsi="宋体" w:cs="宋体"/>
                <w:b w:val="0"/>
              </w:rPr>
              <w:t>2026-07-10</w:t>
            </w:r>
          </w:p>
        </w:tc>
        <w:tc>
          <w:tcPr>
            <w:tcW w:w="0" w:type="dxa"/>
            <w:vAlign w:val="center"/>
          </w:tcPr>
          <w:p>
            <w:pPr>
              <w:spacing w:line="240" w:lineRule="auto"/>
              <w:jc w:val="right"/>
            </w:pPr>
            <w:r>
              <w:rPr>
                <w:rFonts w:ascii="宋体" w:eastAsia="宋体" w:hAnsi="宋体" w:cs="宋体"/>
                <w:b w:val="0"/>
              </w:rPr>
              <w:t>-5,000,225.02</w:t>
            </w:r>
          </w:p>
        </w:tc>
        <w:tc>
          <w:tcPr>
            <w:tcW w:w="0" w:type="dxa"/>
            <w:vAlign w:val="center"/>
          </w:tcPr>
          <w:p>
            <w:pPr>
              <w:spacing w:line="240" w:lineRule="auto"/>
              <w:jc w:val="right"/>
            </w:pPr>
            <w:r>
              <w:rPr>
                <w:rFonts w:ascii="宋体" w:eastAsia="宋体" w:hAnsi="宋体" w:cs="宋体"/>
                <w:b w:val="0"/>
              </w:rPr>
              <w:t>-5,363,741.38</w:t>
            </w:r>
          </w:p>
        </w:tc>
        <w:tc>
          <w:tcPr>
            <w:tcW w:w="0" w:type="dxa"/>
            <w:vAlign w:val="center"/>
          </w:tcPr>
          <w:p>
            <w:pPr>
              <w:spacing w:line="240" w:lineRule="auto"/>
              <w:jc w:val="right"/>
            </w:pPr>
            <w:r>
              <w:rPr>
                <w:rFonts w:ascii="宋体" w:eastAsia="宋体" w:hAnsi="宋体" w:cs="宋体"/>
                <w:b w:val="0"/>
              </w:rPr>
              <w:t>0.00%</w:t>
            </w:r>
          </w:p>
        </w:tc>
      </w:tr>
      <w:tr>
        <w:tblPrEx>
          <w:tblW w:w="5000" w:type="pct"/>
        </w:tblPrEx>
        <w:tc>
          <w:tcPr>
            <w:tcW w:w="0" w:type="dxa"/>
            <w:vAlign w:val="center"/>
          </w:tcPr>
          <w:p>
            <w:pPr>
              <w:spacing w:line="240" w:lineRule="auto"/>
              <w:jc w:val="center"/>
            </w:pPr>
            <w:r>
              <w:rPr>
                <w:rFonts w:ascii="宋体" w:eastAsia="宋体" w:hAnsi="宋体" w:cs="宋体"/>
                <w:b w:val="0"/>
              </w:rPr>
              <w:t>合计</w:t>
            </w:r>
          </w:p>
        </w:tc>
        <w:tc>
          <w:tcPr>
            <w:tcW w:w="0" w:type="dxa"/>
            <w:vAlign w:val="center"/>
          </w:tcPr>
          <w:p>
            <w:pPr>
              <w:spacing w:line="240" w:lineRule="auto"/>
              <w:jc w:val="left"/>
            </w:pPr>
          </w:p>
        </w:tc>
        <w:tc>
          <w:tcPr>
            <w:tcW w:w="0" w:type="dxa"/>
            <w:vAlign w:val="center"/>
          </w:tcPr>
          <w:p>
            <w:pPr>
              <w:spacing w:line="240" w:lineRule="auto"/>
              <w:jc w:val="center"/>
            </w:pPr>
          </w:p>
        </w:tc>
        <w:tc>
          <w:tcPr>
            <w:tcW w:w="0" w:type="dxa"/>
            <w:vAlign w:val="center"/>
          </w:tcPr>
          <w:p>
            <w:pPr>
              <w:spacing w:line="240" w:lineRule="auto"/>
              <w:jc w:val="right"/>
            </w:pPr>
            <w:r>
              <w:rPr>
                <w:rFonts w:ascii="宋体" w:eastAsia="宋体" w:hAnsi="宋体" w:cs="宋体"/>
                <w:b w:val="0"/>
              </w:rPr>
              <w:t>-5,000,225.02</w:t>
            </w:r>
          </w:p>
        </w:tc>
        <w:tc>
          <w:tcPr>
            <w:tcW w:w="0" w:type="dxa"/>
            <w:vAlign w:val="center"/>
          </w:tcPr>
          <w:p>
            <w:pPr>
              <w:spacing w:line="240" w:lineRule="auto"/>
              <w:jc w:val="right"/>
            </w:pPr>
            <w:r>
              <w:rPr>
                <w:rFonts w:ascii="宋体" w:eastAsia="宋体" w:hAnsi="宋体" w:cs="宋体"/>
                <w:b w:val="0"/>
              </w:rPr>
              <w:t>-5,363,741.38</w:t>
            </w:r>
          </w:p>
        </w:tc>
        <w:tc>
          <w:tcPr>
            <w:tcW w:w="0" w:type="dxa"/>
            <w:vAlign w:val="center"/>
          </w:tcPr>
          <w:p>
            <w:pPr>
              <w:spacing w:line="240" w:lineRule="auto"/>
              <w:jc w:val="left"/>
            </w:pPr>
          </w:p>
        </w:tc>
      </w:tr>
    </w:tbl>
    <w:p>
      <w:r>
        <w:rPr>
          <w:rFonts w:ascii="宋体" w:eastAsia="宋体" w:hAnsi="宋体" w:cs="宋体"/>
          <w:b w:val="0"/>
        </w:rPr>
        <w:t>注：本基金管理人运用固有资金申赎（包含转换）本基金所适用费率符合基金招募说明书和相关公告的规定。</w:t>
      </w:r>
    </w:p>
    <w:p>
      <w:pPr>
        <w:pStyle w:val="Heading1"/>
        <w:jc w:val="center"/>
      </w:pPr>
      <w:r>
        <w:rPr>
          <w:rFonts w:ascii="宋体" w:eastAsia="宋体" w:hAnsi="宋体" w:cs="宋体"/>
        </w:rPr>
        <w:t>§8 报告期末发起式基金发起资金持有份额情况</w:t>
      </w:r>
    </w:p>
    <w:p>
      <w:r>
        <w:rPr>
          <w:rFonts w:ascii="宋体" w:eastAsia="宋体" w:hAnsi="宋体" w:cs="宋体"/>
          <w:b w:val="0"/>
        </w:rPr>
        <w:t xml:space="preserve">    本基金基金合同于2023年05月12日生效。根据本基金基金合同的约定，发起资金认购本基金金额不少于1000万元，且发起资金认购的基金份额持有期限自基金合同生效日起不少于3年。自基金合同生效日起至本报告期末，发起资金认购的本基金基金份额持有期限已满3年。</w:t>
      </w:r>
    </w:p>
    <w:p>
      <w:pPr>
        <w:pStyle w:val="Heading1"/>
        <w:jc w:val="center"/>
      </w:pPr>
      <w:r>
        <w:rPr>
          <w:rFonts w:ascii="宋体" w:eastAsia="宋体" w:hAnsi="宋体" w:cs="宋体"/>
        </w:rPr>
        <w:t>§9 影响投资者决策的其他重要信息</w:t>
      </w:r>
    </w:p>
    <w:p>
      <w:pPr>
        <w:pStyle w:val="Heading2"/>
        <w:jc w:val="left"/>
      </w:pPr>
      <w:r>
        <w:rPr>
          <w:rFonts w:ascii="宋体" w:eastAsia="宋体" w:hAnsi="宋体" w:cs="宋体"/>
        </w:rPr>
        <w:t>9.1 报告期内单一投资者持有基金份额比例达到或超过20%的情况</w:t>
      </w:r>
    </w:p>
    <w:p>
      <w:r>
        <w:rPr>
          <w:rFonts w:ascii="宋体" w:eastAsia="宋体" w:hAnsi="宋体" w:cs="宋体"/>
          <w:b w:val="0"/>
        </w:rPr>
        <w:t xml:space="preserve">    本报告期内，本基金不存在单一投资者持有基金份额比例达到或超过20%的情况。</w:t>
      </w:r>
    </w:p>
    <w:p/>
    <w:p>
      <w:pPr>
        <w:pStyle w:val="Heading2"/>
        <w:jc w:val="left"/>
      </w:pPr>
      <w:r>
        <w:rPr>
          <w:rFonts w:ascii="宋体" w:eastAsia="宋体" w:hAnsi="宋体" w:cs="宋体"/>
        </w:rPr>
        <w:t>9.2 影响投资者决策的其他重要信息</w:t>
      </w:r>
    </w:p>
    <w:p>
      <w:r>
        <w:rPr>
          <w:rFonts w:ascii="宋体" w:eastAsia="宋体" w:hAnsi="宋体" w:cs="宋体"/>
          <w:b w:val="0"/>
        </w:rPr>
        <w:t xml:space="preserve">    无。</w:t>
      </w:r>
    </w:p>
    <w:p>
      <w:pPr>
        <w:pStyle w:val="Heading1"/>
        <w:jc w:val="center"/>
      </w:pPr>
      <w:r>
        <w:rPr>
          <w:rFonts w:ascii="宋体" w:eastAsia="宋体" w:hAnsi="宋体" w:cs="宋体"/>
        </w:rPr>
        <w:t>§10 备查文件目录</w:t>
      </w:r>
    </w:p>
    <w:p>
      <w:pPr>
        <w:pStyle w:val="Heading2"/>
        <w:jc w:val="left"/>
      </w:pPr>
      <w:r>
        <w:rPr>
          <w:rFonts w:ascii="宋体" w:eastAsia="宋体" w:hAnsi="宋体" w:cs="宋体"/>
        </w:rPr>
        <w:t>10.1 备查文件目录</w:t>
      </w:r>
    </w:p>
    <w:p>
      <w:r>
        <w:rPr>
          <w:rFonts w:ascii="宋体" w:eastAsia="宋体" w:hAnsi="宋体" w:cs="宋体"/>
          <w:b w:val="0"/>
        </w:rPr>
        <w:t xml:space="preserve">    1、中国证券监督管理委员会批准的东方阿尔法瑞丰混合型发起式证券投资基金设立的文件；</w:t>
        <w:br/>
      </w:r>
      <w:r>
        <w:rPr>
          <w:rFonts w:ascii="宋体" w:eastAsia="宋体" w:hAnsi="宋体" w:cs="宋体"/>
          <w:b w:val="0"/>
        </w:rPr>
        <w:t xml:space="preserve">    2、《东方阿尔法瑞丰混合型发起式证券投资基金基金合同》；</w:t>
        <w:br/>
      </w:r>
      <w:r>
        <w:rPr>
          <w:rFonts w:ascii="宋体" w:eastAsia="宋体" w:hAnsi="宋体" w:cs="宋体"/>
          <w:b w:val="0"/>
        </w:rPr>
        <w:t xml:space="preserve">    3、《东方阿尔法瑞丰混合型发起式证券投资基金托管协议》；</w:t>
        <w:br/>
      </w:r>
      <w:r>
        <w:rPr>
          <w:rFonts w:ascii="宋体" w:eastAsia="宋体" w:hAnsi="宋体" w:cs="宋体"/>
          <w:b w:val="0"/>
        </w:rPr>
        <w:t xml:space="preserve">    4、《东方阿尔法瑞丰混合型发起式证券投资基金招募说明书》（含更新）；</w:t>
        <w:br/>
      </w:r>
      <w:r>
        <w:rPr>
          <w:rFonts w:ascii="宋体" w:eastAsia="宋体" w:hAnsi="宋体" w:cs="宋体"/>
          <w:b w:val="0"/>
        </w:rPr>
        <w:t xml:space="preserve">    5、基金管理人业务资格批件和营业执照。</w:t>
      </w:r>
    </w:p>
    <w:p/>
    <w:p>
      <w:pPr>
        <w:pStyle w:val="Heading2"/>
        <w:jc w:val="left"/>
      </w:pPr>
      <w:r>
        <w:rPr>
          <w:rFonts w:ascii="宋体" w:eastAsia="宋体" w:hAnsi="宋体" w:cs="宋体"/>
        </w:rPr>
        <w:t>10.2 存放地点</w:t>
      </w:r>
    </w:p>
    <w:p>
      <w:r>
        <w:rPr>
          <w:rFonts w:ascii="宋体" w:eastAsia="宋体" w:hAnsi="宋体" w:cs="宋体"/>
          <w:b w:val="0"/>
        </w:rPr>
        <w:t xml:space="preserve">    广东省深圳市深南大道6008号深圳特区报业大厦23BC。</w:t>
      </w:r>
    </w:p>
    <w:p/>
    <w:p>
      <w:pPr>
        <w:pStyle w:val="Heading2"/>
        <w:jc w:val="left"/>
      </w:pPr>
      <w:r>
        <w:rPr>
          <w:rFonts w:ascii="宋体" w:eastAsia="宋体" w:hAnsi="宋体" w:cs="宋体"/>
        </w:rPr>
        <w:t>10.3 查阅方式</w:t>
      </w:r>
    </w:p>
    <w:p>
      <w:r>
        <w:rPr>
          <w:rFonts w:ascii="宋体" w:eastAsia="宋体" w:hAnsi="宋体" w:cs="宋体"/>
          <w:b w:val="0"/>
        </w:rPr>
        <w:t xml:space="preserve">    1、投资者可在营业时间免费查阅，也可按工本费购买复印件。</w:t>
        <w:br/>
      </w:r>
      <w:r>
        <w:rPr>
          <w:rFonts w:ascii="宋体" w:eastAsia="宋体" w:hAnsi="宋体" w:cs="宋体"/>
          <w:b w:val="0"/>
        </w:rPr>
        <w:t xml:space="preserve">    2、投资者对本报告书如有疑问，可咨询本基金管理人东方阿尔法基金管理有限公司，客户服务电话：400-930-6677（免长途话费）。</w:t>
        <w:br/>
      </w:r>
      <w:r>
        <w:rPr>
          <w:rFonts w:ascii="宋体" w:eastAsia="宋体" w:hAnsi="宋体" w:cs="宋体"/>
          <w:b w:val="0"/>
        </w:rPr>
        <w:t xml:space="preserve">    3、投资者可通过中国证监会基金电子披露网站（http://eid.csrc.gov.cn/fund/）和基金管理人网站（https://www.dfa66.com）查阅本报告书。</w:t>
      </w:r>
    </w:p>
    <w:p/>
    <w:p/>
    <w:p/>
    <w:p>
      <w:pPr>
        <w:jc w:val="right"/>
      </w:pPr>
      <w:r>
        <w:rPr>
          <w:rFonts w:ascii="宋体" w:eastAsia="宋体" w:hAnsi="宋体" w:cs="宋体"/>
          <w:b/>
        </w:rPr>
        <w:t>东方阿尔法基金管理有限公司</w:t>
      </w:r>
    </w:p>
    <w:p>
      <w:pPr>
        <w:jc w:val="right"/>
      </w:pPr>
      <w:r>
        <w:rPr>
          <w:rFonts w:ascii="宋体" w:eastAsia="宋体" w:hAnsi="宋体" w:cs="宋体"/>
          <w:b/>
        </w:rPr>
        <w:t>二〇二六年十月二十六日</w:t>
      </w:r>
    </w:p>
    <w:sectPr w:rsidSect="000B0ABB">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DC36F2E"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BB3931" w14:paraId="0C910235" w14:textId="1E8BACBC">
    <w:pPr>
      <w:pBdr>
        <w:top w:val="single" w:sz="2" w:space="0" w:color="auto"/>
      </w:pBdr>
      <w:tabs>
        <w:tab w:val="right" w:pos="8640"/>
      </w:tabs>
      <w:jc w:val="center"/>
      <w:textAlignment w:val="center"/>
      <w:rPr>
        <w:rFonts w:ascii="宋体" w:eastAsia="宋体" w:hAnsi="宋体"/>
        <w:sz w:val="20"/>
        <w:szCs w:val="20"/>
      </w:rPr>
    </w:pPr>
    <w:r w:rsidRPr="00BB3931">
      <w:rPr>
        <w:rFonts w:ascii="宋体" w:eastAsia="宋体" w:hAnsi="宋体" w:cs="宋体" w:hint="eastAsia"/>
        <w:sz w:val="20"/>
        <w:szCs w:val="20"/>
        <w:lang w:bidi="ar"/>
      </w:rPr>
      <w:t>第</w:t>
    </w:r>
    <w:r w:rsidRPr="00BB3931">
      <w:rPr>
        <w:rFonts w:ascii="宋体" w:eastAsia="宋体" w:hAnsi="宋体" w:cs="Times New Roman" w:hint="eastAsia"/>
        <w:sz w:val="20"/>
        <w:szCs w:val="20"/>
        <w:lang w:bidi="ar"/>
      </w:rPr>
      <w:fldChar w:fldCharType="begin"/>
    </w:r>
    <w:r w:rsidRPr="00BB3931">
      <w:rPr>
        <w:rFonts w:ascii="宋体" w:eastAsia="宋体" w:hAnsi="宋体" w:cs="宋体" w:hint="eastAsia"/>
        <w:sz w:val="20"/>
        <w:szCs w:val="20"/>
        <w:lang w:bidi="ar"/>
      </w:rPr>
      <w:instrText>PAGE  \* MERGEFORMAT</w:instrText>
    </w:r>
    <w:r w:rsidRPr="00BB3931">
      <w:rPr>
        <w:rFonts w:ascii="宋体" w:eastAsia="宋体" w:hAnsi="宋体" w:cs="Times New Roman" w:hint="eastAsia"/>
        <w:sz w:val="20"/>
        <w:szCs w:val="20"/>
        <w:lang w:bidi="ar"/>
      </w:rPr>
      <w:fldChar w:fldCharType="separate"/>
    </w:r>
    <w:r w:rsidRPr="00BB3931" w:rsidR="00421707">
      <w:rPr>
        <w:rFonts w:ascii="宋体" w:eastAsia="宋体" w:hAnsi="宋体" w:cs="宋体"/>
        <w:noProof/>
        <w:sz w:val="20"/>
        <w:szCs w:val="20"/>
        <w:lang w:bidi="ar"/>
      </w:rPr>
      <w:t>2</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r w:rsidRPr="00BB3931" w:rsidR="00FA6399">
      <w:rPr>
        <w:rFonts w:ascii="宋体" w:eastAsia="宋体" w:hAnsi="宋体" w:cs="宋体" w:hint="eastAsia"/>
        <w:sz w:val="20"/>
        <w:szCs w:val="20"/>
        <w:lang w:bidi="ar"/>
      </w:rPr>
      <w:t>，</w:t>
    </w:r>
    <w:r w:rsidRPr="00BB3931">
      <w:rPr>
        <w:rFonts w:ascii="宋体" w:eastAsia="宋体" w:hAnsi="宋体" w:cs="宋体" w:hint="eastAsia"/>
        <w:sz w:val="20"/>
        <w:szCs w:val="20"/>
        <w:lang w:bidi="ar"/>
      </w:rPr>
      <w:t>共</w:t>
    </w:r>
    <w:r w:rsidRPr="00BB3931">
      <w:rPr>
        <w:rFonts w:ascii="宋体" w:eastAsia="宋体" w:hAnsi="宋体" w:cs="Times New Roman" w:hint="eastAsia"/>
        <w:sz w:val="20"/>
        <w:szCs w:val="20"/>
        <w:lang w:bidi="ar"/>
      </w:rPr>
      <w:fldChar w:fldCharType="begin"/>
    </w:r>
    <w:r w:rsidRPr="00BB3931" w:rsidR="00210325">
      <w:rPr>
        <w:rFonts w:ascii="宋体" w:eastAsia="宋体" w:hAnsi="宋体" w:cs="Times New Roman"/>
        <w:sz w:val="20"/>
        <w:szCs w:val="20"/>
        <w:lang w:bidi="ar"/>
      </w:rPr>
      <w:instrText>=</w:instrText>
    </w:r>
    <w:r w:rsidRPr="00BB3931" w:rsidR="00210325">
      <w:rPr>
        <w:rFonts w:ascii="宋体" w:eastAsia="宋体" w:hAnsi="宋体" w:cs="宋体"/>
        <w:sz w:val="20"/>
        <w:szCs w:val="20"/>
        <w:lang w:bidi="ar"/>
      </w:rPr>
      <w:fldChar w:fldCharType="begin"/>
    </w:r>
    <w:r w:rsidRPr="00BB3931" w:rsidR="00210325">
      <w:rPr>
        <w:rFonts w:ascii="宋体" w:eastAsia="宋体" w:hAnsi="宋体" w:cs="宋体"/>
        <w:sz w:val="20"/>
        <w:szCs w:val="20"/>
        <w:lang w:bidi="ar"/>
      </w:rPr>
      <w:instrText xml:space="preserve"> </w:instrText>
    </w:r>
    <w:r w:rsidRPr="00BB3931">
      <w:rPr>
        <w:rFonts w:ascii="宋体" w:eastAsia="宋体" w:hAnsi="宋体" w:cs="宋体" w:hint="eastAsia"/>
        <w:sz w:val="20"/>
        <w:szCs w:val="20"/>
        <w:lang w:bidi="ar"/>
      </w:rPr>
      <w:instrText>NUMPAGES</w:instrText>
    </w:r>
    <w:r w:rsidRPr="00BB3931" w:rsidR="00210325">
      <w:rPr>
        <w:rFonts w:ascii="宋体" w:eastAsia="宋体" w:hAnsi="宋体" w:cs="宋体"/>
        <w:sz w:val="20"/>
        <w:szCs w:val="20"/>
        <w:lang w:bidi="ar"/>
      </w:rPr>
      <w:instrText xml:space="preserve"> </w:instrText>
    </w:r>
    <w:r w:rsidRPr="00BB3931" w:rsidR="00210325">
      <w:rPr>
        <w:rFonts w:ascii="宋体" w:eastAsia="宋体" w:hAnsi="宋体" w:cs="宋体"/>
        <w:sz w:val="20"/>
        <w:szCs w:val="20"/>
        <w:lang w:bidi="ar"/>
      </w:rPr>
      <w:fldChar w:fldCharType="separate"/>
    </w:r>
    <w:r w:rsidR="00F07C93">
      <w:rPr>
        <w:rFonts w:ascii="宋体" w:eastAsia="宋体" w:hAnsi="宋体" w:cs="宋体"/>
        <w:noProof/>
        <w:sz w:val="20"/>
        <w:szCs w:val="20"/>
        <w:lang w:bidi="ar"/>
      </w:rPr>
      <w:instrText>2</w:instrText>
    </w:r>
    <w:r w:rsidRPr="00BB3931" w:rsidR="00210325">
      <w:rPr>
        <w:rFonts w:ascii="宋体" w:eastAsia="宋体" w:hAnsi="宋体" w:cs="宋体"/>
        <w:sz w:val="20"/>
        <w:szCs w:val="20"/>
        <w:lang w:bidi="ar"/>
      </w:rPr>
      <w:fldChar w:fldCharType="end"/>
    </w:r>
    <w:r w:rsidRPr="00BB3931" w:rsidR="00210325">
      <w:rPr>
        <w:rFonts w:ascii="宋体" w:eastAsia="宋体" w:hAnsi="宋体" w:cs="宋体"/>
        <w:sz w:val="20"/>
        <w:szCs w:val="20"/>
        <w:lang w:bidi="ar"/>
      </w:rPr>
      <w:instrText>-1</w:instrText>
    </w:r>
    <w:r w:rsidRPr="00BB3931">
      <w:rPr>
        <w:rFonts w:ascii="宋体" w:eastAsia="宋体" w:hAnsi="宋体" w:cs="Times New Roman" w:hint="eastAsia"/>
        <w:sz w:val="20"/>
        <w:szCs w:val="20"/>
        <w:lang w:bidi="ar"/>
      </w:rPr>
      <w:fldChar w:fldCharType="separate"/>
    </w:r>
    <w:r w:rsidR="00F07C93">
      <w:rPr>
        <w:rFonts w:ascii="宋体" w:eastAsia="宋体" w:hAnsi="宋体" w:cs="Times New Roman"/>
        <w:noProof/>
        <w:sz w:val="20"/>
        <w:szCs w:val="20"/>
        <w:lang w:bidi="ar"/>
      </w:rPr>
      <w:t>1</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26604EC9"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A3BB5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A53CFE" w14:paraId="53998A64" w14:textId="77777777">
    <w:pPr>
      <w:pBdr>
        <w:bottom w:val="single" w:sz="4" w:space="1" w:color="auto"/>
      </w:pBdr>
      <w:jc w:val="right"/>
      <w:rPr>
        <w:rFonts w:ascii="宋体" w:eastAsia="宋体" w:hAnsi="宋体"/>
      </w:rPr>
    </w:pPr>
    <w:r w:rsidRPr="00A53CFE">
      <w:rPr>
        <w:rFonts w:ascii="宋体" w:eastAsia="宋体" w:hAnsi="宋体" w:hint="eastAsia"/>
        <w:sz w:val="18"/>
      </w:rPr>
      <w:t>东方阿尔法瑞丰混合型发起式证券投资基金2026年第3季度报告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0734E7EB"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FFCBC"/>
  <w15:docId w15:val="{D89B03D2-9D7D-433E-9AEE-2EA6D7CF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8</cp:revision>
  <dcterms:created xsi:type="dcterms:W3CDTF">2020-03-27T02:14:00Z</dcterms:created>
  <dcterms:modified xsi:type="dcterms:W3CDTF">2024-12-03T03:02:00Z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