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jc w:val="center"/>
        <w:rPr>
          <w:rFonts w:ascii="黑体" w:hAnsi="黑体" w:eastAsia="黑体"/>
          <w:b/>
          <w:bCs/>
          <w:sz w:val="36"/>
          <w:szCs w:val="36"/>
        </w:rPr>
      </w:pPr>
      <w:r>
        <w:rPr>
          <w:rFonts w:hint="eastAsia" w:ascii="黑体" w:hAnsi="黑体" w:eastAsia="黑体"/>
          <w:b/>
          <w:bCs/>
          <w:sz w:val="36"/>
          <w:szCs w:val="36"/>
        </w:rPr>
        <w:t>东方阿尔法健康产业混合型发起式证券投资基金</w:t>
      </w:r>
    </w:p>
    <w:p>
      <w:pPr>
        <w:pStyle w:val="19"/>
        <w:tabs>
          <w:tab w:val="right" w:leader="dot" w:pos="9080"/>
        </w:tabs>
        <w:jc w:val="center"/>
        <w:rPr>
          <w:rFonts w:ascii="黑体" w:hAnsi="黑体" w:eastAsia="黑体"/>
          <w:b/>
          <w:bCs/>
          <w:sz w:val="36"/>
          <w:szCs w:val="36"/>
        </w:rPr>
      </w:pPr>
      <w:r>
        <w:rPr>
          <w:rFonts w:hint="eastAsia" w:ascii="黑体" w:hAnsi="黑体" w:eastAsia="黑体"/>
          <w:b/>
          <w:bCs/>
          <w:sz w:val="36"/>
          <w:szCs w:val="36"/>
        </w:rPr>
        <w:t>2026年第3季度报告</w:t>
      </w:r>
    </w:p>
    <w:p>
      <w:pPr>
        <w:pStyle w:val="19"/>
        <w:tabs>
          <w:tab w:val="right" w:leader="dot" w:pos="9080"/>
        </w:tabs>
        <w:spacing w:line="480" w:lineRule="auto"/>
        <w:jc w:val="center"/>
        <w:rPr>
          <w:rFonts w:ascii="宋体" w:hAnsi="宋体" w:eastAsia="宋体" w:cs="宋体"/>
          <w:b/>
          <w:bCs/>
          <w:sz w:val="24"/>
        </w:rPr>
      </w:pPr>
      <w:r>
        <w:rPr>
          <w:rFonts w:hint="eastAsia" w:ascii="宋体" w:hAnsi="宋体" w:eastAsia="宋体" w:cs="宋体"/>
          <w:b/>
          <w:bCs/>
          <w:sz w:val="24"/>
        </w:rPr>
        <w:t>2026年09月30日</w:t>
      </w: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基金管理人:</w:t>
      </w:r>
      <w:r>
        <w:rPr>
          <w:rFonts w:ascii="宋体" w:hAnsi="宋体" w:eastAsia="宋体" w:cs="宋体"/>
          <w:b/>
          <w:color w:val="auto"/>
          <w:sz w:val="24"/>
          <w:u w:val="none"/>
        </w:rPr>
        <w:t>东方阿尔法基金管理有限公司</w:t>
      </w: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基金托管人:</w:t>
      </w:r>
      <w:r>
        <w:rPr>
          <w:rFonts w:ascii="宋体" w:hAnsi="宋体" w:eastAsia="宋体" w:cs="宋体"/>
          <w:b/>
          <w:color w:val="auto"/>
          <w:sz w:val="24"/>
          <w:u w:val="none"/>
        </w:rPr>
        <w:t>中信银行股份有限公司</w:t>
      </w: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报告送出日期:</w:t>
      </w:r>
      <w:r>
        <w:rPr>
          <w:rFonts w:ascii="宋体" w:hAnsi="宋体" w:eastAsia="宋体" w:cs="宋体"/>
          <w:b/>
          <w:color w:val="auto"/>
          <w:sz w:val="24"/>
          <w:u w:val="none"/>
        </w:rPr>
        <w:t>2026年10月26日</w:t>
      </w:r>
    </w:p>
    <w:p>
      <w:pPr>
        <w:jc w:val="center"/>
      </w:pPr>
      <w:r>
        <w:br w:type="page"/>
      </w:r>
    </w:p>
    <w:p>
      <w:pPr>
        <w:pStyle w:val="2"/>
        <w:spacing w:line="576" w:lineRule="auto"/>
        <w:jc w:val="center"/>
        <w:rPr>
          <w:rFonts w:ascii="宋体" w:hAnsi="宋体" w:eastAsia="宋体"/>
          <w:sz w:val="24"/>
          <w:szCs w:val="24"/>
        </w:rPr>
      </w:pPr>
      <w:bookmarkStart w:id="0" w:name="_Toc73379713"/>
      <w:r>
        <w:rPr>
          <w:rFonts w:hint="eastAsia" w:ascii="宋体" w:hAnsi="宋体" w:eastAsia="宋体"/>
          <w:bCs w:val="0"/>
          <w:sz w:val="24"/>
          <w:szCs w:val="24"/>
        </w:rPr>
        <w:t>§1 重要提示</w:t>
      </w:r>
      <w:bookmarkEnd w:id="0"/>
    </w:p>
    <w:p>
      <w:pPr>
        <w:widowControl/>
        <w:rPr>
          <w:rFonts w:ascii="宋体" w:hAnsi="宋体" w:eastAsia="宋体"/>
        </w:rPr>
      </w:pPr>
      <w:r>
        <w:t xml:space="preserve">    基金管理人的董事会及董事保证本报告所载资料不存在虚假记载、误导性陈述或重大遗漏，并对其内容的真实性、准确性和完整性承担个别及连带责任。</w:t>
      </w:r>
      <w:r>
        <w:cr/>
      </w:r>
      <w:r>
        <w:t xml:space="preserve">    基金托管人中信银行股份有限公司根据本基金合同规定，于2026年10月23日复核了本报告中的财务指标、净值表现和投资组合报告等内容，保证复核内容不存在虚假记载、误导性陈述或者重大遗漏。</w:t>
      </w:r>
      <w:r>
        <w:cr/>
      </w:r>
      <w:r>
        <w:t xml:space="preserve">    基金管理人承诺以诚实信用、勤勉尽责的原则管理和运用基金资产，但不保证基金一定盈利。</w:t>
      </w:r>
      <w:r>
        <w:cr/>
      </w:r>
      <w:r>
        <w:t xml:space="preserve">    基金的过往业绩并不代表其未来表现。投资有风险，投资者在做出投资决策前应仔细阅读本基金的招募说明书。</w:t>
      </w:r>
      <w:r>
        <w:cr/>
      </w:r>
      <w:r>
        <w:t xml:space="preserve">    本报告中财务资料未经审计。</w:t>
      </w:r>
      <w:r>
        <w:cr/>
      </w:r>
      <w:r>
        <w:t xml:space="preserve">    本报告期自2026年07月01日起至2026年09月30日止。</w:t>
      </w:r>
    </w:p>
    <w:p/>
    <w:p>
      <w:pPr>
        <w:pStyle w:val="2"/>
        <w:jc w:val="center"/>
      </w:pPr>
      <w:r>
        <w:rPr>
          <w:rFonts w:ascii="宋体" w:hAnsi="宋体" w:eastAsia="宋体" w:cs="宋体"/>
        </w:rPr>
        <w:t>§2 基金产品概况</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1"/>
        <w:gridCol w:w="2786"/>
        <w:gridCol w:w="2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基金简称</w:t>
            </w:r>
          </w:p>
        </w:tc>
        <w:tc>
          <w:tcPr>
            <w:tcW w:w="3077" w:type="pct"/>
            <w:gridSpan w:val="2"/>
            <w:vAlign w:val="center"/>
          </w:tcPr>
          <w:p>
            <w:pPr>
              <w:spacing w:line="240" w:lineRule="auto"/>
              <w:jc w:val="left"/>
            </w:pPr>
            <w:r>
              <w:rPr>
                <w:rFonts w:ascii="宋体" w:hAnsi="宋体" w:eastAsia="宋体" w:cs="宋体"/>
                <w:b w:val="0"/>
              </w:rPr>
              <w:t>东方阿尔法健康产业混合发起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基金主代码</w:t>
            </w:r>
          </w:p>
        </w:tc>
        <w:tc>
          <w:tcPr>
            <w:tcW w:w="0" w:type="dxa"/>
            <w:gridSpan w:val="2"/>
            <w:vAlign w:val="center"/>
          </w:tcPr>
          <w:p>
            <w:pPr>
              <w:spacing w:line="240" w:lineRule="auto"/>
              <w:jc w:val="left"/>
            </w:pPr>
            <w:r>
              <w:rPr>
                <w:rFonts w:ascii="宋体" w:hAnsi="宋体" w:eastAsia="宋体" w:cs="宋体"/>
                <w:b w:val="0"/>
              </w:rPr>
              <w:t>024357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基金运作方式</w:t>
            </w:r>
          </w:p>
        </w:tc>
        <w:tc>
          <w:tcPr>
            <w:tcW w:w="0" w:type="dxa"/>
            <w:gridSpan w:val="2"/>
            <w:vAlign w:val="center"/>
          </w:tcPr>
          <w:p>
            <w:pPr>
              <w:spacing w:line="240" w:lineRule="auto"/>
              <w:jc w:val="left"/>
            </w:pPr>
            <w:r>
              <w:rPr>
                <w:rFonts w:ascii="宋体" w:hAnsi="宋体" w:eastAsia="宋体" w:cs="宋体"/>
                <w:b w:val="0"/>
              </w:rPr>
              <w:t>契约型开放式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基金合同生效日</w:t>
            </w:r>
          </w:p>
        </w:tc>
        <w:tc>
          <w:tcPr>
            <w:tcW w:w="0" w:type="dxa"/>
            <w:gridSpan w:val="2"/>
            <w:vAlign w:val="center"/>
          </w:tcPr>
          <w:p>
            <w:pPr>
              <w:spacing w:line="240" w:lineRule="auto"/>
              <w:jc w:val="left"/>
            </w:pPr>
            <w:r>
              <w:rPr>
                <w:rFonts w:ascii="宋体" w:hAnsi="宋体" w:eastAsia="宋体" w:cs="宋体"/>
                <w:b w:val="0"/>
              </w:rPr>
              <w:t>2025年06月12日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报告期末基金份额总额</w:t>
            </w:r>
          </w:p>
        </w:tc>
        <w:tc>
          <w:tcPr>
            <w:tcW w:w="0" w:type="dxa"/>
            <w:gridSpan w:val="2"/>
            <w:vAlign w:val="center"/>
          </w:tcPr>
          <w:p>
            <w:pPr>
              <w:spacing w:line="240" w:lineRule="auto"/>
              <w:jc w:val="left"/>
            </w:pPr>
            <w:r>
              <w:rPr>
                <w:rFonts w:ascii="宋体" w:hAnsi="宋体" w:eastAsia="宋体" w:cs="宋体"/>
                <w:b w:val="0"/>
              </w:rPr>
              <w:t>73,092,806.76份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投资目标</w:t>
            </w:r>
          </w:p>
        </w:tc>
        <w:tc>
          <w:tcPr>
            <w:tcW w:w="2592" w:type="pct"/>
            <w:gridSpan w:val="2"/>
            <w:vAlign w:val="center"/>
          </w:tcPr>
          <w:p>
            <w:pPr>
              <w:spacing w:line="240" w:lineRule="auto"/>
              <w:jc w:val="left"/>
            </w:pPr>
            <w:r>
              <w:rPr>
                <w:rFonts w:ascii="宋体" w:hAnsi="宋体" w:eastAsia="宋体" w:cs="宋体"/>
                <w:b w:val="0"/>
              </w:rPr>
              <w:t>本基金采用自上而下与自下而上相结合的投资方法，以基本面分析为立足点，精选健康产业相关行业证券，在科学严格管理风险的前提下，谋求基金资产的中长期稳健增值。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投资策略</w:t>
            </w:r>
          </w:p>
        </w:tc>
        <w:tc>
          <w:tcPr>
            <w:tcW w:w="0" w:type="dxa"/>
            <w:gridSpan w:val="2"/>
            <w:vAlign w:val="center"/>
          </w:tcPr>
          <w:p>
            <w:pPr>
              <w:spacing w:line="240" w:lineRule="auto"/>
              <w:jc w:val="left"/>
            </w:pPr>
            <w:r>
              <w:rPr>
                <w:rFonts w:ascii="宋体" w:hAnsi="宋体" w:eastAsia="宋体" w:cs="宋体"/>
                <w:b w:val="0"/>
              </w:rPr>
              <w:t>本基金的投资策略主要有以下11个方面内容：</w:t>
            </w:r>
            <w:r>
              <w:rPr>
                <w:rFonts w:ascii="宋体" w:hAnsi="宋体" w:eastAsia="宋体" w:cs="宋体"/>
                <w:b w:val="0"/>
              </w:rPr>
              <w:br w:type="textWrapping"/>
            </w:r>
            <w:r>
              <w:rPr>
                <w:rFonts w:ascii="宋体" w:hAnsi="宋体" w:eastAsia="宋体" w:cs="宋体"/>
                <w:b w:val="0"/>
              </w:rPr>
              <w:t>1、资产配置策略</w:t>
            </w:r>
            <w:r>
              <w:rPr>
                <w:rFonts w:ascii="宋体" w:hAnsi="宋体" w:eastAsia="宋体" w:cs="宋体"/>
                <w:b w:val="0"/>
              </w:rPr>
              <w:br w:type="textWrapping"/>
            </w:r>
            <w:r>
              <w:rPr>
                <w:rFonts w:ascii="宋体" w:hAnsi="宋体" w:eastAsia="宋体" w:cs="宋体"/>
                <w:b w:val="0"/>
              </w:rPr>
              <w:t>本基金结合定性与定量分析经济和市场趋势，评估风险和收益，确定股票、债券、现金等资产的配置比例和调整原则，追求稳定增值，同时持续监控风险并适时调整。</w:t>
            </w:r>
            <w:r>
              <w:rPr>
                <w:rFonts w:ascii="宋体" w:hAnsi="宋体" w:eastAsia="宋体" w:cs="宋体"/>
                <w:b w:val="0"/>
              </w:rPr>
              <w:br w:type="textWrapping"/>
            </w:r>
            <w:r>
              <w:rPr>
                <w:rFonts w:ascii="宋体" w:hAnsi="宋体" w:eastAsia="宋体" w:cs="宋体"/>
                <w:b w:val="0"/>
              </w:rPr>
              <w:t>2、股票投资策略</w:t>
            </w:r>
            <w:r>
              <w:rPr>
                <w:rFonts w:ascii="宋体" w:hAnsi="宋体" w:eastAsia="宋体" w:cs="宋体"/>
                <w:b w:val="0"/>
              </w:rPr>
              <w:br w:type="textWrapping"/>
            </w:r>
            <w:r>
              <w:rPr>
                <w:rFonts w:ascii="宋体" w:hAnsi="宋体" w:eastAsia="宋体" w:cs="宋体"/>
                <w:b w:val="0"/>
              </w:rPr>
              <w:t>基金通过基本面研究，专注健康产业投资主题股票，跟踪行业发展，把握子行业轮动机会。在具体操作上，本基金将主要采用“自上而下”与“自下而上”相结合的方法，自上而下是分析每个阶段行业的主要增长驱动力和产业趋势，进而判断健康产业相关行业内各细分领域的景气度和预期风险收益，在其中配置优质个股。</w:t>
            </w:r>
            <w:r>
              <w:rPr>
                <w:rFonts w:ascii="宋体" w:hAnsi="宋体" w:eastAsia="宋体" w:cs="宋体"/>
                <w:b w:val="0"/>
              </w:rPr>
              <w:br w:type="textWrapping"/>
            </w:r>
            <w:r>
              <w:rPr>
                <w:rFonts w:ascii="宋体" w:hAnsi="宋体" w:eastAsia="宋体" w:cs="宋体"/>
                <w:b w:val="0"/>
              </w:rPr>
              <w:t>3、港股通标的股票投资策略</w:t>
            </w:r>
            <w:r>
              <w:rPr>
                <w:rFonts w:ascii="宋体" w:hAnsi="宋体" w:eastAsia="宋体" w:cs="宋体"/>
                <w:b w:val="0"/>
              </w:rPr>
              <w:br w:type="textWrapping"/>
            </w:r>
            <w:r>
              <w:rPr>
                <w:rFonts w:ascii="宋体" w:hAnsi="宋体" w:eastAsia="宋体" w:cs="宋体"/>
                <w:b w:val="0"/>
              </w:rPr>
              <w:t>本基金将通过内地与香港股票市场交易互联互通机制投资于香港股票市场，不使用合格境内机构投资者(QDII)境外投资额度进行境外投资。</w:t>
            </w:r>
            <w:r>
              <w:rPr>
                <w:rFonts w:ascii="宋体" w:hAnsi="宋体" w:eastAsia="宋体" w:cs="宋体"/>
                <w:b w:val="0"/>
              </w:rPr>
              <w:br w:type="textWrapping"/>
            </w:r>
            <w:r>
              <w:rPr>
                <w:rFonts w:ascii="宋体" w:hAnsi="宋体" w:eastAsia="宋体" w:cs="宋体"/>
                <w:b w:val="0"/>
              </w:rPr>
              <w:t>4、存托凭证投资策略</w:t>
            </w:r>
            <w:r>
              <w:rPr>
                <w:rFonts w:ascii="宋体" w:hAnsi="宋体" w:eastAsia="宋体" w:cs="宋体"/>
                <w:b w:val="0"/>
              </w:rPr>
              <w:br w:type="textWrapping"/>
            </w:r>
            <w:r>
              <w:rPr>
                <w:rFonts w:ascii="宋体" w:hAnsi="宋体" w:eastAsia="宋体" w:cs="宋体"/>
                <w:b w:val="0"/>
              </w:rPr>
              <w:t>本基金在深入研究的基础上，通过定性分析和定量分析相结合的方式，选择投资价值高的存托凭证进行投资。</w:t>
            </w:r>
            <w:r>
              <w:rPr>
                <w:rFonts w:ascii="宋体" w:hAnsi="宋体" w:eastAsia="宋体" w:cs="宋体"/>
                <w:b w:val="0"/>
              </w:rPr>
              <w:br w:type="textWrapping"/>
            </w:r>
            <w:r>
              <w:rPr>
                <w:rFonts w:ascii="宋体" w:hAnsi="宋体" w:eastAsia="宋体" w:cs="宋体"/>
                <w:b w:val="0"/>
              </w:rPr>
              <w:t>5、债券类资产投资策略</w:t>
            </w:r>
            <w:r>
              <w:rPr>
                <w:rFonts w:ascii="宋体" w:hAnsi="宋体" w:eastAsia="宋体" w:cs="宋体"/>
                <w:b w:val="0"/>
              </w:rPr>
              <w:br w:type="textWrapping"/>
            </w:r>
            <w:r>
              <w:rPr>
                <w:rFonts w:ascii="宋体" w:hAnsi="宋体" w:eastAsia="宋体" w:cs="宋体"/>
                <w:b w:val="0"/>
              </w:rPr>
              <w:t>本基金的债券投资将采取较为积极的策略，通过利率预测分析、收益率曲线变动分析、债券信用分析、收益率利差分析等，研判各类属固定收益类资产的风险趋势与收益预期，精选个券进行投资。</w:t>
            </w:r>
            <w:r>
              <w:rPr>
                <w:rFonts w:ascii="宋体" w:hAnsi="宋体" w:eastAsia="宋体" w:cs="宋体"/>
                <w:b w:val="0"/>
              </w:rPr>
              <w:br w:type="textWrapping"/>
            </w:r>
            <w:r>
              <w:rPr>
                <w:rFonts w:ascii="宋体" w:hAnsi="宋体" w:eastAsia="宋体" w:cs="宋体"/>
                <w:b w:val="0"/>
              </w:rPr>
              <w:t>6、可转债（含分离交易可转债）及可交换债券投资策略</w:t>
            </w:r>
            <w:r>
              <w:rPr>
                <w:rFonts w:ascii="宋体" w:hAnsi="宋体" w:eastAsia="宋体" w:cs="宋体"/>
                <w:b w:val="0"/>
              </w:rPr>
              <w:br w:type="textWrapping"/>
            </w:r>
            <w:r>
              <w:rPr>
                <w:rFonts w:ascii="宋体" w:hAnsi="宋体" w:eastAsia="宋体" w:cs="宋体"/>
                <w:b w:val="0"/>
              </w:rPr>
              <w:t>对于可转换债券的投资，本基金在评估其偿债能力的同时兼顾公司的成长性，以期通过转换条款分享因股价上升带来的高收益。</w:t>
            </w:r>
            <w:r>
              <w:rPr>
                <w:rFonts w:ascii="宋体" w:hAnsi="宋体" w:eastAsia="宋体" w:cs="宋体"/>
                <w:b w:val="0"/>
              </w:rPr>
              <w:br w:type="textWrapping"/>
            </w:r>
            <w:r>
              <w:rPr>
                <w:rFonts w:ascii="宋体" w:hAnsi="宋体" w:eastAsia="宋体" w:cs="宋体"/>
                <w:b w:val="0"/>
              </w:rPr>
              <w:t>7、股指期货投资策略</w:t>
            </w:r>
            <w:r>
              <w:rPr>
                <w:rFonts w:ascii="宋体" w:hAnsi="宋体" w:eastAsia="宋体" w:cs="宋体"/>
                <w:b w:val="0"/>
              </w:rPr>
              <w:br w:type="textWrapping"/>
            </w:r>
            <w:r>
              <w:rPr>
                <w:rFonts w:ascii="宋体" w:hAnsi="宋体" w:eastAsia="宋体" w:cs="宋体"/>
                <w:b w:val="0"/>
              </w:rPr>
              <w:t>本基金将按照风险管理的原则，以套期保值为主要目的，参与股指期货的投资。此外，本基金还将运用股指期货来管理特殊情况下的流动性风险，如预期大额申购赎回、大量分红等。</w:t>
            </w:r>
            <w:r>
              <w:rPr>
                <w:rFonts w:ascii="宋体" w:hAnsi="宋体" w:eastAsia="宋体" w:cs="宋体"/>
                <w:b w:val="0"/>
              </w:rPr>
              <w:br w:type="textWrapping"/>
            </w:r>
            <w:r>
              <w:rPr>
                <w:rFonts w:ascii="宋体" w:hAnsi="宋体" w:eastAsia="宋体" w:cs="宋体"/>
                <w:b w:val="0"/>
              </w:rPr>
              <w:t>8、融资业务投资策略</w:t>
            </w:r>
            <w:r>
              <w:rPr>
                <w:rFonts w:ascii="宋体" w:hAnsi="宋体" w:eastAsia="宋体" w:cs="宋体"/>
                <w:b w:val="0"/>
              </w:rPr>
              <w:br w:type="textWrapping"/>
            </w:r>
            <w:r>
              <w:rPr>
                <w:rFonts w:ascii="宋体" w:hAnsi="宋体" w:eastAsia="宋体" w:cs="宋体"/>
                <w:b w:val="0"/>
              </w:rPr>
              <w:t>本基金参与融资业务，将综合考虑融资成本、保证金比例、冲抵保证金证券折算率、信用资质等条件选择合适的交易对手方。同时，在保障基金投资组合充足流动性以及有效控制融资杠杆风险的前提下，确定融资比例。</w:t>
            </w:r>
            <w:r>
              <w:rPr>
                <w:rFonts w:ascii="宋体" w:hAnsi="宋体" w:eastAsia="宋体" w:cs="宋体"/>
                <w:b w:val="0"/>
              </w:rPr>
              <w:br w:type="textWrapping"/>
            </w:r>
            <w:r>
              <w:rPr>
                <w:rFonts w:ascii="宋体" w:hAnsi="宋体" w:eastAsia="宋体" w:cs="宋体"/>
                <w:b w:val="0"/>
              </w:rPr>
              <w:t>9、国债期货投资策略</w:t>
            </w:r>
            <w:r>
              <w:rPr>
                <w:rFonts w:ascii="宋体" w:hAnsi="宋体" w:eastAsia="宋体" w:cs="宋体"/>
                <w:b w:val="0"/>
              </w:rPr>
              <w:br w:type="textWrapping"/>
            </w:r>
            <w:r>
              <w:rPr>
                <w:rFonts w:ascii="宋体" w:hAnsi="宋体" w:eastAsia="宋体" w:cs="宋体"/>
                <w:b w:val="0"/>
              </w:rPr>
              <w:t>本基金以套期保值为主要目的，参与国债期货的投资，管理市场风险，故国债期货空头的合约价值主要与债券组合的多头价值相对应。</w:t>
            </w:r>
            <w:r>
              <w:rPr>
                <w:rFonts w:ascii="宋体" w:hAnsi="宋体" w:eastAsia="宋体" w:cs="宋体"/>
                <w:b w:val="0"/>
              </w:rPr>
              <w:br w:type="textWrapping"/>
            </w:r>
            <w:r>
              <w:rPr>
                <w:rFonts w:ascii="宋体" w:hAnsi="宋体" w:eastAsia="宋体" w:cs="宋体"/>
                <w:b w:val="0"/>
              </w:rPr>
              <w:t>10、股票期权投资策略</w:t>
            </w:r>
            <w:r>
              <w:rPr>
                <w:rFonts w:ascii="宋体" w:hAnsi="宋体" w:eastAsia="宋体" w:cs="宋体"/>
                <w:b w:val="0"/>
              </w:rPr>
              <w:br w:type="textWrapping"/>
            </w:r>
            <w:r>
              <w:rPr>
                <w:rFonts w:ascii="宋体" w:hAnsi="宋体" w:eastAsia="宋体" w:cs="宋体"/>
                <w:b w:val="0"/>
              </w:rPr>
              <w:t>本基金以套期保值为主要目的参与股票期权交易，结合投资目标、比例限制、风险收益特征以及法律法规的相关限定和要求，确定参与股票期权交易的投资时机和投资比例。</w:t>
            </w:r>
            <w:r>
              <w:rPr>
                <w:rFonts w:ascii="宋体" w:hAnsi="宋体" w:eastAsia="宋体" w:cs="宋体"/>
                <w:b w:val="0"/>
              </w:rPr>
              <w:br w:type="textWrapping"/>
            </w:r>
            <w:r>
              <w:rPr>
                <w:rFonts w:ascii="宋体" w:hAnsi="宋体" w:eastAsia="宋体" w:cs="宋体"/>
                <w:b w:val="0"/>
              </w:rPr>
              <w:t>11、资产支持证券投资策略</w:t>
            </w:r>
            <w:r>
              <w:rPr>
                <w:rFonts w:ascii="宋体" w:hAnsi="宋体" w:eastAsia="宋体" w:cs="宋体"/>
                <w:b w:val="0"/>
              </w:rPr>
              <w:br w:type="textWrapping"/>
            </w:r>
            <w:r>
              <w:rPr>
                <w:rFonts w:ascii="宋体" w:hAnsi="宋体" w:eastAsia="宋体" w:cs="宋体"/>
                <w:b w:val="0"/>
              </w:rPr>
              <w:t>本基金将综合运用久期管理、收益率曲线、个券选择以及把握市场交易机会等积极策略，在严格控制风险的情况下，结合信用研究和流动性管理，选择风险调整后收益高的品种进行投资，以期获得长期稳定收益。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业绩比较基准</w:t>
            </w:r>
          </w:p>
        </w:tc>
        <w:tc>
          <w:tcPr>
            <w:tcW w:w="0" w:type="dxa"/>
            <w:gridSpan w:val="2"/>
            <w:vAlign w:val="center"/>
          </w:tcPr>
          <w:p>
            <w:pPr>
              <w:spacing w:line="240" w:lineRule="auto"/>
              <w:jc w:val="left"/>
            </w:pPr>
            <w:r>
              <w:rPr>
                <w:rFonts w:ascii="宋体" w:hAnsi="宋体" w:eastAsia="宋体" w:cs="宋体"/>
                <w:b w:val="0"/>
              </w:rPr>
              <w:t>中证医药卫生指数收益率*65%+恒生医疗保健指数收益率*20%+中证综合债（全价）指数收益率*15%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风险收益特征</w:t>
            </w:r>
          </w:p>
        </w:tc>
        <w:tc>
          <w:tcPr>
            <w:tcW w:w="2592" w:type="pct"/>
            <w:gridSpan w:val="2"/>
            <w:vAlign w:val="center"/>
          </w:tcPr>
          <w:p>
            <w:pPr>
              <w:spacing w:line="240" w:lineRule="auto"/>
              <w:jc w:val="left"/>
            </w:pPr>
            <w:r>
              <w:rPr>
                <w:rFonts w:ascii="宋体" w:hAnsi="宋体" w:eastAsia="宋体" w:cs="宋体"/>
                <w:b w:val="0"/>
              </w:rPr>
              <w:t>本基金为混合型基金，其预期收益和风险高于货币型基金、债券型基金。本基金如果投资港股通标的股票，需承担汇率风险以及境外市场的风险。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基金管理人</w:t>
            </w:r>
          </w:p>
        </w:tc>
        <w:tc>
          <w:tcPr>
            <w:tcW w:w="0" w:type="dxa"/>
            <w:gridSpan w:val="2"/>
            <w:vAlign w:val="center"/>
          </w:tcPr>
          <w:p>
            <w:pPr>
              <w:spacing w:line="240" w:lineRule="auto"/>
              <w:jc w:val="left"/>
            </w:pPr>
            <w:r>
              <w:rPr>
                <w:rFonts w:ascii="宋体" w:hAnsi="宋体" w:eastAsia="宋体" w:cs="宋体"/>
                <w:b w:val="0"/>
              </w:rPr>
              <w:t>东方阿尔法基金管理有限公司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基金托管人</w:t>
            </w:r>
          </w:p>
        </w:tc>
        <w:tc>
          <w:tcPr>
            <w:tcW w:w="0" w:type="dxa"/>
            <w:gridSpan w:val="2"/>
            <w:vAlign w:val="center"/>
          </w:tcPr>
          <w:p>
            <w:pPr>
              <w:spacing w:line="240" w:lineRule="auto"/>
              <w:jc w:val="left"/>
            </w:pPr>
            <w:r>
              <w:rPr>
                <w:rFonts w:ascii="宋体" w:hAnsi="宋体" w:eastAsia="宋体" w:cs="宋体"/>
                <w:b w:val="0"/>
              </w:rPr>
              <w:t>中信银行股份有限公司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下属分级基金的基金简称</w:t>
            </w:r>
          </w:p>
        </w:tc>
        <w:tc>
          <w:tcPr>
            <w:tcW w:w="1500" w:type="pct"/>
            <w:vAlign w:val="center"/>
          </w:tcPr>
          <w:p>
            <w:pPr>
              <w:spacing w:line="240" w:lineRule="auto"/>
              <w:jc w:val="left"/>
            </w:pPr>
            <w:r>
              <w:rPr>
                <w:rFonts w:ascii="宋体" w:hAnsi="宋体" w:eastAsia="宋体" w:cs="宋体"/>
                <w:b w:val="0"/>
              </w:rPr>
              <w:t>东方阿尔法健康产业混合发起A</w:t>
            </w:r>
          </w:p>
        </w:tc>
        <w:tc>
          <w:tcPr>
            <w:tcW w:w="1500" w:type="pct"/>
            <w:vAlign w:val="center"/>
          </w:tcPr>
          <w:p>
            <w:pPr>
              <w:spacing w:line="240" w:lineRule="auto"/>
              <w:jc w:val="left"/>
            </w:pPr>
            <w:r>
              <w:rPr>
                <w:rFonts w:ascii="宋体" w:hAnsi="宋体" w:eastAsia="宋体" w:cs="宋体"/>
                <w:b w:val="0"/>
              </w:rPr>
              <w:t>东方阿尔法健康产业混合发起C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下属分级基金的交易代码</w:t>
            </w:r>
          </w:p>
        </w:tc>
        <w:tc>
          <w:tcPr>
            <w:tcW w:w="1500" w:type="pct"/>
            <w:vAlign w:val="center"/>
          </w:tcPr>
          <w:p>
            <w:pPr>
              <w:spacing w:line="240" w:lineRule="auto"/>
              <w:jc w:val="left"/>
            </w:pPr>
            <w:r>
              <w:rPr>
                <w:rFonts w:ascii="宋体" w:hAnsi="宋体" w:eastAsia="宋体" w:cs="宋体"/>
                <w:b w:val="0"/>
              </w:rPr>
              <w:t>024357</w:t>
            </w:r>
          </w:p>
        </w:tc>
        <w:tc>
          <w:tcPr>
            <w:tcW w:w="1500" w:type="pct"/>
            <w:vAlign w:val="center"/>
          </w:tcPr>
          <w:p>
            <w:pPr>
              <w:spacing w:line="240" w:lineRule="auto"/>
              <w:jc w:val="left"/>
            </w:pPr>
            <w:r>
              <w:rPr>
                <w:rFonts w:ascii="宋体" w:hAnsi="宋体" w:eastAsia="宋体" w:cs="宋体"/>
                <w:b w:val="0"/>
              </w:rPr>
              <w:t>024358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报告期末下属分级基金的份额总额</w:t>
            </w:r>
          </w:p>
        </w:tc>
        <w:tc>
          <w:tcPr>
            <w:tcW w:w="1500" w:type="pct"/>
            <w:vAlign w:val="center"/>
          </w:tcPr>
          <w:p>
            <w:pPr>
              <w:spacing w:line="240" w:lineRule="auto"/>
              <w:jc w:val="left"/>
            </w:pPr>
            <w:r>
              <w:rPr>
                <w:rFonts w:ascii="宋体" w:hAnsi="宋体" w:eastAsia="宋体" w:cs="宋体"/>
                <w:b w:val="0"/>
              </w:rPr>
              <w:t>12,152,968.31份</w:t>
            </w:r>
          </w:p>
        </w:tc>
        <w:tc>
          <w:tcPr>
            <w:tcW w:w="1500" w:type="pct"/>
            <w:vAlign w:val="center"/>
          </w:tcPr>
          <w:p>
            <w:pPr>
              <w:spacing w:line="240" w:lineRule="auto"/>
              <w:jc w:val="left"/>
            </w:pPr>
            <w:r>
              <w:rPr>
                <w:rFonts w:ascii="宋体" w:hAnsi="宋体" w:eastAsia="宋体" w:cs="宋体"/>
                <w:b w:val="0"/>
              </w:rPr>
              <w:t>60,939,838.45份</w:t>
            </w:r>
          </w:p>
        </w:tc>
      </w:tr>
    </w:tbl>
    <w:p>
      <w:r>
        <w:rPr>
          <w:rFonts w:ascii="宋体" w:hAnsi="宋体" w:eastAsia="宋体" w:cs="宋体"/>
          <w:b w:val="0"/>
        </w:rPr>
        <w:t>注：自2026年9月21日起，本基金业绩比较基准由“中证医药卫生指数收益率*40%+中证内地消费主题指数收益率*20%+恒生指数收益率*20%+中证综合债券指数收益率*20%”调整为“中证医药卫生指数收益率*65%+恒生医疗保健指数收益率*20%+中证综合债（全价）指数收益率*15%”。</w:t>
      </w:r>
    </w:p>
    <w:p>
      <w:pPr>
        <w:pStyle w:val="2"/>
        <w:jc w:val="center"/>
      </w:pPr>
      <w:r>
        <w:rPr>
          <w:rFonts w:ascii="宋体" w:hAnsi="宋体" w:eastAsia="宋体" w:cs="宋体"/>
        </w:rPr>
        <w:t>§3 主要财务指标和基金净值表现</w:t>
      </w:r>
    </w:p>
    <w:p>
      <w:pPr>
        <w:pStyle w:val="3"/>
        <w:jc w:val="left"/>
      </w:pPr>
      <w:r>
        <w:rPr>
          <w:rFonts w:ascii="宋体" w:hAnsi="宋体" w:eastAsia="宋体" w:cs="宋体"/>
        </w:rPr>
        <w:t>3.1 主要财务指标</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1"/>
        <w:gridCol w:w="2786"/>
        <w:gridCol w:w="2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Merge w:val="restart"/>
            <w:shd w:val="clear" w:color="auto" w:fill="D9D9D9"/>
            <w:vAlign w:val="center"/>
          </w:tcPr>
          <w:p>
            <w:pPr>
              <w:spacing w:line="240" w:lineRule="auto"/>
              <w:jc w:val="center"/>
            </w:pPr>
            <w:r>
              <w:rPr>
                <w:rFonts w:ascii="宋体" w:hAnsi="宋体" w:eastAsia="宋体" w:cs="宋体"/>
                <w:b/>
              </w:rPr>
              <w:t>主要财务指标</w:t>
            </w:r>
          </w:p>
        </w:tc>
        <w:tc>
          <w:tcPr>
            <w:tcW w:w="3077" w:type="pct"/>
            <w:gridSpan w:val="2"/>
            <w:shd w:val="clear" w:color="auto" w:fill="D9D9D9"/>
            <w:vAlign w:val="center"/>
          </w:tcPr>
          <w:p>
            <w:pPr>
              <w:spacing w:line="240" w:lineRule="auto"/>
              <w:jc w:val="center"/>
            </w:pPr>
            <w:r>
              <w:rPr>
                <w:rFonts w:ascii="宋体" w:hAnsi="宋体" w:eastAsia="宋体" w:cs="宋体"/>
                <w:b w:val="0"/>
              </w:rPr>
              <w:t>报告期（2026年07月01日-2026年09月30日）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1500" w:type="pct"/>
            <w:shd w:val="clear" w:color="auto" w:fill="D9D9D9"/>
            <w:vAlign w:val="center"/>
          </w:tcPr>
          <w:p>
            <w:pPr>
              <w:spacing w:line="240" w:lineRule="auto"/>
              <w:jc w:val="center"/>
            </w:pPr>
            <w:r>
              <w:rPr>
                <w:rFonts w:ascii="宋体" w:hAnsi="宋体" w:eastAsia="宋体" w:cs="宋体"/>
                <w:b w:val="0"/>
              </w:rPr>
              <w:t>东方阿尔法健康产业混合发起A</w:t>
            </w:r>
          </w:p>
        </w:tc>
        <w:tc>
          <w:tcPr>
            <w:tcW w:w="1500" w:type="pct"/>
            <w:shd w:val="clear" w:color="auto" w:fill="D9D9D9"/>
            <w:vAlign w:val="center"/>
          </w:tcPr>
          <w:p>
            <w:pPr>
              <w:spacing w:line="240" w:lineRule="auto"/>
              <w:jc w:val="center"/>
            </w:pPr>
            <w:r>
              <w:rPr>
                <w:rFonts w:ascii="宋体" w:hAnsi="宋体" w:eastAsia="宋体" w:cs="宋体"/>
                <w:b w:val="0"/>
              </w:rPr>
              <w:t>东方阿尔法健康产业混合发起C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1.本期已实现收益</w:t>
            </w:r>
          </w:p>
        </w:tc>
        <w:tc>
          <w:tcPr>
            <w:tcW w:w="1500" w:type="pct"/>
            <w:vAlign w:val="center"/>
          </w:tcPr>
          <w:p>
            <w:pPr>
              <w:spacing w:line="240" w:lineRule="auto"/>
              <w:jc w:val="right"/>
            </w:pPr>
            <w:r>
              <w:rPr>
                <w:rFonts w:ascii="宋体" w:hAnsi="宋体" w:eastAsia="宋体" w:cs="宋体"/>
                <w:b w:val="0"/>
              </w:rPr>
              <w:t>-812,901.08</w:t>
            </w:r>
          </w:p>
        </w:tc>
        <w:tc>
          <w:tcPr>
            <w:tcW w:w="1500" w:type="pct"/>
            <w:vAlign w:val="center"/>
          </w:tcPr>
          <w:p>
            <w:pPr>
              <w:spacing w:line="240" w:lineRule="auto"/>
              <w:jc w:val="right"/>
            </w:pPr>
            <w:r>
              <w:rPr>
                <w:rFonts w:ascii="宋体" w:hAnsi="宋体" w:eastAsia="宋体" w:cs="宋体"/>
                <w:b w:val="0"/>
              </w:rPr>
              <w:t>-5,908,715.66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2.本期利润</w:t>
            </w:r>
          </w:p>
        </w:tc>
        <w:tc>
          <w:tcPr>
            <w:tcW w:w="1500" w:type="pct"/>
            <w:vAlign w:val="center"/>
          </w:tcPr>
          <w:p>
            <w:pPr>
              <w:spacing w:line="240" w:lineRule="auto"/>
              <w:jc w:val="right"/>
            </w:pPr>
            <w:r>
              <w:rPr>
                <w:rFonts w:ascii="宋体" w:hAnsi="宋体" w:eastAsia="宋体" w:cs="宋体"/>
                <w:b w:val="0"/>
              </w:rPr>
              <w:t>448,591.37</w:t>
            </w:r>
          </w:p>
        </w:tc>
        <w:tc>
          <w:tcPr>
            <w:tcW w:w="1500" w:type="pct"/>
            <w:vAlign w:val="center"/>
          </w:tcPr>
          <w:p>
            <w:pPr>
              <w:spacing w:line="240" w:lineRule="auto"/>
              <w:jc w:val="right"/>
            </w:pPr>
            <w:r>
              <w:rPr>
                <w:rFonts w:ascii="宋体" w:hAnsi="宋体" w:eastAsia="宋体" w:cs="宋体"/>
                <w:b w:val="0"/>
              </w:rPr>
              <w:t>3,660,367.90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3.加权平均基金份额本期利润</w:t>
            </w:r>
          </w:p>
        </w:tc>
        <w:tc>
          <w:tcPr>
            <w:tcW w:w="1500" w:type="pct"/>
            <w:vAlign w:val="center"/>
          </w:tcPr>
          <w:p>
            <w:pPr>
              <w:spacing w:line="240" w:lineRule="auto"/>
              <w:jc w:val="right"/>
            </w:pPr>
            <w:r>
              <w:rPr>
                <w:rFonts w:ascii="宋体" w:hAnsi="宋体" w:eastAsia="宋体" w:cs="宋体"/>
                <w:b w:val="0"/>
              </w:rPr>
              <w:t>0.0346</w:t>
            </w:r>
          </w:p>
        </w:tc>
        <w:tc>
          <w:tcPr>
            <w:tcW w:w="1500" w:type="pct"/>
            <w:vAlign w:val="center"/>
          </w:tcPr>
          <w:p>
            <w:pPr>
              <w:spacing w:line="240" w:lineRule="auto"/>
              <w:jc w:val="right"/>
            </w:pPr>
            <w:r>
              <w:rPr>
                <w:rFonts w:ascii="宋体" w:hAnsi="宋体" w:eastAsia="宋体" w:cs="宋体"/>
                <w:b w:val="0"/>
              </w:rPr>
              <w:t>0.0436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4.期末基金资产净值</w:t>
            </w:r>
          </w:p>
        </w:tc>
        <w:tc>
          <w:tcPr>
            <w:tcW w:w="1500" w:type="pct"/>
            <w:vAlign w:val="center"/>
          </w:tcPr>
          <w:p>
            <w:pPr>
              <w:spacing w:line="240" w:lineRule="auto"/>
              <w:jc w:val="right"/>
            </w:pPr>
            <w:r>
              <w:rPr>
                <w:rFonts w:ascii="宋体" w:hAnsi="宋体" w:eastAsia="宋体" w:cs="宋体"/>
                <w:b w:val="0"/>
              </w:rPr>
              <w:t>10,064,814.71</w:t>
            </w:r>
          </w:p>
        </w:tc>
        <w:tc>
          <w:tcPr>
            <w:tcW w:w="1500" w:type="pct"/>
            <w:vAlign w:val="center"/>
          </w:tcPr>
          <w:p>
            <w:pPr>
              <w:spacing w:line="240" w:lineRule="auto"/>
              <w:jc w:val="right"/>
            </w:pPr>
            <w:r>
              <w:rPr>
                <w:rFonts w:ascii="宋体" w:hAnsi="宋体" w:eastAsia="宋体" w:cs="宋体"/>
                <w:b w:val="0"/>
              </w:rPr>
              <w:t>50,154,833.51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5.期末基金份额净值</w:t>
            </w:r>
          </w:p>
        </w:tc>
        <w:tc>
          <w:tcPr>
            <w:tcW w:w="1500" w:type="pct"/>
            <w:vAlign w:val="center"/>
          </w:tcPr>
          <w:p>
            <w:pPr>
              <w:spacing w:line="240" w:lineRule="auto"/>
              <w:jc w:val="right"/>
            </w:pPr>
            <w:r>
              <w:rPr>
                <w:rFonts w:ascii="宋体" w:hAnsi="宋体" w:eastAsia="宋体" w:cs="宋体"/>
                <w:b w:val="0"/>
              </w:rPr>
              <w:t>0.8282</w:t>
            </w:r>
          </w:p>
        </w:tc>
        <w:tc>
          <w:tcPr>
            <w:tcW w:w="1500" w:type="pct"/>
            <w:vAlign w:val="center"/>
          </w:tcPr>
          <w:p>
            <w:pPr>
              <w:spacing w:line="240" w:lineRule="auto"/>
              <w:jc w:val="right"/>
            </w:pPr>
            <w:r>
              <w:rPr>
                <w:rFonts w:ascii="宋体" w:hAnsi="宋体" w:eastAsia="宋体" w:cs="宋体"/>
                <w:b w:val="0"/>
              </w:rPr>
              <w:t>0.8230</w:t>
            </w:r>
          </w:p>
        </w:tc>
      </w:tr>
    </w:tbl>
    <w:p>
      <w:r>
        <w:rPr>
          <w:rFonts w:ascii="宋体" w:hAnsi="宋体" w:eastAsia="宋体" w:cs="宋体"/>
          <w:b w:val="0"/>
        </w:rPr>
        <w:t>注：1、本期已实现收益指基金本期利息收入、投资收益、其他收入(不含公允价值变动收益)扣除相关费用后的余额，本期利润为本期已实现收益加上本期公允价值变动收益。</w:t>
      </w:r>
      <w:r>
        <w:rPr>
          <w:rFonts w:ascii="宋体" w:hAnsi="宋体" w:eastAsia="宋体" w:cs="宋体"/>
          <w:b w:val="0"/>
        </w:rPr>
        <w:br w:type="textWrapping"/>
      </w:r>
      <w:r>
        <w:rPr>
          <w:rFonts w:ascii="宋体" w:hAnsi="宋体" w:eastAsia="宋体" w:cs="宋体"/>
          <w:b w:val="0"/>
        </w:rPr>
        <w:t>2、所述基金业绩指标不包括持有人认购或交易基金的各项费用，计入费用后实际收益水平要低于所列数字。</w:t>
      </w:r>
    </w:p>
    <w:p/>
    <w:p>
      <w:pPr>
        <w:pStyle w:val="3"/>
        <w:jc w:val="left"/>
      </w:pPr>
      <w:r>
        <w:rPr>
          <w:rFonts w:ascii="宋体" w:hAnsi="宋体" w:eastAsia="宋体" w:cs="宋体"/>
        </w:rPr>
        <w:t>3.2 基金净值表现</w:t>
      </w:r>
    </w:p>
    <w:p>
      <w:pPr>
        <w:pStyle w:val="58"/>
      </w:pPr>
      <w:r>
        <w:rPr>
          <w:rStyle w:val="30"/>
          <w:rFonts w:ascii="宋体" w:hAnsi="宋体" w:eastAsia="宋体" w:cs="宋体"/>
          <w:b/>
        </w:rPr>
        <w:t>3.2.1 基金份额净值增长率及其与同期业绩比较基准收益率的比较</w:t>
      </w:r>
    </w:p>
    <w:p>
      <w:pPr>
        <w:jc w:val="left"/>
      </w:pPr>
      <w:r>
        <w:rPr>
          <w:rFonts w:ascii="宋体" w:hAnsi="宋体" w:eastAsia="宋体" w:cs="宋体"/>
          <w:b/>
        </w:rPr>
        <w:t>东方阿尔法健康产业混合发起A净值表现</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285"/>
        <w:gridCol w:w="1286"/>
        <w:gridCol w:w="1286"/>
        <w:gridCol w:w="1286"/>
        <w:gridCol w:w="1286"/>
        <w:gridCol w:w="1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shd w:val="clear" w:color="auto" w:fill="D9D9D9"/>
            <w:vAlign w:val="center"/>
          </w:tcPr>
          <w:p>
            <w:pPr>
              <w:spacing w:line="240" w:lineRule="auto"/>
              <w:jc w:val="center"/>
            </w:pPr>
            <w:r>
              <w:rPr>
                <w:rFonts w:ascii="宋体" w:hAnsi="宋体" w:eastAsia="宋体" w:cs="宋体"/>
                <w:b w:val="0"/>
              </w:rPr>
              <w:t>阶段</w:t>
            </w:r>
          </w:p>
        </w:tc>
        <w:tc>
          <w:tcPr>
            <w:tcW w:w="692" w:type="pct"/>
            <w:shd w:val="clear" w:color="auto" w:fill="D9D9D9"/>
            <w:vAlign w:val="center"/>
          </w:tcPr>
          <w:p>
            <w:pPr>
              <w:spacing w:line="240" w:lineRule="auto"/>
              <w:jc w:val="center"/>
            </w:pPr>
            <w:r>
              <w:rPr>
                <w:rFonts w:ascii="宋体" w:hAnsi="宋体" w:eastAsia="宋体" w:cs="宋体"/>
                <w:b w:val="0"/>
              </w:rPr>
              <w:t>净值增长率①</w:t>
            </w:r>
          </w:p>
        </w:tc>
        <w:tc>
          <w:tcPr>
            <w:tcW w:w="692" w:type="pct"/>
            <w:shd w:val="clear" w:color="auto" w:fill="D9D9D9"/>
            <w:vAlign w:val="center"/>
          </w:tcPr>
          <w:p>
            <w:pPr>
              <w:spacing w:line="240" w:lineRule="auto"/>
              <w:jc w:val="center"/>
            </w:pPr>
            <w:r>
              <w:rPr>
                <w:rFonts w:ascii="宋体" w:hAnsi="宋体" w:eastAsia="宋体" w:cs="宋体"/>
                <w:b w:val="0"/>
              </w:rPr>
              <w:t>净值增长率标准差②</w:t>
            </w:r>
          </w:p>
        </w:tc>
        <w:tc>
          <w:tcPr>
            <w:tcW w:w="692" w:type="pct"/>
            <w:shd w:val="clear" w:color="auto" w:fill="D9D9D9"/>
            <w:vAlign w:val="center"/>
          </w:tcPr>
          <w:p>
            <w:pPr>
              <w:spacing w:line="240" w:lineRule="auto"/>
              <w:jc w:val="center"/>
            </w:pPr>
            <w:r>
              <w:rPr>
                <w:rFonts w:ascii="宋体" w:hAnsi="宋体" w:eastAsia="宋体" w:cs="宋体"/>
                <w:b w:val="0"/>
              </w:rPr>
              <w:t>业绩比较基准收益率③</w:t>
            </w:r>
          </w:p>
        </w:tc>
        <w:tc>
          <w:tcPr>
            <w:tcW w:w="692" w:type="pct"/>
            <w:shd w:val="clear" w:color="auto" w:fill="D9D9D9"/>
            <w:vAlign w:val="center"/>
          </w:tcPr>
          <w:p>
            <w:pPr>
              <w:spacing w:line="240" w:lineRule="auto"/>
              <w:jc w:val="center"/>
            </w:pPr>
            <w:r>
              <w:rPr>
                <w:rFonts w:ascii="宋体" w:hAnsi="宋体" w:eastAsia="宋体" w:cs="宋体"/>
                <w:b w:val="0"/>
              </w:rPr>
              <w:t>业绩比较基准收益率标准差④</w:t>
            </w:r>
          </w:p>
        </w:tc>
        <w:tc>
          <w:tcPr>
            <w:tcW w:w="692" w:type="pct"/>
            <w:shd w:val="clear" w:color="auto" w:fill="D9D9D9"/>
            <w:vAlign w:val="center"/>
          </w:tcPr>
          <w:p>
            <w:pPr>
              <w:spacing w:line="240" w:lineRule="auto"/>
              <w:jc w:val="center"/>
            </w:pPr>
            <w:r>
              <w:rPr>
                <w:rFonts w:ascii="宋体" w:hAnsi="宋体" w:eastAsia="宋体" w:cs="宋体"/>
                <w:b w:val="0"/>
              </w:rPr>
              <w:t>①-③</w:t>
            </w:r>
          </w:p>
        </w:tc>
        <w:tc>
          <w:tcPr>
            <w:tcW w:w="692" w:type="pct"/>
            <w:shd w:val="clear" w:color="auto" w:fill="D9D9D9"/>
            <w:vAlign w:val="center"/>
          </w:tcPr>
          <w:p>
            <w:pPr>
              <w:spacing w:line="240" w:lineRule="auto"/>
              <w:jc w:val="center"/>
            </w:pPr>
            <w:r>
              <w:rPr>
                <w:rFonts w:ascii="宋体" w:hAnsi="宋体" w:eastAsia="宋体" w:cs="宋体"/>
                <w:b w:val="0"/>
              </w:rPr>
              <w:t>②-④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过去三个月</w:t>
            </w:r>
          </w:p>
        </w:tc>
        <w:tc>
          <w:tcPr>
            <w:tcW w:w="0" w:type="dxa"/>
            <w:vAlign w:val="center"/>
          </w:tcPr>
          <w:p>
            <w:pPr>
              <w:spacing w:line="240" w:lineRule="auto"/>
              <w:jc w:val="right"/>
            </w:pPr>
            <w:r>
              <w:rPr>
                <w:rFonts w:ascii="宋体" w:hAnsi="宋体" w:eastAsia="宋体" w:cs="宋体"/>
                <w:b w:val="0"/>
              </w:rPr>
              <w:t>5.89%</w:t>
            </w:r>
          </w:p>
        </w:tc>
        <w:tc>
          <w:tcPr>
            <w:tcW w:w="0" w:type="dxa"/>
            <w:vAlign w:val="center"/>
          </w:tcPr>
          <w:p>
            <w:pPr>
              <w:spacing w:line="240" w:lineRule="auto"/>
              <w:jc w:val="right"/>
            </w:pPr>
            <w:r>
              <w:rPr>
                <w:rFonts w:ascii="宋体" w:hAnsi="宋体" w:eastAsia="宋体" w:cs="宋体"/>
                <w:b w:val="0"/>
              </w:rPr>
              <w:t>2.46%</w:t>
            </w:r>
          </w:p>
        </w:tc>
        <w:tc>
          <w:tcPr>
            <w:tcW w:w="0" w:type="dxa"/>
            <w:vAlign w:val="center"/>
          </w:tcPr>
          <w:p>
            <w:pPr>
              <w:spacing w:line="240" w:lineRule="auto"/>
              <w:jc w:val="right"/>
            </w:pPr>
            <w:r>
              <w:rPr>
                <w:rFonts w:ascii="宋体" w:hAnsi="宋体" w:eastAsia="宋体" w:cs="宋体"/>
                <w:b w:val="0"/>
              </w:rPr>
              <w:t>8.06%</w:t>
            </w:r>
          </w:p>
        </w:tc>
        <w:tc>
          <w:tcPr>
            <w:tcW w:w="0" w:type="dxa"/>
            <w:vAlign w:val="center"/>
          </w:tcPr>
          <w:p>
            <w:pPr>
              <w:spacing w:line="240" w:lineRule="auto"/>
              <w:jc w:val="right"/>
            </w:pPr>
            <w:r>
              <w:rPr>
                <w:rFonts w:ascii="宋体" w:hAnsi="宋体" w:eastAsia="宋体" w:cs="宋体"/>
                <w:b w:val="0"/>
              </w:rPr>
              <w:t>1.05%</w:t>
            </w:r>
          </w:p>
        </w:tc>
        <w:tc>
          <w:tcPr>
            <w:tcW w:w="0" w:type="dxa"/>
            <w:vAlign w:val="center"/>
          </w:tcPr>
          <w:p>
            <w:pPr>
              <w:spacing w:line="240" w:lineRule="auto"/>
              <w:jc w:val="right"/>
            </w:pPr>
            <w:r>
              <w:rPr>
                <w:rFonts w:ascii="宋体" w:hAnsi="宋体" w:eastAsia="宋体" w:cs="宋体"/>
                <w:b w:val="0"/>
              </w:rPr>
              <w:t>-2.17%</w:t>
            </w:r>
          </w:p>
        </w:tc>
        <w:tc>
          <w:tcPr>
            <w:tcW w:w="0" w:type="dxa"/>
            <w:vAlign w:val="center"/>
          </w:tcPr>
          <w:p>
            <w:pPr>
              <w:spacing w:line="240" w:lineRule="auto"/>
              <w:jc w:val="right"/>
            </w:pPr>
            <w:r>
              <w:rPr>
                <w:rFonts w:ascii="宋体" w:hAnsi="宋体" w:eastAsia="宋体" w:cs="宋体"/>
                <w:b w:val="0"/>
              </w:rPr>
              <w:t>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过去六个月</w:t>
            </w:r>
          </w:p>
        </w:tc>
        <w:tc>
          <w:tcPr>
            <w:tcW w:w="0" w:type="dxa"/>
            <w:vAlign w:val="center"/>
          </w:tcPr>
          <w:p>
            <w:pPr>
              <w:spacing w:line="240" w:lineRule="auto"/>
              <w:jc w:val="right"/>
            </w:pPr>
            <w:r>
              <w:rPr>
                <w:rFonts w:ascii="宋体" w:hAnsi="宋体" w:eastAsia="宋体" w:cs="宋体"/>
                <w:b w:val="0"/>
              </w:rPr>
              <w:t>-6.22%</w:t>
            </w:r>
          </w:p>
        </w:tc>
        <w:tc>
          <w:tcPr>
            <w:tcW w:w="0" w:type="dxa"/>
            <w:vAlign w:val="center"/>
          </w:tcPr>
          <w:p>
            <w:pPr>
              <w:spacing w:line="240" w:lineRule="auto"/>
              <w:jc w:val="right"/>
            </w:pPr>
            <w:r>
              <w:rPr>
                <w:rFonts w:ascii="宋体" w:hAnsi="宋体" w:eastAsia="宋体" w:cs="宋体"/>
                <w:b w:val="0"/>
              </w:rPr>
              <w:t>2.46%</w:t>
            </w:r>
          </w:p>
        </w:tc>
        <w:tc>
          <w:tcPr>
            <w:tcW w:w="0" w:type="dxa"/>
            <w:vAlign w:val="center"/>
          </w:tcPr>
          <w:p>
            <w:pPr>
              <w:spacing w:line="240" w:lineRule="auto"/>
              <w:jc w:val="right"/>
            </w:pPr>
            <w:r>
              <w:rPr>
                <w:rFonts w:ascii="宋体" w:hAnsi="宋体" w:eastAsia="宋体" w:cs="宋体"/>
                <w:b w:val="0"/>
              </w:rPr>
              <w:t>-0.24%</w:t>
            </w:r>
          </w:p>
        </w:tc>
        <w:tc>
          <w:tcPr>
            <w:tcW w:w="0" w:type="dxa"/>
            <w:vAlign w:val="center"/>
          </w:tcPr>
          <w:p>
            <w:pPr>
              <w:spacing w:line="240" w:lineRule="auto"/>
              <w:jc w:val="right"/>
            </w:pPr>
            <w:r>
              <w:rPr>
                <w:rFonts w:ascii="宋体" w:hAnsi="宋体" w:eastAsia="宋体" w:cs="宋体"/>
                <w:b w:val="0"/>
              </w:rPr>
              <w:t>0.96%</w:t>
            </w:r>
          </w:p>
        </w:tc>
        <w:tc>
          <w:tcPr>
            <w:tcW w:w="0" w:type="dxa"/>
            <w:vAlign w:val="center"/>
          </w:tcPr>
          <w:p>
            <w:pPr>
              <w:spacing w:line="240" w:lineRule="auto"/>
              <w:jc w:val="right"/>
            </w:pPr>
            <w:r>
              <w:rPr>
                <w:rFonts w:ascii="宋体" w:hAnsi="宋体" w:eastAsia="宋体" w:cs="宋体"/>
                <w:b w:val="0"/>
              </w:rPr>
              <w:t>-5.98%</w:t>
            </w:r>
          </w:p>
        </w:tc>
        <w:tc>
          <w:tcPr>
            <w:tcW w:w="0" w:type="dxa"/>
            <w:vAlign w:val="center"/>
          </w:tcPr>
          <w:p>
            <w:pPr>
              <w:spacing w:line="240" w:lineRule="auto"/>
              <w:jc w:val="right"/>
            </w:pPr>
            <w:r>
              <w:rPr>
                <w:rFonts w:ascii="宋体" w:hAnsi="宋体" w:eastAsia="宋体" w:cs="宋体"/>
                <w:b w:val="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过去一年</w:t>
            </w:r>
          </w:p>
        </w:tc>
        <w:tc>
          <w:tcPr>
            <w:tcW w:w="0" w:type="dxa"/>
            <w:vAlign w:val="center"/>
          </w:tcPr>
          <w:p>
            <w:pPr>
              <w:spacing w:line="240" w:lineRule="auto"/>
              <w:jc w:val="right"/>
            </w:pPr>
            <w:r>
              <w:rPr>
                <w:rFonts w:ascii="宋体" w:hAnsi="宋体" w:eastAsia="宋体" w:cs="宋体"/>
                <w:b w:val="0"/>
              </w:rPr>
              <w:t>-21.56%</w:t>
            </w:r>
          </w:p>
        </w:tc>
        <w:tc>
          <w:tcPr>
            <w:tcW w:w="0" w:type="dxa"/>
            <w:vAlign w:val="center"/>
          </w:tcPr>
          <w:p>
            <w:pPr>
              <w:spacing w:line="240" w:lineRule="auto"/>
              <w:jc w:val="right"/>
            </w:pPr>
            <w:r>
              <w:rPr>
                <w:rFonts w:ascii="宋体" w:hAnsi="宋体" w:eastAsia="宋体" w:cs="宋体"/>
                <w:b w:val="0"/>
              </w:rPr>
              <w:t>2.46%</w:t>
            </w:r>
          </w:p>
        </w:tc>
        <w:tc>
          <w:tcPr>
            <w:tcW w:w="0" w:type="dxa"/>
            <w:vAlign w:val="center"/>
          </w:tcPr>
          <w:p>
            <w:pPr>
              <w:spacing w:line="240" w:lineRule="auto"/>
              <w:jc w:val="right"/>
            </w:pPr>
            <w:r>
              <w:rPr>
                <w:rFonts w:ascii="宋体" w:hAnsi="宋体" w:eastAsia="宋体" w:cs="宋体"/>
                <w:b w:val="0"/>
              </w:rPr>
              <w:t>-10.06%</w:t>
            </w:r>
          </w:p>
        </w:tc>
        <w:tc>
          <w:tcPr>
            <w:tcW w:w="0" w:type="dxa"/>
            <w:vAlign w:val="center"/>
          </w:tcPr>
          <w:p>
            <w:pPr>
              <w:spacing w:line="240" w:lineRule="auto"/>
              <w:jc w:val="right"/>
            </w:pPr>
            <w:r>
              <w:rPr>
                <w:rFonts w:ascii="宋体" w:hAnsi="宋体" w:eastAsia="宋体" w:cs="宋体"/>
                <w:b w:val="0"/>
              </w:rPr>
              <w:t>0.88%</w:t>
            </w:r>
          </w:p>
        </w:tc>
        <w:tc>
          <w:tcPr>
            <w:tcW w:w="0" w:type="dxa"/>
            <w:vAlign w:val="center"/>
          </w:tcPr>
          <w:p>
            <w:pPr>
              <w:spacing w:line="240" w:lineRule="auto"/>
              <w:jc w:val="right"/>
            </w:pPr>
            <w:r>
              <w:rPr>
                <w:rFonts w:ascii="宋体" w:hAnsi="宋体" w:eastAsia="宋体" w:cs="宋体"/>
                <w:b w:val="0"/>
              </w:rPr>
              <w:t>-11.50%</w:t>
            </w:r>
          </w:p>
        </w:tc>
        <w:tc>
          <w:tcPr>
            <w:tcW w:w="0" w:type="dxa"/>
            <w:vAlign w:val="center"/>
          </w:tcPr>
          <w:p>
            <w:pPr>
              <w:spacing w:line="240" w:lineRule="auto"/>
              <w:jc w:val="right"/>
            </w:pPr>
            <w:r>
              <w:rPr>
                <w:rFonts w:ascii="宋体" w:hAnsi="宋体" w:eastAsia="宋体" w:cs="宋体"/>
                <w:b w:val="0"/>
              </w:rPr>
              <w:t>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自基金合同生效起至今</w:t>
            </w:r>
          </w:p>
        </w:tc>
        <w:tc>
          <w:tcPr>
            <w:tcW w:w="0" w:type="dxa"/>
            <w:vAlign w:val="center"/>
          </w:tcPr>
          <w:p>
            <w:pPr>
              <w:spacing w:line="240" w:lineRule="auto"/>
              <w:jc w:val="right"/>
            </w:pPr>
            <w:r>
              <w:rPr>
                <w:rFonts w:ascii="宋体" w:hAnsi="宋体" w:eastAsia="宋体" w:cs="宋体"/>
                <w:b w:val="0"/>
              </w:rPr>
              <w:t>-17.18%</w:t>
            </w:r>
          </w:p>
        </w:tc>
        <w:tc>
          <w:tcPr>
            <w:tcW w:w="0" w:type="dxa"/>
            <w:vAlign w:val="center"/>
          </w:tcPr>
          <w:p>
            <w:pPr>
              <w:spacing w:line="240" w:lineRule="auto"/>
              <w:jc w:val="right"/>
            </w:pPr>
            <w:r>
              <w:rPr>
                <w:rFonts w:ascii="宋体" w:hAnsi="宋体" w:eastAsia="宋体" w:cs="宋体"/>
                <w:b w:val="0"/>
              </w:rPr>
              <w:t>2.38%</w:t>
            </w:r>
          </w:p>
        </w:tc>
        <w:tc>
          <w:tcPr>
            <w:tcW w:w="0" w:type="dxa"/>
            <w:vAlign w:val="center"/>
          </w:tcPr>
          <w:p>
            <w:pPr>
              <w:spacing w:line="240" w:lineRule="auto"/>
              <w:jc w:val="right"/>
            </w:pPr>
            <w:r>
              <w:rPr>
                <w:rFonts w:ascii="宋体" w:hAnsi="宋体" w:eastAsia="宋体" w:cs="宋体"/>
                <w:b w:val="0"/>
              </w:rPr>
              <w:t>-2.86%</w:t>
            </w:r>
          </w:p>
        </w:tc>
        <w:tc>
          <w:tcPr>
            <w:tcW w:w="0" w:type="dxa"/>
            <w:vAlign w:val="center"/>
          </w:tcPr>
          <w:p>
            <w:pPr>
              <w:spacing w:line="240" w:lineRule="auto"/>
              <w:jc w:val="right"/>
            </w:pPr>
            <w:r>
              <w:rPr>
                <w:rFonts w:ascii="宋体" w:hAnsi="宋体" w:eastAsia="宋体" w:cs="宋体"/>
                <w:b w:val="0"/>
              </w:rPr>
              <w:t>0.84%</w:t>
            </w:r>
          </w:p>
        </w:tc>
        <w:tc>
          <w:tcPr>
            <w:tcW w:w="0" w:type="dxa"/>
            <w:vAlign w:val="center"/>
          </w:tcPr>
          <w:p>
            <w:pPr>
              <w:spacing w:line="240" w:lineRule="auto"/>
              <w:jc w:val="right"/>
            </w:pPr>
            <w:r>
              <w:rPr>
                <w:rFonts w:ascii="宋体" w:hAnsi="宋体" w:eastAsia="宋体" w:cs="宋体"/>
                <w:b w:val="0"/>
              </w:rPr>
              <w:t>-14.32%</w:t>
            </w:r>
          </w:p>
        </w:tc>
        <w:tc>
          <w:tcPr>
            <w:tcW w:w="0" w:type="dxa"/>
            <w:vAlign w:val="center"/>
          </w:tcPr>
          <w:p>
            <w:pPr>
              <w:spacing w:line="240" w:lineRule="auto"/>
              <w:jc w:val="right"/>
            </w:pPr>
            <w:r>
              <w:rPr>
                <w:rFonts w:ascii="宋体" w:hAnsi="宋体" w:eastAsia="宋体" w:cs="宋体"/>
                <w:b w:val="0"/>
              </w:rPr>
              <w:t>1.54%</w:t>
            </w:r>
          </w:p>
        </w:tc>
      </w:tr>
    </w:tbl>
    <w:p>
      <w:pPr>
        <w:jc w:val="left"/>
      </w:pPr>
      <w:r>
        <w:rPr>
          <w:rFonts w:ascii="宋体" w:hAnsi="宋体" w:eastAsia="宋体" w:cs="宋体"/>
          <w:b/>
        </w:rPr>
        <w:t>东方阿尔法健康产业混合发起C净值表现</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285"/>
        <w:gridCol w:w="1286"/>
        <w:gridCol w:w="1286"/>
        <w:gridCol w:w="1286"/>
        <w:gridCol w:w="1286"/>
        <w:gridCol w:w="1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shd w:val="clear" w:color="auto" w:fill="D9D9D9"/>
            <w:vAlign w:val="center"/>
          </w:tcPr>
          <w:p>
            <w:pPr>
              <w:spacing w:line="240" w:lineRule="auto"/>
              <w:jc w:val="center"/>
            </w:pPr>
            <w:r>
              <w:rPr>
                <w:rFonts w:ascii="宋体" w:hAnsi="宋体" w:eastAsia="宋体" w:cs="宋体"/>
                <w:b w:val="0"/>
              </w:rPr>
              <w:t>阶段</w:t>
            </w:r>
          </w:p>
        </w:tc>
        <w:tc>
          <w:tcPr>
            <w:tcW w:w="692" w:type="pct"/>
            <w:shd w:val="clear" w:color="auto" w:fill="D9D9D9"/>
            <w:vAlign w:val="center"/>
          </w:tcPr>
          <w:p>
            <w:pPr>
              <w:spacing w:line="240" w:lineRule="auto"/>
              <w:jc w:val="center"/>
            </w:pPr>
            <w:r>
              <w:rPr>
                <w:rFonts w:ascii="宋体" w:hAnsi="宋体" w:eastAsia="宋体" w:cs="宋体"/>
                <w:b w:val="0"/>
              </w:rPr>
              <w:t>净值增长率①</w:t>
            </w:r>
          </w:p>
        </w:tc>
        <w:tc>
          <w:tcPr>
            <w:tcW w:w="692" w:type="pct"/>
            <w:shd w:val="clear" w:color="auto" w:fill="D9D9D9"/>
            <w:vAlign w:val="center"/>
          </w:tcPr>
          <w:p>
            <w:pPr>
              <w:spacing w:line="240" w:lineRule="auto"/>
              <w:jc w:val="center"/>
            </w:pPr>
            <w:r>
              <w:rPr>
                <w:rFonts w:ascii="宋体" w:hAnsi="宋体" w:eastAsia="宋体" w:cs="宋体"/>
                <w:b w:val="0"/>
              </w:rPr>
              <w:t>净值增长率标准差②</w:t>
            </w:r>
          </w:p>
        </w:tc>
        <w:tc>
          <w:tcPr>
            <w:tcW w:w="692" w:type="pct"/>
            <w:shd w:val="clear" w:color="auto" w:fill="D9D9D9"/>
            <w:vAlign w:val="center"/>
          </w:tcPr>
          <w:p>
            <w:pPr>
              <w:spacing w:line="240" w:lineRule="auto"/>
              <w:jc w:val="center"/>
            </w:pPr>
            <w:r>
              <w:rPr>
                <w:rFonts w:ascii="宋体" w:hAnsi="宋体" w:eastAsia="宋体" w:cs="宋体"/>
                <w:b w:val="0"/>
              </w:rPr>
              <w:t>业绩比较基准收益率③</w:t>
            </w:r>
          </w:p>
        </w:tc>
        <w:tc>
          <w:tcPr>
            <w:tcW w:w="692" w:type="pct"/>
            <w:shd w:val="clear" w:color="auto" w:fill="D9D9D9"/>
            <w:vAlign w:val="center"/>
          </w:tcPr>
          <w:p>
            <w:pPr>
              <w:spacing w:line="240" w:lineRule="auto"/>
              <w:jc w:val="center"/>
            </w:pPr>
            <w:r>
              <w:rPr>
                <w:rFonts w:ascii="宋体" w:hAnsi="宋体" w:eastAsia="宋体" w:cs="宋体"/>
                <w:b w:val="0"/>
              </w:rPr>
              <w:t>业绩比较基准收益率标准差④</w:t>
            </w:r>
          </w:p>
        </w:tc>
        <w:tc>
          <w:tcPr>
            <w:tcW w:w="692" w:type="pct"/>
            <w:shd w:val="clear" w:color="auto" w:fill="D9D9D9"/>
            <w:vAlign w:val="center"/>
          </w:tcPr>
          <w:p>
            <w:pPr>
              <w:spacing w:line="240" w:lineRule="auto"/>
              <w:jc w:val="center"/>
            </w:pPr>
            <w:r>
              <w:rPr>
                <w:rFonts w:ascii="宋体" w:hAnsi="宋体" w:eastAsia="宋体" w:cs="宋体"/>
                <w:b w:val="0"/>
              </w:rPr>
              <w:t>①-③</w:t>
            </w:r>
          </w:p>
        </w:tc>
        <w:tc>
          <w:tcPr>
            <w:tcW w:w="692" w:type="pct"/>
            <w:shd w:val="clear" w:color="auto" w:fill="D9D9D9"/>
            <w:vAlign w:val="center"/>
          </w:tcPr>
          <w:p>
            <w:pPr>
              <w:spacing w:line="240" w:lineRule="auto"/>
              <w:jc w:val="center"/>
            </w:pPr>
            <w:r>
              <w:rPr>
                <w:rFonts w:ascii="宋体" w:hAnsi="宋体" w:eastAsia="宋体" w:cs="宋体"/>
                <w:b w:val="0"/>
              </w:rPr>
              <w:t>②-④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过去三个月</w:t>
            </w:r>
          </w:p>
        </w:tc>
        <w:tc>
          <w:tcPr>
            <w:tcW w:w="0" w:type="dxa"/>
            <w:vAlign w:val="center"/>
          </w:tcPr>
          <w:p>
            <w:pPr>
              <w:spacing w:line="240" w:lineRule="auto"/>
              <w:jc w:val="right"/>
            </w:pPr>
            <w:r>
              <w:rPr>
                <w:rFonts w:ascii="宋体" w:hAnsi="宋体" w:eastAsia="宋体" w:cs="宋体"/>
                <w:b w:val="0"/>
              </w:rPr>
              <w:t>5.76%</w:t>
            </w:r>
          </w:p>
        </w:tc>
        <w:tc>
          <w:tcPr>
            <w:tcW w:w="0" w:type="dxa"/>
            <w:vAlign w:val="center"/>
          </w:tcPr>
          <w:p>
            <w:pPr>
              <w:spacing w:line="240" w:lineRule="auto"/>
              <w:jc w:val="right"/>
            </w:pPr>
            <w:r>
              <w:rPr>
                <w:rFonts w:ascii="宋体" w:hAnsi="宋体" w:eastAsia="宋体" w:cs="宋体"/>
                <w:b w:val="0"/>
              </w:rPr>
              <w:t>2.46%</w:t>
            </w:r>
          </w:p>
        </w:tc>
        <w:tc>
          <w:tcPr>
            <w:tcW w:w="0" w:type="dxa"/>
            <w:vAlign w:val="center"/>
          </w:tcPr>
          <w:p>
            <w:pPr>
              <w:spacing w:line="240" w:lineRule="auto"/>
              <w:jc w:val="right"/>
            </w:pPr>
            <w:r>
              <w:rPr>
                <w:rFonts w:ascii="宋体" w:hAnsi="宋体" w:eastAsia="宋体" w:cs="宋体"/>
                <w:b w:val="0"/>
              </w:rPr>
              <w:t>8.06%</w:t>
            </w:r>
          </w:p>
        </w:tc>
        <w:tc>
          <w:tcPr>
            <w:tcW w:w="0" w:type="dxa"/>
            <w:vAlign w:val="center"/>
          </w:tcPr>
          <w:p>
            <w:pPr>
              <w:spacing w:line="240" w:lineRule="auto"/>
              <w:jc w:val="right"/>
            </w:pPr>
            <w:r>
              <w:rPr>
                <w:rFonts w:ascii="宋体" w:hAnsi="宋体" w:eastAsia="宋体" w:cs="宋体"/>
                <w:b w:val="0"/>
              </w:rPr>
              <w:t>1.05%</w:t>
            </w:r>
          </w:p>
        </w:tc>
        <w:tc>
          <w:tcPr>
            <w:tcW w:w="0" w:type="dxa"/>
            <w:vAlign w:val="center"/>
          </w:tcPr>
          <w:p>
            <w:pPr>
              <w:spacing w:line="240" w:lineRule="auto"/>
              <w:jc w:val="right"/>
            </w:pPr>
            <w:r>
              <w:rPr>
                <w:rFonts w:ascii="宋体" w:hAnsi="宋体" w:eastAsia="宋体" w:cs="宋体"/>
                <w:b w:val="0"/>
              </w:rPr>
              <w:t>-2.30%</w:t>
            </w:r>
          </w:p>
        </w:tc>
        <w:tc>
          <w:tcPr>
            <w:tcW w:w="0" w:type="dxa"/>
            <w:vAlign w:val="center"/>
          </w:tcPr>
          <w:p>
            <w:pPr>
              <w:spacing w:line="240" w:lineRule="auto"/>
              <w:jc w:val="right"/>
            </w:pPr>
            <w:r>
              <w:rPr>
                <w:rFonts w:ascii="宋体" w:hAnsi="宋体" w:eastAsia="宋体" w:cs="宋体"/>
                <w:b w:val="0"/>
              </w:rPr>
              <w:t>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过去六个月</w:t>
            </w:r>
          </w:p>
        </w:tc>
        <w:tc>
          <w:tcPr>
            <w:tcW w:w="0" w:type="dxa"/>
            <w:vAlign w:val="center"/>
          </w:tcPr>
          <w:p>
            <w:pPr>
              <w:spacing w:line="240" w:lineRule="auto"/>
              <w:jc w:val="right"/>
            </w:pPr>
            <w:r>
              <w:rPr>
                <w:rFonts w:ascii="宋体" w:hAnsi="宋体" w:eastAsia="宋体" w:cs="宋体"/>
                <w:b w:val="0"/>
              </w:rPr>
              <w:t>-6.48%</w:t>
            </w:r>
          </w:p>
        </w:tc>
        <w:tc>
          <w:tcPr>
            <w:tcW w:w="0" w:type="dxa"/>
            <w:vAlign w:val="center"/>
          </w:tcPr>
          <w:p>
            <w:pPr>
              <w:spacing w:line="240" w:lineRule="auto"/>
              <w:jc w:val="right"/>
            </w:pPr>
            <w:r>
              <w:rPr>
                <w:rFonts w:ascii="宋体" w:hAnsi="宋体" w:eastAsia="宋体" w:cs="宋体"/>
                <w:b w:val="0"/>
              </w:rPr>
              <w:t>2.46%</w:t>
            </w:r>
          </w:p>
        </w:tc>
        <w:tc>
          <w:tcPr>
            <w:tcW w:w="0" w:type="dxa"/>
            <w:vAlign w:val="center"/>
          </w:tcPr>
          <w:p>
            <w:pPr>
              <w:spacing w:line="240" w:lineRule="auto"/>
              <w:jc w:val="right"/>
            </w:pPr>
            <w:r>
              <w:rPr>
                <w:rFonts w:ascii="宋体" w:hAnsi="宋体" w:eastAsia="宋体" w:cs="宋体"/>
                <w:b w:val="0"/>
              </w:rPr>
              <w:t>-0.24%</w:t>
            </w:r>
          </w:p>
        </w:tc>
        <w:tc>
          <w:tcPr>
            <w:tcW w:w="0" w:type="dxa"/>
            <w:vAlign w:val="center"/>
          </w:tcPr>
          <w:p>
            <w:pPr>
              <w:spacing w:line="240" w:lineRule="auto"/>
              <w:jc w:val="right"/>
            </w:pPr>
            <w:r>
              <w:rPr>
                <w:rFonts w:ascii="宋体" w:hAnsi="宋体" w:eastAsia="宋体" w:cs="宋体"/>
                <w:b w:val="0"/>
              </w:rPr>
              <w:t>0.96%</w:t>
            </w:r>
          </w:p>
        </w:tc>
        <w:tc>
          <w:tcPr>
            <w:tcW w:w="0" w:type="dxa"/>
            <w:vAlign w:val="center"/>
          </w:tcPr>
          <w:p>
            <w:pPr>
              <w:spacing w:line="240" w:lineRule="auto"/>
              <w:jc w:val="right"/>
            </w:pPr>
            <w:r>
              <w:rPr>
                <w:rFonts w:ascii="宋体" w:hAnsi="宋体" w:eastAsia="宋体" w:cs="宋体"/>
                <w:b w:val="0"/>
              </w:rPr>
              <w:t>-6.24%</w:t>
            </w:r>
          </w:p>
        </w:tc>
        <w:tc>
          <w:tcPr>
            <w:tcW w:w="0" w:type="dxa"/>
            <w:vAlign w:val="center"/>
          </w:tcPr>
          <w:p>
            <w:pPr>
              <w:spacing w:line="240" w:lineRule="auto"/>
              <w:jc w:val="right"/>
            </w:pPr>
            <w:r>
              <w:rPr>
                <w:rFonts w:ascii="宋体" w:hAnsi="宋体" w:eastAsia="宋体" w:cs="宋体"/>
                <w:b w:val="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过去一年</w:t>
            </w:r>
          </w:p>
        </w:tc>
        <w:tc>
          <w:tcPr>
            <w:tcW w:w="0" w:type="dxa"/>
            <w:vAlign w:val="center"/>
          </w:tcPr>
          <w:p>
            <w:pPr>
              <w:spacing w:line="240" w:lineRule="auto"/>
              <w:jc w:val="right"/>
            </w:pPr>
            <w:r>
              <w:rPr>
                <w:rFonts w:ascii="宋体" w:hAnsi="宋体" w:eastAsia="宋体" w:cs="宋体"/>
                <w:b w:val="0"/>
              </w:rPr>
              <w:t>-21.94%</w:t>
            </w:r>
          </w:p>
        </w:tc>
        <w:tc>
          <w:tcPr>
            <w:tcW w:w="0" w:type="dxa"/>
            <w:vAlign w:val="center"/>
          </w:tcPr>
          <w:p>
            <w:pPr>
              <w:spacing w:line="240" w:lineRule="auto"/>
              <w:jc w:val="right"/>
            </w:pPr>
            <w:r>
              <w:rPr>
                <w:rFonts w:ascii="宋体" w:hAnsi="宋体" w:eastAsia="宋体" w:cs="宋体"/>
                <w:b w:val="0"/>
              </w:rPr>
              <w:t>2.46%</w:t>
            </w:r>
          </w:p>
        </w:tc>
        <w:tc>
          <w:tcPr>
            <w:tcW w:w="0" w:type="dxa"/>
            <w:vAlign w:val="center"/>
          </w:tcPr>
          <w:p>
            <w:pPr>
              <w:spacing w:line="240" w:lineRule="auto"/>
              <w:jc w:val="right"/>
            </w:pPr>
            <w:r>
              <w:rPr>
                <w:rFonts w:ascii="宋体" w:hAnsi="宋体" w:eastAsia="宋体" w:cs="宋体"/>
                <w:b w:val="0"/>
              </w:rPr>
              <w:t>-10.06%</w:t>
            </w:r>
          </w:p>
        </w:tc>
        <w:tc>
          <w:tcPr>
            <w:tcW w:w="0" w:type="dxa"/>
            <w:vAlign w:val="center"/>
          </w:tcPr>
          <w:p>
            <w:pPr>
              <w:spacing w:line="240" w:lineRule="auto"/>
              <w:jc w:val="right"/>
            </w:pPr>
            <w:r>
              <w:rPr>
                <w:rFonts w:ascii="宋体" w:hAnsi="宋体" w:eastAsia="宋体" w:cs="宋体"/>
                <w:b w:val="0"/>
              </w:rPr>
              <w:t>0.88%</w:t>
            </w:r>
          </w:p>
        </w:tc>
        <w:tc>
          <w:tcPr>
            <w:tcW w:w="0" w:type="dxa"/>
            <w:vAlign w:val="center"/>
          </w:tcPr>
          <w:p>
            <w:pPr>
              <w:spacing w:line="240" w:lineRule="auto"/>
              <w:jc w:val="right"/>
            </w:pPr>
            <w:r>
              <w:rPr>
                <w:rFonts w:ascii="宋体" w:hAnsi="宋体" w:eastAsia="宋体" w:cs="宋体"/>
                <w:b w:val="0"/>
              </w:rPr>
              <w:t>-11.88%</w:t>
            </w:r>
          </w:p>
        </w:tc>
        <w:tc>
          <w:tcPr>
            <w:tcW w:w="0" w:type="dxa"/>
            <w:vAlign w:val="center"/>
          </w:tcPr>
          <w:p>
            <w:pPr>
              <w:spacing w:line="240" w:lineRule="auto"/>
              <w:jc w:val="right"/>
            </w:pPr>
            <w:r>
              <w:rPr>
                <w:rFonts w:ascii="宋体" w:hAnsi="宋体" w:eastAsia="宋体" w:cs="宋体"/>
                <w:b w:val="0"/>
              </w:rPr>
              <w:t>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自基金合同生效起至今</w:t>
            </w:r>
          </w:p>
        </w:tc>
        <w:tc>
          <w:tcPr>
            <w:tcW w:w="0" w:type="dxa"/>
            <w:vAlign w:val="center"/>
          </w:tcPr>
          <w:p>
            <w:pPr>
              <w:spacing w:line="240" w:lineRule="auto"/>
              <w:jc w:val="right"/>
            </w:pPr>
            <w:r>
              <w:rPr>
                <w:rFonts w:ascii="宋体" w:hAnsi="宋体" w:eastAsia="宋体" w:cs="宋体"/>
                <w:b w:val="0"/>
              </w:rPr>
              <w:t>-17.70%</w:t>
            </w:r>
          </w:p>
        </w:tc>
        <w:tc>
          <w:tcPr>
            <w:tcW w:w="0" w:type="dxa"/>
            <w:vAlign w:val="center"/>
          </w:tcPr>
          <w:p>
            <w:pPr>
              <w:spacing w:line="240" w:lineRule="auto"/>
              <w:jc w:val="right"/>
            </w:pPr>
            <w:r>
              <w:rPr>
                <w:rFonts w:ascii="宋体" w:hAnsi="宋体" w:eastAsia="宋体" w:cs="宋体"/>
                <w:b w:val="0"/>
              </w:rPr>
              <w:t>2.38%</w:t>
            </w:r>
          </w:p>
        </w:tc>
        <w:tc>
          <w:tcPr>
            <w:tcW w:w="0" w:type="dxa"/>
            <w:vAlign w:val="center"/>
          </w:tcPr>
          <w:p>
            <w:pPr>
              <w:spacing w:line="240" w:lineRule="auto"/>
              <w:jc w:val="right"/>
            </w:pPr>
            <w:r>
              <w:rPr>
                <w:rFonts w:ascii="宋体" w:hAnsi="宋体" w:eastAsia="宋体" w:cs="宋体"/>
                <w:b w:val="0"/>
              </w:rPr>
              <w:t>-2.86%</w:t>
            </w:r>
          </w:p>
        </w:tc>
        <w:tc>
          <w:tcPr>
            <w:tcW w:w="0" w:type="dxa"/>
            <w:vAlign w:val="center"/>
          </w:tcPr>
          <w:p>
            <w:pPr>
              <w:spacing w:line="240" w:lineRule="auto"/>
              <w:jc w:val="right"/>
            </w:pPr>
            <w:r>
              <w:rPr>
                <w:rFonts w:ascii="宋体" w:hAnsi="宋体" w:eastAsia="宋体" w:cs="宋体"/>
                <w:b w:val="0"/>
              </w:rPr>
              <w:t>0.84%</w:t>
            </w:r>
          </w:p>
        </w:tc>
        <w:tc>
          <w:tcPr>
            <w:tcW w:w="0" w:type="dxa"/>
            <w:vAlign w:val="center"/>
          </w:tcPr>
          <w:p>
            <w:pPr>
              <w:spacing w:line="240" w:lineRule="auto"/>
              <w:jc w:val="right"/>
            </w:pPr>
            <w:r>
              <w:rPr>
                <w:rFonts w:ascii="宋体" w:hAnsi="宋体" w:eastAsia="宋体" w:cs="宋体"/>
                <w:b w:val="0"/>
              </w:rPr>
              <w:t>-14.84%</w:t>
            </w:r>
          </w:p>
        </w:tc>
        <w:tc>
          <w:tcPr>
            <w:tcW w:w="0" w:type="dxa"/>
            <w:vAlign w:val="center"/>
          </w:tcPr>
          <w:p>
            <w:pPr>
              <w:spacing w:line="240" w:lineRule="auto"/>
              <w:jc w:val="right"/>
            </w:pPr>
            <w:r>
              <w:rPr>
                <w:rFonts w:ascii="宋体" w:hAnsi="宋体" w:eastAsia="宋体" w:cs="宋体"/>
                <w:b w:val="0"/>
              </w:rPr>
              <w:t>1.54%</w:t>
            </w:r>
          </w:p>
        </w:tc>
      </w:tr>
    </w:tbl>
    <w:p>
      <w:r>
        <w:rPr>
          <w:rFonts w:ascii="宋体" w:hAnsi="宋体" w:eastAsia="宋体" w:cs="宋体"/>
          <w:b w:val="0"/>
        </w:rPr>
        <w:t>注：自 2026年9月21日起，本基金业绩比较基准由“中证医药卫生指数收益率*40%+中证内地消费主题指数收益率*20%+恒生指数收益率*20%+中证综合债券指数收益率*20%”调整为“中证医药卫生指数收益率*65%+恒生医疗保健指数收益率*20%+中证综合债（全价）指数收益率*15%”。此次本基金业绩比较基准调整同时涉及更换业绩比较基准要素和调整业绩比较基准的要素权重。基于基金投资目标、投资范围和投资策略，本基金股票资产主要投向健康产业主题相关公司，并在健康产业主题中，采用自上而下与自下而上相结合的投资方法，以基本面分析为立足点，精选个股，在科学严格管理风险的前提下，谋求基金资产的中长期稳健增值。原业绩比较基准中，中证内地消费主题指数（指数代码000942）从中证 800成份股中，选取可选消费、主要消费板块中市值最大的50 只消费类股票组成，主要覆盖食品饮料、交运设备、商业贸易、农林牧渔、纺织服装、医药生物等行业，仅少量成分股零星涉及医药生物，指数整体行业属性以消费为主，无法客观匹配本基金的基金投资目标、投资范围和投资策略，因此本次基准调整予以剔除该指数标的。原业绩比较基准中，恒生指数（指数代码HSI）是反映香港股票市场表现较为具有代表性的综合指标。调整后的新业绩比较基准中，恒生医疗保健指数（指数代码HSHCI）由恒生综合指数中属于医疗保健业的证券组成，反映在香港上市、主要经营医疗保健业务证券的整体表现，适合作为本基金港股股票部分的业绩比较基准要素。本基金的债券资产采用全市场策略，主要通过类属配置与券种选择进行投资管理。原业绩比较基准中，中证综合债券指数（指数代码H11009）选取在沪深交易所或银行间市场上市的BBB及以上、且剩余期限1个月及以上的国债、金融债、企业债等债券作为成份券，该指数旨在更全面地反映我国债券市场的整体价格变动趋势。调整后的新业绩比较基准中，中证综合债（全价）指数（指数代码H11009CNY030）为中证综合债券指数的全价算法衍生指数，适合作为本基金债券部分的业绩比较基准要素。此外，基于本基金历史持仓，并结合基金合同约定的投资比例限制以及本基金预期的资产配置比例中枢，将业绩比较基准中的股票资产所对应的基准要素权重从80%提高至85%（其中A股股票部分的基准要素权重相应从60%提高至65%，港股通标的股票部分的基准要素权重仍维持20%），将业绩比较基准中的债券资产所对应的基准要素权重从20%降低至15%，从而使得新业绩比较基准中各大资产类别所对应的基准要素权重与基金投资策略和基金过往实际投资运作等相匹配。本次调整业绩比较基准旨在提高基金业绩表现与业绩比较基准的可比性，更加清晰反映基金的风险收益特征，不会对产品投资运作、持有人利益产生实质性不利影响。基金业绩比较基准收益率在调整前后期间分别根据相应的指标计算。</w:t>
      </w:r>
    </w:p>
    <w:p/>
    <w:p>
      <w:pPr>
        <w:pStyle w:val="58"/>
      </w:pPr>
      <w:r>
        <w:rPr>
          <w:rStyle w:val="30"/>
          <w:rFonts w:ascii="宋体" w:hAnsi="宋体" w:eastAsia="宋体" w:cs="宋体"/>
          <w:b/>
        </w:rPr>
        <w:t>3.2.2 自基金合同生效以来基金累计净值增长率变动及其与同期业绩比较基准收益率变动的比较</w:t>
      </w:r>
    </w:p>
    <w:p>
      <w:r>
        <w:drawing>
          <wp:inline distT="0" distB="0" distL="0" distR="0">
            <wp:extent cx="5715000" cy="3048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0"/>
                    <a:stretch>
                      <a:fillRect/>
                    </a:stretch>
                  </pic:blipFill>
                  <pic:spPr>
                    <a:xfrm>
                      <a:off x="0" y="0"/>
                      <a:ext cx="5715000" cy="3048000"/>
                    </a:xfrm>
                    <a:prstGeom prst="rect">
                      <a:avLst/>
                    </a:prstGeom>
                  </pic:spPr>
                </pic:pic>
              </a:graphicData>
            </a:graphic>
          </wp:inline>
        </w:drawing>
      </w:r>
    </w:p>
    <w:p>
      <w:r>
        <w:drawing>
          <wp:inline distT="0" distB="0" distL="0" distR="0">
            <wp:extent cx="5715000" cy="3048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11"/>
                    <a:stretch>
                      <a:fillRect/>
                    </a:stretch>
                  </pic:blipFill>
                  <pic:spPr>
                    <a:xfrm>
                      <a:off x="0" y="0"/>
                      <a:ext cx="5715000" cy="3048000"/>
                    </a:xfrm>
                    <a:prstGeom prst="rect">
                      <a:avLst/>
                    </a:prstGeom>
                  </pic:spPr>
                </pic:pic>
              </a:graphicData>
            </a:graphic>
          </wp:inline>
        </w:drawing>
      </w:r>
    </w:p>
    <w:p>
      <w:r>
        <w:rPr>
          <w:rFonts w:ascii="宋体" w:hAnsi="宋体" w:eastAsia="宋体" w:cs="宋体"/>
          <w:b w:val="0"/>
        </w:rPr>
        <w:t>注：自 2026年9月21日起，本基金业绩比较基准由“中证医药卫生指数收益率*40%+中证内地消费主题指数收益率*20%+恒生指数收益率*20%+中证综合债券指数收益率*20%”调整为“中证医药卫生指数收益率*65%+恒生医疗保健指数收益率*20%+中证综合债（全价）指数收益率*15%”。基金业绩比较基准收益率在调整前后期间分别根据相应的指标计算。</w:t>
      </w:r>
    </w:p>
    <w:p>
      <w:pPr>
        <w:pStyle w:val="2"/>
        <w:jc w:val="center"/>
      </w:pPr>
      <w:r>
        <w:rPr>
          <w:rFonts w:ascii="宋体" w:hAnsi="宋体" w:eastAsia="宋体" w:cs="宋体"/>
        </w:rPr>
        <w:t>§4 管理人报告</w:t>
      </w:r>
    </w:p>
    <w:p>
      <w:pPr>
        <w:pStyle w:val="3"/>
        <w:jc w:val="left"/>
      </w:pPr>
      <w:r>
        <w:rPr>
          <w:rFonts w:ascii="宋体" w:hAnsi="宋体" w:eastAsia="宋体" w:cs="宋体"/>
        </w:rPr>
        <w:t>4.1 基金经理（或基金经理小组）简介</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9"/>
        <w:gridCol w:w="1229"/>
        <w:gridCol w:w="1501"/>
        <w:gridCol w:w="1501"/>
        <w:gridCol w:w="800"/>
        <w:gridCol w:w="3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pct"/>
            <w:vMerge w:val="restart"/>
            <w:shd w:val="clear" w:color="auto" w:fill="D9D9D9"/>
            <w:vAlign w:val="center"/>
          </w:tcPr>
          <w:p>
            <w:pPr>
              <w:spacing w:line="240" w:lineRule="auto"/>
              <w:jc w:val="center"/>
            </w:pPr>
            <w:r>
              <w:rPr>
                <w:rFonts w:ascii="宋体" w:hAnsi="宋体" w:eastAsia="宋体" w:cs="宋体"/>
                <w:b w:val="0"/>
              </w:rPr>
              <w:t>姓名</w:t>
            </w:r>
          </w:p>
        </w:tc>
        <w:tc>
          <w:tcPr>
            <w:tcW w:w="662" w:type="pct"/>
            <w:vMerge w:val="restart"/>
            <w:shd w:val="clear" w:color="auto" w:fill="D9D9D9"/>
            <w:vAlign w:val="center"/>
          </w:tcPr>
          <w:p>
            <w:pPr>
              <w:spacing w:line="240" w:lineRule="auto"/>
              <w:jc w:val="center"/>
            </w:pPr>
            <w:r>
              <w:rPr>
                <w:rFonts w:ascii="宋体" w:hAnsi="宋体" w:eastAsia="宋体" w:cs="宋体"/>
                <w:b w:val="0"/>
              </w:rPr>
              <w:t>职务</w:t>
            </w:r>
          </w:p>
        </w:tc>
        <w:tc>
          <w:tcPr>
            <w:tcW w:w="1615" w:type="pct"/>
            <w:gridSpan w:val="2"/>
            <w:shd w:val="clear" w:color="auto" w:fill="D9D9D9"/>
            <w:vAlign w:val="center"/>
          </w:tcPr>
          <w:p>
            <w:pPr>
              <w:spacing w:line="240" w:lineRule="auto"/>
              <w:jc w:val="center"/>
            </w:pPr>
            <w:r>
              <w:rPr>
                <w:rFonts w:ascii="宋体" w:hAnsi="宋体" w:eastAsia="宋体" w:cs="宋体"/>
                <w:b w:val="0"/>
              </w:rPr>
              <w:t>任本基金的基金经理期限</w:t>
            </w:r>
          </w:p>
        </w:tc>
        <w:tc>
          <w:tcPr>
            <w:tcW w:w="431" w:type="pct"/>
            <w:vMerge w:val="restart"/>
            <w:shd w:val="clear" w:color="auto" w:fill="D9D9D9"/>
            <w:vAlign w:val="center"/>
          </w:tcPr>
          <w:p>
            <w:pPr>
              <w:spacing w:line="240" w:lineRule="auto"/>
              <w:jc w:val="center"/>
            </w:pPr>
            <w:r>
              <w:rPr>
                <w:rFonts w:ascii="宋体" w:hAnsi="宋体" w:eastAsia="宋体" w:cs="宋体"/>
                <w:b w:val="0"/>
              </w:rPr>
              <w:t>证券从业年限</w:t>
            </w:r>
          </w:p>
        </w:tc>
        <w:tc>
          <w:tcPr>
            <w:tcW w:w="1631" w:type="pct"/>
            <w:vMerge w:val="restart"/>
            <w:shd w:val="clear" w:color="auto" w:fill="D9D9D9"/>
            <w:vAlign w:val="center"/>
          </w:tcPr>
          <w:p>
            <w:pPr>
              <w:spacing w:line="240" w:lineRule="auto"/>
              <w:jc w:val="center"/>
            </w:pPr>
            <w:r>
              <w:rPr>
                <w:rFonts w:ascii="宋体" w:hAnsi="宋体" w:eastAsia="宋体" w:cs="宋体"/>
                <w:b w:val="0"/>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vMerge w:val="continue"/>
          </w:tcPr>
          <w:p/>
        </w:tc>
        <w:tc>
          <w:tcPr>
            <w:tcW w:w="808" w:type="pct"/>
            <w:shd w:val="clear" w:color="auto" w:fill="D9D9D9"/>
            <w:vAlign w:val="center"/>
          </w:tcPr>
          <w:p>
            <w:pPr>
              <w:spacing w:line="240" w:lineRule="auto"/>
              <w:jc w:val="center"/>
            </w:pPr>
            <w:r>
              <w:rPr>
                <w:rFonts w:ascii="宋体" w:hAnsi="宋体" w:eastAsia="宋体" w:cs="宋体"/>
                <w:b w:val="0"/>
              </w:rPr>
              <w:t>任职日期</w:t>
            </w:r>
          </w:p>
        </w:tc>
        <w:tc>
          <w:tcPr>
            <w:tcW w:w="808" w:type="pct"/>
            <w:shd w:val="clear" w:color="auto" w:fill="D9D9D9"/>
            <w:vAlign w:val="center"/>
          </w:tcPr>
          <w:p>
            <w:pPr>
              <w:spacing w:line="240" w:lineRule="auto"/>
              <w:jc w:val="center"/>
            </w:pPr>
            <w:r>
              <w:rPr>
                <w:rFonts w:ascii="宋体" w:hAnsi="宋体" w:eastAsia="宋体" w:cs="宋体"/>
                <w:b w:val="0"/>
              </w:rPr>
              <w:t>离任日期</w:t>
            </w:r>
          </w:p>
        </w:tc>
        <w:tc>
          <w:tcPr>
            <w:vMerge w:val="continue"/>
          </w:tcPr>
          <w:p/>
        </w:tc>
        <w:tc>
          <w:tcPr>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孙振波</w:t>
            </w:r>
          </w:p>
        </w:tc>
        <w:tc>
          <w:tcPr>
            <w:tcW w:w="0" w:type="dxa"/>
            <w:vAlign w:val="center"/>
          </w:tcPr>
          <w:p>
            <w:pPr>
              <w:spacing w:line="240" w:lineRule="auto"/>
              <w:jc w:val="left"/>
            </w:pPr>
            <w:r>
              <w:rPr>
                <w:rFonts w:ascii="宋体" w:hAnsi="宋体" w:eastAsia="宋体" w:cs="宋体"/>
                <w:b w:val="0"/>
              </w:rPr>
              <w:t>基金经理</w:t>
            </w:r>
          </w:p>
        </w:tc>
        <w:tc>
          <w:tcPr>
            <w:tcW w:w="0" w:type="dxa"/>
            <w:vAlign w:val="center"/>
          </w:tcPr>
          <w:p>
            <w:pPr>
              <w:spacing w:line="240" w:lineRule="auto"/>
              <w:jc w:val="center"/>
            </w:pPr>
            <w:r>
              <w:rPr>
                <w:rFonts w:ascii="宋体" w:hAnsi="宋体" w:eastAsia="宋体" w:cs="宋体"/>
                <w:b w:val="0"/>
              </w:rPr>
              <w:t>2026-08-05</w:t>
            </w:r>
          </w:p>
        </w:tc>
        <w:tc>
          <w:tcPr>
            <w:tcW w:w="0" w:type="dxa"/>
            <w:vAlign w:val="center"/>
          </w:tcPr>
          <w:p>
            <w:pPr>
              <w:spacing w:line="240" w:lineRule="auto"/>
              <w:jc w:val="center"/>
            </w:pPr>
            <w:r>
              <w:rPr>
                <w:rFonts w:ascii="宋体" w:hAnsi="宋体" w:eastAsia="宋体" w:cs="宋体"/>
                <w:b w:val="0"/>
              </w:rPr>
              <w:t>-</w:t>
            </w:r>
          </w:p>
        </w:tc>
        <w:tc>
          <w:tcPr>
            <w:tcW w:w="0" w:type="dxa"/>
            <w:vAlign w:val="center"/>
          </w:tcPr>
          <w:p>
            <w:pPr>
              <w:spacing w:line="240" w:lineRule="auto"/>
              <w:jc w:val="center"/>
            </w:pPr>
            <w:r>
              <w:rPr>
                <w:rFonts w:ascii="宋体" w:hAnsi="宋体" w:eastAsia="宋体" w:cs="宋体"/>
                <w:b w:val="0"/>
              </w:rPr>
              <w:t>7年</w:t>
            </w:r>
          </w:p>
        </w:tc>
        <w:tc>
          <w:tcPr>
            <w:tcW w:w="0" w:type="dxa"/>
            <w:vAlign w:val="center"/>
          </w:tcPr>
          <w:p>
            <w:pPr>
              <w:spacing w:line="240" w:lineRule="auto"/>
              <w:jc w:val="left"/>
            </w:pPr>
            <w:r>
              <w:rPr>
                <w:rFonts w:ascii="宋体" w:hAnsi="宋体" w:eastAsia="宋体" w:cs="宋体"/>
                <w:b w:val="0"/>
              </w:rPr>
              <w:t>孙振波先生，中国科学技术大学理学学士，复旦大学理学硕士。于2019年6月入职东方阿尔法基金管理有限公司，历任研究员、基金经理助理。现任东方阿尔法基金管理有限公司基金经理。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孟昱</w:t>
            </w:r>
          </w:p>
        </w:tc>
        <w:tc>
          <w:tcPr>
            <w:tcW w:w="0" w:type="dxa"/>
            <w:vAlign w:val="center"/>
          </w:tcPr>
          <w:p>
            <w:pPr>
              <w:spacing w:line="240" w:lineRule="auto"/>
              <w:jc w:val="left"/>
            </w:pPr>
            <w:r>
              <w:rPr>
                <w:rFonts w:ascii="宋体" w:hAnsi="宋体" w:eastAsia="宋体" w:cs="宋体"/>
                <w:b w:val="0"/>
              </w:rPr>
              <w:t>基金经理（已离任）</w:t>
            </w:r>
          </w:p>
        </w:tc>
        <w:tc>
          <w:tcPr>
            <w:tcW w:w="0" w:type="dxa"/>
            <w:vAlign w:val="center"/>
          </w:tcPr>
          <w:p>
            <w:pPr>
              <w:spacing w:line="240" w:lineRule="auto"/>
              <w:jc w:val="center"/>
            </w:pPr>
            <w:r>
              <w:rPr>
                <w:rFonts w:ascii="宋体" w:hAnsi="宋体" w:eastAsia="宋体" w:cs="宋体"/>
                <w:b w:val="0"/>
              </w:rPr>
              <w:t>2025-06-12</w:t>
            </w:r>
          </w:p>
        </w:tc>
        <w:tc>
          <w:tcPr>
            <w:tcW w:w="0" w:type="dxa"/>
            <w:vAlign w:val="center"/>
          </w:tcPr>
          <w:p>
            <w:pPr>
              <w:spacing w:line="240" w:lineRule="auto"/>
              <w:jc w:val="center"/>
            </w:pPr>
            <w:r>
              <w:rPr>
                <w:rFonts w:ascii="宋体" w:hAnsi="宋体" w:eastAsia="宋体" w:cs="宋体"/>
                <w:b w:val="0"/>
              </w:rPr>
              <w:t>2026-08-05</w:t>
            </w:r>
          </w:p>
        </w:tc>
        <w:tc>
          <w:tcPr>
            <w:tcW w:w="0" w:type="dxa"/>
            <w:vAlign w:val="center"/>
          </w:tcPr>
          <w:p>
            <w:pPr>
              <w:spacing w:line="240" w:lineRule="auto"/>
              <w:jc w:val="center"/>
            </w:pPr>
            <w:r>
              <w:rPr>
                <w:rFonts w:ascii="宋体" w:hAnsi="宋体" w:eastAsia="宋体" w:cs="宋体"/>
                <w:b w:val="0"/>
              </w:rPr>
              <w:t>6年</w:t>
            </w:r>
          </w:p>
        </w:tc>
        <w:tc>
          <w:tcPr>
            <w:tcW w:w="0" w:type="dxa"/>
            <w:vAlign w:val="center"/>
          </w:tcPr>
          <w:p>
            <w:pPr>
              <w:spacing w:line="240" w:lineRule="auto"/>
              <w:jc w:val="left"/>
            </w:pPr>
            <w:r>
              <w:rPr>
                <w:rFonts w:ascii="宋体" w:hAnsi="宋体" w:eastAsia="宋体" w:cs="宋体"/>
                <w:b w:val="0"/>
              </w:rPr>
              <w:t>孟昱先生，中山大学理学硕士，2020年8月至2021年9月，在深圳市涌容资产管理有限公司工作，任研究部研究员；2021年10月至2023年10月，在深圳市中欧瑞博投资管理股份有限公司工作，历任医药投研部研究员、基金经理；2023年10月，入职东方阿尔法基金管理有限公司公募投资部。</w:t>
            </w:r>
          </w:p>
        </w:tc>
      </w:tr>
    </w:tbl>
    <w:p>
      <w:r>
        <w:rPr>
          <w:rFonts w:ascii="宋体" w:hAnsi="宋体" w:eastAsia="宋体" w:cs="宋体"/>
          <w:b w:val="0"/>
        </w:rPr>
        <w:t>注：1.对基金的首任基金经理，其"任职日期"为基金合同生效日，"离任日期"为根据公告确定的解聘日期；对此后的非首任基金经理，"任职日期"和"离任日期"分别指公告确定的任职日期和离任日期。</w:t>
      </w:r>
      <w:r>
        <w:rPr>
          <w:rFonts w:ascii="宋体" w:hAnsi="宋体" w:eastAsia="宋体" w:cs="宋体"/>
          <w:b w:val="0"/>
        </w:rPr>
        <w:br w:type="textWrapping"/>
      </w:r>
      <w:r>
        <w:rPr>
          <w:rFonts w:ascii="宋体" w:hAnsi="宋体" w:eastAsia="宋体" w:cs="宋体"/>
          <w:b w:val="0"/>
        </w:rPr>
        <w:t>2.证券从业的含义遵从《证券基金经营机构董事、监事、高级管理人员及从业人员监督管理办法》的相关规定。</w:t>
      </w:r>
    </w:p>
    <w:p/>
    <w:p>
      <w:pPr>
        <w:pStyle w:val="58"/>
      </w:pPr>
      <w:r>
        <w:rPr>
          <w:rStyle w:val="30"/>
          <w:rFonts w:ascii="宋体" w:hAnsi="宋体" w:eastAsia="宋体" w:cs="宋体"/>
          <w:b/>
        </w:rPr>
        <w:t>4.1.1 期末兼任私募资产管理计划投资经理的基金经理同时管理的产品情况</w:t>
      </w:r>
    </w:p>
    <w:p>
      <w:r>
        <w:rPr>
          <w:rFonts w:ascii="宋体" w:hAnsi="宋体" w:eastAsia="宋体" w:cs="宋体"/>
          <w:b w:val="0"/>
        </w:rPr>
        <w:t xml:space="preserve">    本基金基金经理不存在兼任私募资产管理计划的投资经理的情况。</w:t>
      </w:r>
    </w:p>
    <w:p/>
    <w:p>
      <w:pPr>
        <w:pStyle w:val="3"/>
        <w:jc w:val="left"/>
      </w:pPr>
      <w:r>
        <w:rPr>
          <w:rFonts w:ascii="宋体" w:hAnsi="宋体" w:eastAsia="宋体" w:cs="宋体"/>
        </w:rPr>
        <w:t>4.2 管理人对报告期内本基金运作遵规守信情况的说明</w:t>
      </w:r>
    </w:p>
    <w:p>
      <w:r>
        <w:rPr>
          <w:rFonts w:ascii="宋体" w:hAnsi="宋体" w:eastAsia="宋体" w:cs="宋体"/>
          <w:b w:val="0"/>
        </w:rPr>
        <w:t xml:space="preserve">    本报告期内，本基金管理人严格遵守《中华人民共和国证券投资基金法》及其各项实施细则等有关法律法规、本基金《基金合同》和其他有关法律法规的规定，本着诚实信用、勤勉尽责的原则管理和运用基金资产，在严格控制风险的基础上，为基金份额持有人谋求最大利益。本报告期内，基金运作整体合法合规，无损害基金份额持有人利益的行为。</w:t>
      </w:r>
    </w:p>
    <w:p/>
    <w:p>
      <w:pPr>
        <w:pStyle w:val="3"/>
        <w:jc w:val="left"/>
      </w:pPr>
      <w:r>
        <w:rPr>
          <w:rFonts w:ascii="宋体" w:hAnsi="宋体" w:eastAsia="宋体" w:cs="宋体"/>
        </w:rPr>
        <w:t>4.3 公平交易专项说明</w:t>
      </w:r>
    </w:p>
    <w:p>
      <w:pPr>
        <w:pStyle w:val="58"/>
      </w:pPr>
      <w:r>
        <w:rPr>
          <w:rStyle w:val="30"/>
          <w:rFonts w:ascii="宋体" w:hAnsi="宋体" w:eastAsia="宋体" w:cs="宋体"/>
          <w:b/>
        </w:rPr>
        <w:t>4.3.1 公平交易制度的执行情况</w:t>
      </w:r>
    </w:p>
    <w:p>
      <w:r>
        <w:rPr>
          <w:rFonts w:ascii="宋体" w:hAnsi="宋体" w:eastAsia="宋体" w:cs="宋体"/>
          <w:b w:val="0"/>
        </w:rPr>
        <w:t xml:space="preserve">    本报告期内，本基金管理人严格执行《证券投资基金管理公司公平交易制度指导意见》，完善相应制度及流程，通过系统和人工等各种方式在各业务环节严格控制交易公平执行，公平对待旗下管理的所有基金和投资组合。</w:t>
      </w:r>
      <w:r>
        <w:rPr>
          <w:rFonts w:ascii="宋体" w:hAnsi="宋体" w:eastAsia="宋体" w:cs="宋体"/>
          <w:b w:val="0"/>
        </w:rPr>
        <w:br w:type="textWrapping"/>
      </w:r>
      <w:r>
        <w:rPr>
          <w:rFonts w:ascii="宋体" w:hAnsi="宋体" w:eastAsia="宋体" w:cs="宋体"/>
          <w:b w:val="0"/>
        </w:rPr>
        <w:t xml:space="preserve">    本报告期内，本基金管理人利用统计分析的方法和工具，按照不同的时间窗（包括当日内、3日内、5日内）对基金管理人管理的不同投资组合反向交易和同向交易的交易价差监控进行分析，未发现违反公平交易制度的异常行为。</w:t>
      </w:r>
    </w:p>
    <w:p/>
    <w:p>
      <w:pPr>
        <w:pStyle w:val="58"/>
      </w:pPr>
      <w:r>
        <w:rPr>
          <w:rStyle w:val="30"/>
          <w:rFonts w:ascii="宋体" w:hAnsi="宋体" w:eastAsia="宋体" w:cs="宋体"/>
          <w:b/>
        </w:rPr>
        <w:t>4.3.2 异常交易行为的专项说明</w:t>
      </w:r>
    </w:p>
    <w:p>
      <w:r>
        <w:rPr>
          <w:rFonts w:ascii="宋体" w:hAnsi="宋体" w:eastAsia="宋体" w:cs="宋体"/>
          <w:b w:val="0"/>
        </w:rPr>
        <w:t xml:space="preserve">    报告期内，本基金不存在参与交易所公开竞价同日反向交易成交较少的单边交易量超过该证券当日成交量的5%的情况，且不存在其他可能导致非公平交易和利益输送的异常交易行为。</w:t>
      </w:r>
    </w:p>
    <w:p/>
    <w:p>
      <w:pPr>
        <w:pStyle w:val="3"/>
        <w:jc w:val="left"/>
      </w:pPr>
      <w:r>
        <w:rPr>
          <w:rFonts w:ascii="宋体" w:hAnsi="宋体" w:eastAsia="宋体" w:cs="宋体"/>
        </w:rPr>
        <w:t>4.4 报告期内基金的投资策略和运作分析</w:t>
      </w:r>
    </w:p>
    <w:p>
      <w:r>
        <w:rPr>
          <w:rFonts w:ascii="宋体" w:hAnsi="宋体" w:eastAsia="宋体" w:cs="宋体"/>
          <w:b w:val="0"/>
        </w:rPr>
        <w:t xml:space="preserve">    2026年三季度，A股与港股市场呈现明显的结构性分化，医药板块内部亦剧烈分化。沪深300下跌12.49%，成长股整体经历了一轮系统性杀估值；而创新药却在三季度走出独立行情，中证创新药产业指数上涨8.39%，恒生指数上涨7.57%。这与二季度的“血包”逻辑恰好形成镜像——二季度是科技高位虹吸、创新药被动失血；三季度则是科技主线获利兑现、资金回流估值处于低位的创新药，叠加产业端催化密集落地，板块完成了从“被动承接”到“主动定价”的切换。</w:t>
      </w:r>
      <w:r>
        <w:rPr>
          <w:rFonts w:ascii="宋体" w:hAnsi="宋体" w:eastAsia="宋体" w:cs="宋体"/>
          <w:b w:val="0"/>
        </w:rPr>
        <w:br w:type="textWrapping"/>
      </w:r>
      <w:r>
        <w:rPr>
          <w:rFonts w:ascii="宋体" w:hAnsi="宋体" w:eastAsia="宋体" w:cs="宋体"/>
          <w:b w:val="0"/>
        </w:rPr>
        <w:t xml:space="preserve">    产业端的三条主线在三季度进一步夯实。</w:t>
      </w:r>
      <w:r>
        <w:rPr>
          <w:rFonts w:ascii="宋体" w:hAnsi="宋体" w:eastAsia="宋体" w:cs="宋体"/>
          <w:b w:val="0"/>
        </w:rPr>
        <w:br w:type="textWrapping"/>
      </w:r>
      <w:r>
        <w:rPr>
          <w:rFonts w:ascii="宋体" w:hAnsi="宋体" w:eastAsia="宋体" w:cs="宋体"/>
          <w:b w:val="0"/>
        </w:rPr>
        <w:t xml:space="preserve">    第一，BD出海持续超预期。截至2026年9月22日，中国创新药对外授权交易总额已突破1200亿美元、同比增长36%，首付款规模超过百亿美元；上半年交易数量103笔、交易总额1001.13亿美元，延续千亿美元量级的高位。交易对手从跨国药企延伸到平台型Biotech，分子类型从ADC、双抗扩展到自免、慢病与核酸，说明国产创新资产的全球定价已不再依赖单一板块。</w:t>
      </w:r>
      <w:r>
        <w:rPr>
          <w:rFonts w:ascii="宋体" w:hAnsi="宋体" w:eastAsia="宋体" w:cs="宋体"/>
          <w:b w:val="0"/>
        </w:rPr>
        <w:br w:type="textWrapping"/>
      </w:r>
      <w:r>
        <w:rPr>
          <w:rFonts w:ascii="宋体" w:hAnsi="宋体" w:eastAsia="宋体" w:cs="宋体"/>
          <w:b w:val="0"/>
        </w:rPr>
        <w:t xml:space="preserve">    第二，支付端的制度性改善开始显效。2026年医保目录调整构建“基本医保+商保创新药”双目录体系，新设预申报机制，ADC、CAR-T等高价前沿品种可先进入商保目录落地；同时2026年版国家基本药物目录扩容至794种、首次将创新药纳入遴选范围，并于9月1日起施行。这意味着创新药的准入周期在缩短、支付通道在拓宽，过去压制板块估值的“医保控费”逻辑出现了实质性松动。</w:t>
      </w:r>
      <w:r>
        <w:rPr>
          <w:rFonts w:ascii="宋体" w:hAnsi="宋体" w:eastAsia="宋体" w:cs="宋体"/>
          <w:b w:val="0"/>
        </w:rPr>
        <w:br w:type="textWrapping"/>
      </w:r>
      <w:r>
        <w:rPr>
          <w:rFonts w:ascii="宋体" w:hAnsi="宋体" w:eastAsia="宋体" w:cs="宋体"/>
          <w:b w:val="0"/>
        </w:rPr>
        <w:t xml:space="preserve">    第三，龙头公司进入海外商业化收获期。某龙头公司上半年创新药收入88.09亿元、同比增长16.38%，占药品销售收入比重提升至63.16%；随着国产新药陆续进入海外商业化阶段，行业正从“一次性首付款”向“持续性销售分成”过渡，这是估值中枢能否上移的关键。</w:t>
      </w:r>
      <w:r>
        <w:rPr>
          <w:rFonts w:ascii="宋体" w:hAnsi="宋体" w:eastAsia="宋体" w:cs="宋体"/>
          <w:b w:val="0"/>
        </w:rPr>
        <w:br w:type="textWrapping"/>
      </w:r>
      <w:r>
        <w:rPr>
          <w:rFonts w:ascii="宋体" w:hAnsi="宋体" w:eastAsia="宋体" w:cs="宋体"/>
          <w:b w:val="0"/>
        </w:rPr>
        <w:t xml:space="preserve">    基于上述判断，本基金在三季度维持对创新药方向的重点配置，持仓结构与二季度末相比基本稳定，未作方向性调整，继续围绕“医药产业IP出海”这一核心主线构建组合——以具备全球竞争力的ADC、双抗平台型龙头作为核心底仓，以管线进入关键临床读出期、商业化路径清晰的标的作为弹性配置，同时保留部分商业化能力成熟、现金流稳健的综合性药企作为组合稳定器。</w:t>
      </w:r>
      <w:r>
        <w:rPr>
          <w:rFonts w:ascii="宋体" w:hAnsi="宋体" w:eastAsia="宋体" w:cs="宋体"/>
          <w:b w:val="0"/>
        </w:rPr>
        <w:br w:type="textWrapping"/>
      </w:r>
      <w:r>
        <w:rPr>
          <w:rFonts w:ascii="宋体" w:hAnsi="宋体" w:eastAsia="宋体" w:cs="宋体"/>
          <w:b w:val="0"/>
        </w:rPr>
        <w:t xml:space="preserve">    从产业节奏看，四季度是验证窗口而非真空期。其一，ESMO等国际学术会议将带来新一轮临床数据读出，ADC、双抗、自免等方向的差异化数据是个股Alpha的主要来源；其二，2026年医保及商保创新药目录谈判结果预计于10—11月公布，纳入节奏与降幅将直接影响2027年的放量预期；其三，三季报将集中确认BD首付款收入，恒瑞BMS交易的6亿美元首付款已在三季度落地，后续更多企业的里程碑款确认情况值得跟踪；其四，已出海品种的海外商业化放量数据，是判断“一次性授权”能否转化为“持续现金流”的核心依据。</w:t>
      </w:r>
      <w:r>
        <w:rPr>
          <w:rFonts w:ascii="宋体" w:hAnsi="宋体" w:eastAsia="宋体" w:cs="宋体"/>
          <w:b w:val="0"/>
        </w:rPr>
        <w:br w:type="textWrapping"/>
      </w:r>
      <w:r>
        <w:rPr>
          <w:rFonts w:ascii="宋体" w:hAnsi="宋体" w:eastAsia="宋体" w:cs="宋体"/>
          <w:b w:val="0"/>
        </w:rPr>
        <w:t xml:space="preserve">    下一阶段，本基金将继续以“全球化能力”为核心筛选标准，重点把握三类机会：一是具备差异化数据、已与MNC深度合作的平台型龙头；二是收入结构由首付款向销售分成切换的品种；三是创新药占比持续提升、估值安全边际更高的综合性药企。同时适度平衡港股与A股比例，控制单一区域与单一靶点暴露，为持有人获取可持续回报。</w:t>
      </w:r>
    </w:p>
    <w:p/>
    <w:p>
      <w:pPr>
        <w:pStyle w:val="3"/>
        <w:jc w:val="left"/>
      </w:pPr>
      <w:r>
        <w:rPr>
          <w:rFonts w:ascii="宋体" w:hAnsi="宋体" w:eastAsia="宋体" w:cs="宋体"/>
        </w:rPr>
        <w:t>4.5 报告期内基金的业绩表现</w:t>
      </w:r>
    </w:p>
    <w:p>
      <w:r>
        <w:rPr>
          <w:rFonts w:ascii="宋体" w:hAnsi="宋体" w:eastAsia="宋体" w:cs="宋体"/>
          <w:b w:val="0"/>
        </w:rPr>
        <w:t xml:space="preserve">    截至报告期末东方阿尔法健康产业混合发起A基金份额净值为0.8282元，本报告期内，该类基金份额净值增长率为5.89%，同期业绩比较基准收益率为8.06%；截至报告期末东方阿尔法健康产业混合发起C基金份额净值为0.8230元，本报告期内，该类基金份额净值增长率为5.76%，同期业绩比较基准收益率为8.06%。</w:t>
      </w:r>
    </w:p>
    <w:p/>
    <w:p>
      <w:pPr>
        <w:pStyle w:val="3"/>
        <w:jc w:val="left"/>
      </w:pPr>
      <w:r>
        <w:rPr>
          <w:rFonts w:ascii="宋体" w:hAnsi="宋体" w:eastAsia="宋体" w:cs="宋体"/>
        </w:rPr>
        <w:t>4.6 报告期内基金持有人数或基金资产净值预警说明</w:t>
      </w:r>
    </w:p>
    <w:p>
      <w:r>
        <w:rPr>
          <w:rFonts w:ascii="宋体" w:hAnsi="宋体" w:eastAsia="宋体" w:cs="宋体"/>
          <w:b w:val="0"/>
        </w:rPr>
        <w:t xml:space="preserve">    本基金为发起式基金，且截至本报告期末，本基金基金合同生效未满3年，暂不适用《公开募集证券投资基金运作管理办法》第四十一条第一款的规定。</w:t>
      </w:r>
    </w:p>
    <w:p>
      <w:pPr>
        <w:pStyle w:val="2"/>
        <w:jc w:val="center"/>
      </w:pPr>
      <w:r>
        <w:rPr>
          <w:rFonts w:ascii="宋体" w:hAnsi="宋体" w:eastAsia="宋体" w:cs="宋体"/>
        </w:rPr>
        <w:t>§5 投资组合报告</w:t>
      </w:r>
    </w:p>
    <w:p>
      <w:pPr>
        <w:pStyle w:val="3"/>
        <w:jc w:val="left"/>
      </w:pPr>
      <w:r>
        <w:rPr>
          <w:rFonts w:ascii="宋体" w:hAnsi="宋体" w:eastAsia="宋体" w:cs="宋体"/>
        </w:rPr>
        <w:t>5.1 报告期末基金资产组合情况</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2856"/>
        <w:gridCol w:w="2856"/>
        <w:gridCol w:w="2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shd w:val="clear" w:color="auto" w:fill="D9D9D9"/>
            <w:vAlign w:val="center"/>
          </w:tcPr>
          <w:p>
            <w:pPr>
              <w:spacing w:line="240" w:lineRule="auto"/>
              <w:jc w:val="center"/>
            </w:pPr>
            <w:r>
              <w:rPr>
                <w:rFonts w:ascii="宋体" w:hAnsi="宋体" w:eastAsia="宋体" w:cs="宋体"/>
                <w:b w:val="0"/>
              </w:rPr>
              <w:t>序号</w:t>
            </w:r>
          </w:p>
        </w:tc>
        <w:tc>
          <w:tcPr>
            <w:tcW w:w="1538" w:type="pct"/>
            <w:shd w:val="clear" w:color="auto" w:fill="D9D9D9"/>
            <w:vAlign w:val="center"/>
          </w:tcPr>
          <w:p>
            <w:pPr>
              <w:spacing w:line="240" w:lineRule="auto"/>
              <w:jc w:val="center"/>
            </w:pPr>
            <w:r>
              <w:rPr>
                <w:rFonts w:ascii="宋体" w:hAnsi="宋体" w:eastAsia="宋体" w:cs="宋体"/>
                <w:b w:val="0"/>
              </w:rPr>
              <w:t>项目</w:t>
            </w:r>
          </w:p>
        </w:tc>
        <w:tc>
          <w:tcPr>
            <w:tcW w:w="1538" w:type="pct"/>
            <w:shd w:val="clear" w:color="auto" w:fill="D9D9D9"/>
            <w:vAlign w:val="center"/>
          </w:tcPr>
          <w:p>
            <w:pPr>
              <w:spacing w:line="240" w:lineRule="auto"/>
              <w:jc w:val="center"/>
            </w:pPr>
            <w:r>
              <w:rPr>
                <w:rFonts w:ascii="宋体" w:hAnsi="宋体" w:eastAsia="宋体" w:cs="宋体"/>
                <w:b w:val="0"/>
              </w:rPr>
              <w:t>金额(元)</w:t>
            </w:r>
          </w:p>
        </w:tc>
        <w:tc>
          <w:tcPr>
            <w:tcW w:w="1538" w:type="pct"/>
            <w:shd w:val="clear" w:color="auto" w:fill="D9D9D9"/>
            <w:vAlign w:val="center"/>
          </w:tcPr>
          <w:p>
            <w:pPr>
              <w:spacing w:line="240" w:lineRule="auto"/>
              <w:jc w:val="center"/>
            </w:pPr>
            <w:r>
              <w:rPr>
                <w:rFonts w:ascii="宋体" w:hAnsi="宋体" w:eastAsia="宋体" w:cs="宋体"/>
                <w:b w:val="0"/>
              </w:rPr>
              <w:t>占基金总资产的比例（%）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权益投资</w:t>
            </w:r>
          </w:p>
        </w:tc>
        <w:tc>
          <w:tcPr>
            <w:tcW w:w="0" w:type="dxa"/>
            <w:vAlign w:val="center"/>
          </w:tcPr>
          <w:p>
            <w:pPr>
              <w:spacing w:line="240" w:lineRule="auto"/>
              <w:jc w:val="right"/>
            </w:pPr>
            <w:r>
              <w:rPr>
                <w:rFonts w:ascii="宋体" w:hAnsi="宋体" w:eastAsia="宋体" w:cs="宋体"/>
                <w:b w:val="0"/>
              </w:rPr>
              <w:t>52,426,848.01</w:t>
            </w:r>
          </w:p>
        </w:tc>
        <w:tc>
          <w:tcPr>
            <w:tcW w:w="0" w:type="dxa"/>
            <w:vAlign w:val="center"/>
          </w:tcPr>
          <w:p>
            <w:pPr>
              <w:spacing w:line="240" w:lineRule="auto"/>
              <w:jc w:val="right"/>
            </w:pPr>
            <w:r>
              <w:rPr>
                <w:rFonts w:ascii="宋体" w:hAnsi="宋体" w:eastAsia="宋体" w:cs="宋体"/>
                <w:b w:val="0"/>
              </w:rPr>
              <w:t>86.21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其中：股票</w:t>
            </w:r>
          </w:p>
        </w:tc>
        <w:tc>
          <w:tcPr>
            <w:tcW w:w="0" w:type="dxa"/>
            <w:vAlign w:val="center"/>
          </w:tcPr>
          <w:p>
            <w:pPr>
              <w:spacing w:line="240" w:lineRule="auto"/>
              <w:jc w:val="right"/>
            </w:pPr>
            <w:r>
              <w:rPr>
                <w:rFonts w:ascii="宋体" w:hAnsi="宋体" w:eastAsia="宋体" w:cs="宋体"/>
                <w:b w:val="0"/>
              </w:rPr>
              <w:t>52,426,848.01</w:t>
            </w:r>
          </w:p>
        </w:tc>
        <w:tc>
          <w:tcPr>
            <w:tcW w:w="0" w:type="dxa"/>
            <w:vAlign w:val="center"/>
          </w:tcPr>
          <w:p>
            <w:pPr>
              <w:spacing w:line="240" w:lineRule="auto"/>
              <w:jc w:val="right"/>
            </w:pPr>
            <w:r>
              <w:rPr>
                <w:rFonts w:ascii="宋体" w:hAnsi="宋体" w:eastAsia="宋体" w:cs="宋体"/>
                <w:b w:val="0"/>
              </w:rPr>
              <w:t>86.21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基金投资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固定收益投资</w:t>
            </w:r>
          </w:p>
        </w:tc>
        <w:tc>
          <w:tcPr>
            <w:tcW w:w="0" w:type="dxa"/>
            <w:vAlign w:val="center"/>
          </w:tcPr>
          <w:p>
            <w:pPr>
              <w:spacing w:line="240" w:lineRule="auto"/>
              <w:jc w:val="right"/>
            </w:pPr>
            <w:r>
              <w:rPr>
                <w:rFonts w:ascii="宋体" w:hAnsi="宋体" w:eastAsia="宋体" w:cs="宋体"/>
                <w:b w:val="0"/>
              </w:rPr>
              <w:t>3,631,165.15</w:t>
            </w:r>
          </w:p>
        </w:tc>
        <w:tc>
          <w:tcPr>
            <w:tcW w:w="0" w:type="dxa"/>
            <w:vAlign w:val="center"/>
          </w:tcPr>
          <w:p>
            <w:pPr>
              <w:spacing w:line="240" w:lineRule="auto"/>
              <w:jc w:val="right"/>
            </w:pPr>
            <w:r>
              <w:rPr>
                <w:rFonts w:ascii="宋体" w:hAnsi="宋体" w:eastAsia="宋体" w:cs="宋体"/>
                <w:b w:val="0"/>
              </w:rPr>
              <w:t>5.97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其中：债券</w:t>
            </w:r>
          </w:p>
        </w:tc>
        <w:tc>
          <w:tcPr>
            <w:tcW w:w="0" w:type="dxa"/>
            <w:vAlign w:val="center"/>
          </w:tcPr>
          <w:p>
            <w:pPr>
              <w:spacing w:line="240" w:lineRule="auto"/>
              <w:jc w:val="right"/>
            </w:pPr>
            <w:r>
              <w:rPr>
                <w:rFonts w:ascii="宋体" w:hAnsi="宋体" w:eastAsia="宋体" w:cs="宋体"/>
                <w:b w:val="0"/>
              </w:rPr>
              <w:t>3,631,165.15</w:t>
            </w:r>
          </w:p>
        </w:tc>
        <w:tc>
          <w:tcPr>
            <w:tcW w:w="0" w:type="dxa"/>
            <w:vAlign w:val="center"/>
          </w:tcPr>
          <w:p>
            <w:pPr>
              <w:spacing w:line="240" w:lineRule="auto"/>
              <w:jc w:val="right"/>
            </w:pPr>
            <w:r>
              <w:rPr>
                <w:rFonts w:ascii="宋体" w:hAnsi="宋体" w:eastAsia="宋体" w:cs="宋体"/>
                <w:b w:val="0"/>
              </w:rPr>
              <w:t>5.97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 xml:space="preserve">      资产支持证券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pPr>
            <w:r>
              <w:rPr>
                <w:rFonts w:ascii="宋体" w:hAnsi="宋体" w:eastAsia="宋体" w:cs="宋体"/>
                <w:b w:val="0"/>
              </w:rPr>
              <w:t>贵金属投资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金融衍生品投资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买入返售金融资产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其中：买断式回购的买入返售金融资产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银行存款和结算备付金合计</w:t>
            </w:r>
          </w:p>
        </w:tc>
        <w:tc>
          <w:tcPr>
            <w:tcW w:w="0" w:type="dxa"/>
            <w:vAlign w:val="center"/>
          </w:tcPr>
          <w:p>
            <w:pPr>
              <w:spacing w:line="240" w:lineRule="auto"/>
              <w:jc w:val="right"/>
            </w:pPr>
            <w:r>
              <w:rPr>
                <w:rFonts w:ascii="宋体" w:hAnsi="宋体" w:eastAsia="宋体" w:cs="宋体"/>
                <w:b w:val="0"/>
              </w:rPr>
              <w:t>4,463,656.01</w:t>
            </w:r>
          </w:p>
        </w:tc>
        <w:tc>
          <w:tcPr>
            <w:tcW w:w="0" w:type="dxa"/>
            <w:vAlign w:val="center"/>
          </w:tcPr>
          <w:p>
            <w:pPr>
              <w:spacing w:line="240" w:lineRule="auto"/>
              <w:jc w:val="right"/>
            </w:pPr>
            <w:r>
              <w:rPr>
                <w:rFonts w:ascii="宋体" w:hAnsi="宋体" w:eastAsia="宋体" w:cs="宋体"/>
                <w:b w:val="0"/>
              </w:rPr>
              <w:t>7.34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其他资产</w:t>
            </w:r>
          </w:p>
        </w:tc>
        <w:tc>
          <w:tcPr>
            <w:tcW w:w="0" w:type="dxa"/>
            <w:vAlign w:val="center"/>
          </w:tcPr>
          <w:p>
            <w:pPr>
              <w:spacing w:line="240" w:lineRule="auto"/>
              <w:jc w:val="right"/>
            </w:pPr>
            <w:r>
              <w:rPr>
                <w:rFonts w:ascii="宋体" w:hAnsi="宋体" w:eastAsia="宋体" w:cs="宋体"/>
                <w:b w:val="0"/>
              </w:rPr>
              <w:t>291,239.67</w:t>
            </w:r>
          </w:p>
        </w:tc>
        <w:tc>
          <w:tcPr>
            <w:tcW w:w="0" w:type="dxa"/>
            <w:vAlign w:val="center"/>
          </w:tcPr>
          <w:p>
            <w:pPr>
              <w:spacing w:line="240" w:lineRule="auto"/>
              <w:jc w:val="right"/>
            </w:pPr>
            <w:r>
              <w:rPr>
                <w:rFonts w:ascii="宋体" w:hAnsi="宋体" w:eastAsia="宋体" w:cs="宋体"/>
                <w:b w:val="0"/>
              </w:rPr>
              <w:t>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60,812,908.84</w:t>
            </w:r>
          </w:p>
        </w:tc>
        <w:tc>
          <w:tcPr>
            <w:tcW w:w="0" w:type="dxa"/>
            <w:vAlign w:val="center"/>
          </w:tcPr>
          <w:p>
            <w:pPr>
              <w:spacing w:line="240" w:lineRule="auto"/>
              <w:jc w:val="right"/>
            </w:pPr>
            <w:r>
              <w:rPr>
                <w:rFonts w:ascii="宋体" w:hAnsi="宋体" w:eastAsia="宋体" w:cs="宋体"/>
                <w:b w:val="0"/>
              </w:rPr>
              <w:t>100.00</w:t>
            </w:r>
          </w:p>
        </w:tc>
      </w:tr>
    </w:tbl>
    <w:p>
      <w:r>
        <w:rPr>
          <w:rFonts w:ascii="宋体" w:hAnsi="宋体" w:eastAsia="宋体" w:cs="宋体"/>
          <w:b w:val="0"/>
        </w:rPr>
        <w:t>注：报告期末本基金通过港股通交易机制投资的港股公允价值合计25,685,733.37元，占基金资产净值的比例为42.65%。</w:t>
      </w:r>
    </w:p>
    <w:p/>
    <w:p>
      <w:pPr>
        <w:pStyle w:val="3"/>
        <w:jc w:val="left"/>
      </w:pPr>
      <w:r>
        <w:rPr>
          <w:rFonts w:ascii="宋体" w:hAnsi="宋体" w:eastAsia="宋体" w:cs="宋体"/>
        </w:rPr>
        <w:t>5.2 报告期末按行业分类的股票投资组合</w:t>
      </w:r>
    </w:p>
    <w:p>
      <w:pPr>
        <w:pStyle w:val="58"/>
      </w:pPr>
      <w:r>
        <w:rPr>
          <w:rStyle w:val="30"/>
          <w:rFonts w:ascii="宋体" w:hAnsi="宋体" w:eastAsia="宋体" w:cs="宋体"/>
          <w:b/>
        </w:rPr>
        <w:t>5.2.1 报告期末按行业分类的境内股票投资组合</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8"/>
        <w:gridCol w:w="3095"/>
        <w:gridCol w:w="1858"/>
        <w:gridCol w:w="3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代码</w:t>
            </w:r>
          </w:p>
        </w:tc>
        <w:tc>
          <w:tcPr>
            <w:tcW w:w="1538" w:type="pct"/>
            <w:shd w:val="clear" w:color="auto" w:fill="D9D9D9"/>
            <w:vAlign w:val="center"/>
          </w:tcPr>
          <w:p>
            <w:pPr>
              <w:spacing w:line="240" w:lineRule="auto"/>
              <w:jc w:val="center"/>
            </w:pPr>
            <w:r>
              <w:rPr>
                <w:rFonts w:ascii="宋体" w:hAnsi="宋体" w:eastAsia="宋体" w:cs="宋体"/>
                <w:b w:val="0"/>
              </w:rPr>
              <w:t>行业类别</w:t>
            </w:r>
          </w:p>
        </w:tc>
        <w:tc>
          <w:tcPr>
            <w:tcW w:w="923" w:type="pct"/>
            <w:shd w:val="clear" w:color="auto" w:fill="D9D9D9"/>
            <w:vAlign w:val="center"/>
          </w:tcPr>
          <w:p>
            <w:pPr>
              <w:spacing w:line="240" w:lineRule="auto"/>
              <w:jc w:val="center"/>
            </w:pPr>
            <w:r>
              <w:rPr>
                <w:rFonts w:ascii="宋体" w:hAnsi="宋体" w:eastAsia="宋体" w:cs="宋体"/>
                <w:b w:val="0"/>
              </w:rPr>
              <w:t>公允价值(元)</w:t>
            </w:r>
          </w:p>
        </w:tc>
        <w:tc>
          <w:tcPr>
            <w:tcW w:w="1538"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A</w:t>
            </w:r>
          </w:p>
        </w:tc>
        <w:tc>
          <w:tcPr>
            <w:tcW w:w="0" w:type="dxa"/>
            <w:vAlign w:val="center"/>
          </w:tcPr>
          <w:p>
            <w:pPr>
              <w:spacing w:line="240" w:lineRule="auto"/>
              <w:jc w:val="left"/>
            </w:pPr>
            <w:r>
              <w:rPr>
                <w:rFonts w:ascii="宋体" w:hAnsi="宋体" w:eastAsia="宋体" w:cs="宋体"/>
                <w:b w:val="0"/>
              </w:rPr>
              <w:t>农、林、牧、渔业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B</w:t>
            </w:r>
          </w:p>
        </w:tc>
        <w:tc>
          <w:tcPr>
            <w:tcW w:w="0" w:type="dxa"/>
            <w:vAlign w:val="center"/>
          </w:tcPr>
          <w:p>
            <w:pPr>
              <w:spacing w:line="240" w:lineRule="auto"/>
              <w:jc w:val="left"/>
            </w:pPr>
            <w:r>
              <w:rPr>
                <w:rFonts w:ascii="宋体" w:hAnsi="宋体" w:eastAsia="宋体" w:cs="宋体"/>
                <w:b w:val="0"/>
              </w:rPr>
              <w:t>采矿业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C</w:t>
            </w:r>
          </w:p>
        </w:tc>
        <w:tc>
          <w:tcPr>
            <w:tcW w:w="0" w:type="dxa"/>
            <w:vAlign w:val="center"/>
          </w:tcPr>
          <w:p>
            <w:pPr>
              <w:spacing w:line="240" w:lineRule="auto"/>
              <w:jc w:val="left"/>
            </w:pPr>
            <w:r>
              <w:rPr>
                <w:rFonts w:ascii="宋体" w:hAnsi="宋体" w:eastAsia="宋体" w:cs="宋体"/>
                <w:b w:val="0"/>
              </w:rPr>
              <w:t>制造业</w:t>
            </w:r>
          </w:p>
        </w:tc>
        <w:tc>
          <w:tcPr>
            <w:tcW w:w="0" w:type="dxa"/>
            <w:vAlign w:val="center"/>
          </w:tcPr>
          <w:p>
            <w:pPr>
              <w:spacing w:line="240" w:lineRule="auto"/>
              <w:jc w:val="right"/>
            </w:pPr>
            <w:r>
              <w:rPr>
                <w:rFonts w:ascii="宋体" w:hAnsi="宋体" w:eastAsia="宋体" w:cs="宋体"/>
                <w:b w:val="0"/>
              </w:rPr>
              <w:t>26,138,690.64</w:t>
            </w:r>
          </w:p>
        </w:tc>
        <w:tc>
          <w:tcPr>
            <w:tcW w:w="0" w:type="dxa"/>
            <w:vAlign w:val="center"/>
          </w:tcPr>
          <w:p>
            <w:pPr>
              <w:spacing w:line="240" w:lineRule="auto"/>
              <w:jc w:val="right"/>
            </w:pPr>
            <w:r>
              <w:rPr>
                <w:rFonts w:ascii="宋体" w:hAnsi="宋体" w:eastAsia="宋体" w:cs="宋体"/>
                <w:b w:val="0"/>
              </w:rPr>
              <w:t>43.41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D</w:t>
            </w:r>
          </w:p>
        </w:tc>
        <w:tc>
          <w:tcPr>
            <w:tcW w:w="0" w:type="dxa"/>
            <w:vAlign w:val="center"/>
          </w:tcPr>
          <w:p>
            <w:pPr>
              <w:spacing w:line="240" w:lineRule="auto"/>
              <w:jc w:val="left"/>
            </w:pPr>
            <w:r>
              <w:rPr>
                <w:rFonts w:ascii="宋体" w:hAnsi="宋体" w:eastAsia="宋体" w:cs="宋体"/>
                <w:b w:val="0"/>
              </w:rPr>
              <w:t>电力、热力、燃气及水生产和供应业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E</w:t>
            </w:r>
          </w:p>
        </w:tc>
        <w:tc>
          <w:tcPr>
            <w:tcW w:w="0" w:type="dxa"/>
            <w:vAlign w:val="center"/>
          </w:tcPr>
          <w:p>
            <w:pPr>
              <w:spacing w:line="240" w:lineRule="auto"/>
              <w:jc w:val="left"/>
            </w:pPr>
            <w:r>
              <w:rPr>
                <w:rFonts w:ascii="宋体" w:hAnsi="宋体" w:eastAsia="宋体" w:cs="宋体"/>
                <w:b w:val="0"/>
              </w:rPr>
              <w:t>建筑业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F</w:t>
            </w:r>
          </w:p>
        </w:tc>
        <w:tc>
          <w:tcPr>
            <w:tcW w:w="0" w:type="dxa"/>
            <w:vAlign w:val="center"/>
          </w:tcPr>
          <w:p>
            <w:pPr>
              <w:spacing w:line="240" w:lineRule="auto"/>
              <w:jc w:val="left"/>
            </w:pPr>
            <w:r>
              <w:rPr>
                <w:rFonts w:ascii="宋体" w:hAnsi="宋体" w:eastAsia="宋体" w:cs="宋体"/>
                <w:b w:val="0"/>
              </w:rPr>
              <w:t>批发和零售业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G</w:t>
            </w:r>
          </w:p>
        </w:tc>
        <w:tc>
          <w:tcPr>
            <w:tcW w:w="0" w:type="dxa"/>
            <w:vAlign w:val="center"/>
          </w:tcPr>
          <w:p>
            <w:pPr>
              <w:spacing w:line="240" w:lineRule="auto"/>
              <w:jc w:val="left"/>
            </w:pPr>
            <w:r>
              <w:rPr>
                <w:rFonts w:ascii="宋体" w:hAnsi="宋体" w:eastAsia="宋体" w:cs="宋体"/>
                <w:b w:val="0"/>
              </w:rPr>
              <w:t>交通运输、仓储和邮政业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H</w:t>
            </w:r>
          </w:p>
        </w:tc>
        <w:tc>
          <w:tcPr>
            <w:tcW w:w="0" w:type="dxa"/>
            <w:vAlign w:val="center"/>
          </w:tcPr>
          <w:p>
            <w:pPr>
              <w:spacing w:line="240" w:lineRule="auto"/>
              <w:jc w:val="left"/>
            </w:pPr>
            <w:r>
              <w:rPr>
                <w:rFonts w:ascii="宋体" w:hAnsi="宋体" w:eastAsia="宋体" w:cs="宋体"/>
                <w:b w:val="0"/>
              </w:rPr>
              <w:t>住宿和餐饮业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I</w:t>
            </w:r>
          </w:p>
        </w:tc>
        <w:tc>
          <w:tcPr>
            <w:tcW w:w="0" w:type="dxa"/>
            <w:vAlign w:val="center"/>
          </w:tcPr>
          <w:p>
            <w:pPr>
              <w:spacing w:line="240" w:lineRule="auto"/>
              <w:jc w:val="left"/>
            </w:pPr>
            <w:r>
              <w:rPr>
                <w:rFonts w:ascii="宋体" w:hAnsi="宋体" w:eastAsia="宋体" w:cs="宋体"/>
                <w:b w:val="0"/>
              </w:rPr>
              <w:t>信息传输、软件和信息技术服务业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J</w:t>
            </w:r>
          </w:p>
        </w:tc>
        <w:tc>
          <w:tcPr>
            <w:tcW w:w="0" w:type="dxa"/>
            <w:vAlign w:val="center"/>
          </w:tcPr>
          <w:p>
            <w:pPr>
              <w:spacing w:line="240" w:lineRule="auto"/>
              <w:jc w:val="left"/>
            </w:pPr>
            <w:r>
              <w:rPr>
                <w:rFonts w:ascii="宋体" w:hAnsi="宋体" w:eastAsia="宋体" w:cs="宋体"/>
                <w:b w:val="0"/>
              </w:rPr>
              <w:t>金融业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K</w:t>
            </w:r>
          </w:p>
        </w:tc>
        <w:tc>
          <w:tcPr>
            <w:tcW w:w="0" w:type="dxa"/>
            <w:vAlign w:val="center"/>
          </w:tcPr>
          <w:p>
            <w:pPr>
              <w:spacing w:line="240" w:lineRule="auto"/>
              <w:jc w:val="left"/>
            </w:pPr>
            <w:r>
              <w:rPr>
                <w:rFonts w:ascii="宋体" w:hAnsi="宋体" w:eastAsia="宋体" w:cs="宋体"/>
                <w:b w:val="0"/>
              </w:rPr>
              <w:t>房地产业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L</w:t>
            </w:r>
          </w:p>
        </w:tc>
        <w:tc>
          <w:tcPr>
            <w:tcW w:w="0" w:type="dxa"/>
            <w:vAlign w:val="center"/>
          </w:tcPr>
          <w:p>
            <w:pPr>
              <w:spacing w:line="240" w:lineRule="auto"/>
              <w:jc w:val="left"/>
            </w:pPr>
            <w:r>
              <w:rPr>
                <w:rFonts w:ascii="宋体" w:hAnsi="宋体" w:eastAsia="宋体" w:cs="宋体"/>
                <w:b w:val="0"/>
              </w:rPr>
              <w:t>租赁和商务服务业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M</w:t>
            </w:r>
          </w:p>
        </w:tc>
        <w:tc>
          <w:tcPr>
            <w:tcW w:w="0" w:type="dxa"/>
            <w:vAlign w:val="center"/>
          </w:tcPr>
          <w:p>
            <w:pPr>
              <w:spacing w:line="240" w:lineRule="auto"/>
              <w:jc w:val="left"/>
            </w:pPr>
            <w:r>
              <w:rPr>
                <w:rFonts w:ascii="宋体" w:hAnsi="宋体" w:eastAsia="宋体" w:cs="宋体"/>
                <w:b w:val="0"/>
              </w:rPr>
              <w:t>科学研究和技术服务业</w:t>
            </w:r>
          </w:p>
        </w:tc>
        <w:tc>
          <w:tcPr>
            <w:tcW w:w="0" w:type="dxa"/>
            <w:vAlign w:val="center"/>
          </w:tcPr>
          <w:p>
            <w:pPr>
              <w:spacing w:line="240" w:lineRule="auto"/>
              <w:jc w:val="right"/>
            </w:pPr>
            <w:r>
              <w:rPr>
                <w:rFonts w:ascii="宋体" w:hAnsi="宋体" w:eastAsia="宋体" w:cs="宋体"/>
                <w:b w:val="0"/>
              </w:rPr>
              <w:t>602,424.00</w:t>
            </w:r>
          </w:p>
        </w:tc>
        <w:tc>
          <w:tcPr>
            <w:tcW w:w="0" w:type="dxa"/>
            <w:vAlign w:val="center"/>
          </w:tcPr>
          <w:p>
            <w:pPr>
              <w:spacing w:line="240" w:lineRule="auto"/>
              <w:jc w:val="right"/>
            </w:pPr>
            <w:r>
              <w:rPr>
                <w:rFonts w:ascii="宋体" w:hAnsi="宋体" w:eastAsia="宋体" w:cs="宋体"/>
                <w:b w:val="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N</w:t>
            </w:r>
          </w:p>
        </w:tc>
        <w:tc>
          <w:tcPr>
            <w:tcW w:w="0" w:type="dxa"/>
            <w:vAlign w:val="center"/>
          </w:tcPr>
          <w:p>
            <w:pPr>
              <w:spacing w:line="240" w:lineRule="auto"/>
              <w:jc w:val="left"/>
            </w:pPr>
            <w:r>
              <w:rPr>
                <w:rFonts w:ascii="宋体" w:hAnsi="宋体" w:eastAsia="宋体" w:cs="宋体"/>
                <w:b w:val="0"/>
              </w:rPr>
              <w:t>水利、环境和公共设施管理业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O</w:t>
            </w:r>
          </w:p>
        </w:tc>
        <w:tc>
          <w:tcPr>
            <w:tcW w:w="0" w:type="dxa"/>
            <w:vAlign w:val="center"/>
          </w:tcPr>
          <w:p>
            <w:pPr>
              <w:spacing w:line="240" w:lineRule="auto"/>
              <w:jc w:val="left"/>
            </w:pPr>
            <w:r>
              <w:rPr>
                <w:rFonts w:ascii="宋体" w:hAnsi="宋体" w:eastAsia="宋体" w:cs="宋体"/>
                <w:b w:val="0"/>
              </w:rPr>
              <w:t>居民服务、修理和其他服务业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P</w:t>
            </w:r>
          </w:p>
        </w:tc>
        <w:tc>
          <w:tcPr>
            <w:tcW w:w="0" w:type="dxa"/>
            <w:vAlign w:val="center"/>
          </w:tcPr>
          <w:p>
            <w:pPr>
              <w:spacing w:line="240" w:lineRule="auto"/>
              <w:jc w:val="left"/>
            </w:pPr>
            <w:r>
              <w:rPr>
                <w:rFonts w:ascii="宋体" w:hAnsi="宋体" w:eastAsia="宋体" w:cs="宋体"/>
                <w:b w:val="0"/>
              </w:rPr>
              <w:t>教育</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Q</w:t>
            </w:r>
          </w:p>
        </w:tc>
        <w:tc>
          <w:tcPr>
            <w:tcW w:w="0" w:type="dxa"/>
            <w:vAlign w:val="center"/>
          </w:tcPr>
          <w:p>
            <w:pPr>
              <w:spacing w:line="240" w:lineRule="auto"/>
              <w:jc w:val="left"/>
            </w:pPr>
            <w:r>
              <w:rPr>
                <w:rFonts w:ascii="宋体" w:hAnsi="宋体" w:eastAsia="宋体" w:cs="宋体"/>
                <w:b w:val="0"/>
              </w:rPr>
              <w:t>卫生和社会工作</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R</w:t>
            </w:r>
          </w:p>
        </w:tc>
        <w:tc>
          <w:tcPr>
            <w:tcW w:w="0" w:type="dxa"/>
            <w:vAlign w:val="center"/>
          </w:tcPr>
          <w:p>
            <w:pPr>
              <w:spacing w:line="240" w:lineRule="auto"/>
              <w:jc w:val="left"/>
            </w:pPr>
            <w:r>
              <w:rPr>
                <w:rFonts w:ascii="宋体" w:hAnsi="宋体" w:eastAsia="宋体" w:cs="宋体"/>
                <w:b w:val="0"/>
              </w:rPr>
              <w:t>文化、体育和娱乐业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S</w:t>
            </w:r>
          </w:p>
        </w:tc>
        <w:tc>
          <w:tcPr>
            <w:tcW w:w="0" w:type="dxa"/>
            <w:vAlign w:val="center"/>
          </w:tcPr>
          <w:p>
            <w:pPr>
              <w:spacing w:line="240" w:lineRule="auto"/>
              <w:jc w:val="left"/>
            </w:pPr>
            <w:r>
              <w:rPr>
                <w:rFonts w:ascii="宋体" w:hAnsi="宋体" w:eastAsia="宋体" w:cs="宋体"/>
                <w:b w:val="0"/>
              </w:rPr>
              <w:t>综合</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26,741,114.64</w:t>
            </w:r>
          </w:p>
        </w:tc>
        <w:tc>
          <w:tcPr>
            <w:tcW w:w="0" w:type="dxa"/>
            <w:vAlign w:val="center"/>
          </w:tcPr>
          <w:p>
            <w:pPr>
              <w:spacing w:line="240" w:lineRule="auto"/>
              <w:jc w:val="right"/>
            </w:pPr>
            <w:r>
              <w:rPr>
                <w:rFonts w:ascii="宋体" w:hAnsi="宋体" w:eastAsia="宋体" w:cs="宋体"/>
                <w:b w:val="0"/>
              </w:rPr>
              <w:t>44.41</w:t>
            </w:r>
          </w:p>
        </w:tc>
      </w:tr>
    </w:tbl>
    <w:p/>
    <w:p>
      <w:pPr>
        <w:pStyle w:val="58"/>
      </w:pPr>
      <w:r>
        <w:rPr>
          <w:rStyle w:val="30"/>
          <w:rFonts w:ascii="宋体" w:hAnsi="宋体" w:eastAsia="宋体" w:cs="宋体"/>
          <w:b/>
        </w:rPr>
        <w:t>5.2.2 报告期末按行业分类的港股通投资股票投资组合</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3095"/>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pPr>
              <w:spacing w:line="240" w:lineRule="auto"/>
              <w:jc w:val="center"/>
            </w:pPr>
            <w:r>
              <w:rPr>
                <w:rFonts w:ascii="宋体" w:hAnsi="宋体" w:eastAsia="宋体" w:cs="宋体"/>
                <w:b w:val="0"/>
              </w:rPr>
              <w:t>行业类别</w:t>
            </w:r>
          </w:p>
        </w:tc>
        <w:tc>
          <w:tcPr>
            <w:tcW w:w="1538" w:type="pct"/>
            <w:shd w:val="clear" w:color="auto" w:fill="D9D9D9"/>
            <w:vAlign w:val="center"/>
          </w:tcPr>
          <w:p>
            <w:pPr>
              <w:spacing w:line="240" w:lineRule="auto"/>
              <w:jc w:val="center"/>
            </w:pPr>
            <w:r>
              <w:rPr>
                <w:rFonts w:ascii="宋体" w:hAnsi="宋体" w:eastAsia="宋体" w:cs="宋体"/>
                <w:b w:val="0"/>
              </w:rPr>
              <w:t>公允价值（人民币）</w:t>
            </w:r>
          </w:p>
        </w:tc>
        <w:tc>
          <w:tcPr>
            <w:tcW w:w="1538"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医疗保健</w:t>
            </w:r>
          </w:p>
        </w:tc>
        <w:tc>
          <w:tcPr>
            <w:tcW w:w="0" w:type="dxa"/>
            <w:vAlign w:val="center"/>
          </w:tcPr>
          <w:p>
            <w:pPr>
              <w:spacing w:line="240" w:lineRule="auto"/>
              <w:jc w:val="right"/>
            </w:pPr>
            <w:r>
              <w:rPr>
                <w:rFonts w:ascii="宋体" w:hAnsi="宋体" w:eastAsia="宋体" w:cs="宋体"/>
                <w:b w:val="0"/>
              </w:rPr>
              <w:t>25,685,733.37</w:t>
            </w:r>
          </w:p>
        </w:tc>
        <w:tc>
          <w:tcPr>
            <w:tcW w:w="0" w:type="dxa"/>
            <w:vAlign w:val="center"/>
          </w:tcPr>
          <w:p>
            <w:pPr>
              <w:spacing w:line="240" w:lineRule="auto"/>
              <w:jc w:val="right"/>
            </w:pPr>
            <w:r>
              <w:rPr>
                <w:rFonts w:ascii="宋体" w:hAnsi="宋体" w:eastAsia="宋体" w:cs="宋体"/>
                <w:b w:val="0"/>
              </w:rPr>
              <w:t>42.65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25,685,733.37</w:t>
            </w:r>
          </w:p>
        </w:tc>
        <w:tc>
          <w:tcPr>
            <w:tcW w:w="0" w:type="dxa"/>
            <w:vAlign w:val="center"/>
          </w:tcPr>
          <w:p>
            <w:pPr>
              <w:spacing w:line="240" w:lineRule="auto"/>
              <w:jc w:val="right"/>
            </w:pPr>
            <w:r>
              <w:rPr>
                <w:rFonts w:ascii="宋体" w:hAnsi="宋体" w:eastAsia="宋体" w:cs="宋体"/>
                <w:b w:val="0"/>
              </w:rPr>
              <w:t>42.65</w:t>
            </w:r>
          </w:p>
        </w:tc>
      </w:tr>
    </w:tbl>
    <w:p/>
    <w:p>
      <w:pPr>
        <w:pStyle w:val="3"/>
        <w:jc w:val="left"/>
      </w:pPr>
      <w:r>
        <w:rPr>
          <w:rFonts w:ascii="宋体" w:hAnsi="宋体" w:eastAsia="宋体" w:cs="宋体"/>
        </w:rPr>
        <w:t>5.3 报告期末按公允价值占基金资产净值比例大小排序的前十名股票投资明细</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1547"/>
        <w:gridCol w:w="1548"/>
        <w:gridCol w:w="1238"/>
        <w:gridCol w:w="1858"/>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769" w:type="pct"/>
            <w:shd w:val="clear" w:color="auto" w:fill="D9D9D9"/>
            <w:vAlign w:val="center"/>
          </w:tcPr>
          <w:p>
            <w:pPr>
              <w:spacing w:line="240" w:lineRule="auto"/>
              <w:jc w:val="center"/>
            </w:pPr>
            <w:r>
              <w:rPr>
                <w:rFonts w:ascii="宋体" w:hAnsi="宋体" w:eastAsia="宋体" w:cs="宋体"/>
                <w:b w:val="0"/>
              </w:rPr>
              <w:t>股票代码</w:t>
            </w:r>
          </w:p>
        </w:tc>
        <w:tc>
          <w:tcPr>
            <w:tcW w:w="769" w:type="pct"/>
            <w:shd w:val="clear" w:color="auto" w:fill="D9D9D9"/>
            <w:vAlign w:val="center"/>
          </w:tcPr>
          <w:p>
            <w:pPr>
              <w:spacing w:line="240" w:lineRule="auto"/>
              <w:jc w:val="center"/>
            </w:pPr>
            <w:r>
              <w:rPr>
                <w:rFonts w:ascii="宋体" w:hAnsi="宋体" w:eastAsia="宋体" w:cs="宋体"/>
                <w:b w:val="0"/>
              </w:rPr>
              <w:t>股票名称</w:t>
            </w:r>
          </w:p>
        </w:tc>
        <w:tc>
          <w:tcPr>
            <w:tcW w:w="615" w:type="pct"/>
            <w:shd w:val="clear" w:color="auto" w:fill="D9D9D9"/>
            <w:vAlign w:val="center"/>
          </w:tcPr>
          <w:p>
            <w:pPr>
              <w:spacing w:line="240" w:lineRule="auto"/>
              <w:jc w:val="center"/>
            </w:pPr>
            <w:r>
              <w:rPr>
                <w:rFonts w:ascii="宋体" w:hAnsi="宋体" w:eastAsia="宋体" w:cs="宋体"/>
                <w:b w:val="0"/>
              </w:rPr>
              <w:t>数量(股)</w:t>
            </w:r>
          </w:p>
        </w:tc>
        <w:tc>
          <w:tcPr>
            <w:tcW w:w="923" w:type="pct"/>
            <w:shd w:val="clear" w:color="auto" w:fill="D9D9D9"/>
            <w:vAlign w:val="center"/>
          </w:tcPr>
          <w:p>
            <w:pPr>
              <w:spacing w:line="240" w:lineRule="auto"/>
              <w:jc w:val="center"/>
            </w:pPr>
            <w:r>
              <w:rPr>
                <w:rFonts w:ascii="宋体" w:hAnsi="宋体" w:eastAsia="宋体" w:cs="宋体"/>
                <w:b w:val="0"/>
              </w:rPr>
              <w:t>公允价值(元)</w:t>
            </w:r>
          </w:p>
        </w:tc>
        <w:tc>
          <w:tcPr>
            <w:tcW w:w="923"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03692</w:t>
            </w:r>
          </w:p>
        </w:tc>
        <w:tc>
          <w:tcPr>
            <w:tcW w:w="0" w:type="dxa"/>
            <w:vAlign w:val="center"/>
          </w:tcPr>
          <w:p>
            <w:pPr>
              <w:spacing w:line="240" w:lineRule="auto"/>
              <w:jc w:val="left"/>
            </w:pPr>
            <w:r>
              <w:rPr>
                <w:rFonts w:ascii="宋体" w:hAnsi="宋体" w:eastAsia="宋体" w:cs="宋体"/>
                <w:b w:val="0"/>
              </w:rPr>
              <w:t>翰森制药</w:t>
            </w:r>
          </w:p>
        </w:tc>
        <w:tc>
          <w:tcPr>
            <w:tcW w:w="0" w:type="dxa"/>
            <w:vAlign w:val="center"/>
          </w:tcPr>
          <w:p>
            <w:pPr>
              <w:spacing w:line="240" w:lineRule="auto"/>
              <w:jc w:val="right"/>
            </w:pPr>
            <w:r>
              <w:rPr>
                <w:rFonts w:ascii="宋体" w:hAnsi="宋体" w:eastAsia="宋体" w:cs="宋体"/>
                <w:b w:val="0"/>
              </w:rPr>
              <w:t>176,000</w:t>
            </w:r>
          </w:p>
        </w:tc>
        <w:tc>
          <w:tcPr>
            <w:tcW w:w="0" w:type="dxa"/>
            <w:vAlign w:val="center"/>
          </w:tcPr>
          <w:p>
            <w:pPr>
              <w:spacing w:line="240" w:lineRule="auto"/>
              <w:jc w:val="right"/>
            </w:pPr>
            <w:r>
              <w:rPr>
                <w:rFonts w:ascii="宋体" w:hAnsi="宋体" w:eastAsia="宋体" w:cs="宋体"/>
                <w:b w:val="0"/>
              </w:rPr>
              <w:t>5,333,191.78</w:t>
            </w:r>
          </w:p>
        </w:tc>
        <w:tc>
          <w:tcPr>
            <w:tcW w:w="0" w:type="dxa"/>
            <w:vAlign w:val="center"/>
          </w:tcPr>
          <w:p>
            <w:pPr>
              <w:spacing w:line="240" w:lineRule="auto"/>
              <w:jc w:val="right"/>
            </w:pPr>
            <w:r>
              <w:rPr>
                <w:rFonts w:ascii="宋体" w:hAnsi="宋体" w:eastAsia="宋体" w:cs="宋体"/>
                <w:b w:val="0"/>
              </w:rPr>
              <w:t>8.86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02096</w:t>
            </w:r>
          </w:p>
        </w:tc>
        <w:tc>
          <w:tcPr>
            <w:tcW w:w="0" w:type="dxa"/>
            <w:vAlign w:val="center"/>
          </w:tcPr>
          <w:p>
            <w:pPr>
              <w:spacing w:line="240" w:lineRule="auto"/>
              <w:jc w:val="left"/>
            </w:pPr>
            <w:r>
              <w:rPr>
                <w:rFonts w:ascii="宋体" w:hAnsi="宋体" w:eastAsia="宋体" w:cs="宋体"/>
                <w:b w:val="0"/>
              </w:rPr>
              <w:t>先声药业</w:t>
            </w:r>
          </w:p>
        </w:tc>
        <w:tc>
          <w:tcPr>
            <w:tcW w:w="0" w:type="dxa"/>
            <w:vAlign w:val="center"/>
          </w:tcPr>
          <w:p>
            <w:pPr>
              <w:spacing w:line="240" w:lineRule="auto"/>
              <w:jc w:val="right"/>
            </w:pPr>
            <w:r>
              <w:rPr>
                <w:rFonts w:ascii="宋体" w:hAnsi="宋体" w:eastAsia="宋体" w:cs="宋体"/>
                <w:b w:val="0"/>
              </w:rPr>
              <w:t>389,000</w:t>
            </w:r>
          </w:p>
        </w:tc>
        <w:tc>
          <w:tcPr>
            <w:tcW w:w="0" w:type="dxa"/>
            <w:vAlign w:val="center"/>
          </w:tcPr>
          <w:p>
            <w:pPr>
              <w:spacing w:line="240" w:lineRule="auto"/>
              <w:jc w:val="right"/>
            </w:pPr>
            <w:r>
              <w:rPr>
                <w:rFonts w:ascii="宋体" w:hAnsi="宋体" w:eastAsia="宋体" w:cs="宋体"/>
                <w:b w:val="0"/>
              </w:rPr>
              <w:t>3,957,015.75</w:t>
            </w:r>
          </w:p>
        </w:tc>
        <w:tc>
          <w:tcPr>
            <w:tcW w:w="0" w:type="dxa"/>
            <w:vAlign w:val="center"/>
          </w:tcPr>
          <w:p>
            <w:pPr>
              <w:spacing w:line="240" w:lineRule="auto"/>
              <w:jc w:val="right"/>
            </w:pPr>
            <w:r>
              <w:rPr>
                <w:rFonts w:ascii="宋体" w:hAnsi="宋体" w:eastAsia="宋体" w:cs="宋体"/>
                <w:b w:val="0"/>
              </w:rPr>
              <w:t>6.57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002317</w:t>
            </w:r>
          </w:p>
        </w:tc>
        <w:tc>
          <w:tcPr>
            <w:tcW w:w="0" w:type="dxa"/>
            <w:vAlign w:val="center"/>
          </w:tcPr>
          <w:p>
            <w:pPr>
              <w:spacing w:line="240" w:lineRule="auto"/>
              <w:jc w:val="left"/>
            </w:pPr>
            <w:r>
              <w:rPr>
                <w:rFonts w:ascii="宋体" w:hAnsi="宋体" w:eastAsia="宋体" w:cs="宋体"/>
                <w:b w:val="0"/>
              </w:rPr>
              <w:t>众生药业</w:t>
            </w:r>
          </w:p>
        </w:tc>
        <w:tc>
          <w:tcPr>
            <w:tcW w:w="0" w:type="dxa"/>
            <w:vAlign w:val="center"/>
          </w:tcPr>
          <w:p>
            <w:pPr>
              <w:spacing w:line="240" w:lineRule="auto"/>
              <w:jc w:val="right"/>
            </w:pPr>
            <w:r>
              <w:rPr>
                <w:rFonts w:ascii="宋体" w:hAnsi="宋体" w:eastAsia="宋体" w:cs="宋体"/>
                <w:b w:val="0"/>
              </w:rPr>
              <w:t>164,300</w:t>
            </w:r>
          </w:p>
        </w:tc>
        <w:tc>
          <w:tcPr>
            <w:tcW w:w="0" w:type="dxa"/>
            <w:vAlign w:val="center"/>
          </w:tcPr>
          <w:p>
            <w:pPr>
              <w:spacing w:line="240" w:lineRule="auto"/>
              <w:jc w:val="right"/>
            </w:pPr>
            <w:r>
              <w:rPr>
                <w:rFonts w:ascii="宋体" w:hAnsi="宋体" w:eastAsia="宋体" w:cs="宋体"/>
                <w:b w:val="0"/>
              </w:rPr>
              <w:t>3,948,129.00</w:t>
            </w:r>
          </w:p>
        </w:tc>
        <w:tc>
          <w:tcPr>
            <w:tcW w:w="0" w:type="dxa"/>
            <w:vAlign w:val="center"/>
          </w:tcPr>
          <w:p>
            <w:pPr>
              <w:spacing w:line="240" w:lineRule="auto"/>
              <w:jc w:val="right"/>
            </w:pPr>
            <w:r>
              <w:rPr>
                <w:rFonts w:ascii="宋体" w:hAnsi="宋体" w:eastAsia="宋体" w:cs="宋体"/>
                <w:b w:val="0"/>
              </w:rPr>
              <w:t>6.56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002653</w:t>
            </w:r>
          </w:p>
        </w:tc>
        <w:tc>
          <w:tcPr>
            <w:tcW w:w="0" w:type="dxa"/>
            <w:vAlign w:val="center"/>
          </w:tcPr>
          <w:p>
            <w:pPr>
              <w:spacing w:line="240" w:lineRule="auto"/>
              <w:jc w:val="left"/>
            </w:pPr>
            <w:r>
              <w:rPr>
                <w:rFonts w:ascii="宋体" w:hAnsi="宋体" w:eastAsia="宋体" w:cs="宋体"/>
                <w:b w:val="0"/>
              </w:rPr>
              <w:t>海思科</w:t>
            </w:r>
          </w:p>
        </w:tc>
        <w:tc>
          <w:tcPr>
            <w:tcW w:w="0" w:type="dxa"/>
            <w:vAlign w:val="center"/>
          </w:tcPr>
          <w:p>
            <w:pPr>
              <w:spacing w:line="240" w:lineRule="auto"/>
              <w:jc w:val="right"/>
            </w:pPr>
            <w:r>
              <w:rPr>
                <w:rFonts w:ascii="宋体" w:hAnsi="宋体" w:eastAsia="宋体" w:cs="宋体"/>
                <w:b w:val="0"/>
              </w:rPr>
              <w:t>62,500</w:t>
            </w:r>
          </w:p>
        </w:tc>
        <w:tc>
          <w:tcPr>
            <w:tcW w:w="0" w:type="dxa"/>
            <w:vAlign w:val="center"/>
          </w:tcPr>
          <w:p>
            <w:pPr>
              <w:spacing w:line="240" w:lineRule="auto"/>
              <w:jc w:val="right"/>
            </w:pPr>
            <w:r>
              <w:rPr>
                <w:rFonts w:ascii="宋体" w:hAnsi="宋体" w:eastAsia="宋体" w:cs="宋体"/>
                <w:b w:val="0"/>
              </w:rPr>
              <w:t>3,886,250.00</w:t>
            </w:r>
          </w:p>
        </w:tc>
        <w:tc>
          <w:tcPr>
            <w:tcW w:w="0" w:type="dxa"/>
            <w:vAlign w:val="center"/>
          </w:tcPr>
          <w:p>
            <w:pPr>
              <w:spacing w:line="240" w:lineRule="auto"/>
              <w:jc w:val="right"/>
            </w:pPr>
            <w:r>
              <w:rPr>
                <w:rFonts w:ascii="宋体" w:hAnsi="宋体" w:eastAsia="宋体" w:cs="宋体"/>
                <w:b w:val="0"/>
              </w:rPr>
              <w:t>6.45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01530</w:t>
            </w:r>
          </w:p>
        </w:tc>
        <w:tc>
          <w:tcPr>
            <w:tcW w:w="0" w:type="dxa"/>
            <w:vAlign w:val="center"/>
          </w:tcPr>
          <w:p>
            <w:pPr>
              <w:spacing w:line="240" w:lineRule="auto"/>
              <w:jc w:val="left"/>
            </w:pPr>
            <w:r>
              <w:rPr>
                <w:rFonts w:ascii="宋体" w:hAnsi="宋体" w:eastAsia="宋体" w:cs="宋体"/>
                <w:b w:val="0"/>
              </w:rPr>
              <w:t>三生制药</w:t>
            </w:r>
          </w:p>
        </w:tc>
        <w:tc>
          <w:tcPr>
            <w:tcW w:w="0" w:type="dxa"/>
            <w:vAlign w:val="center"/>
          </w:tcPr>
          <w:p>
            <w:pPr>
              <w:spacing w:line="240" w:lineRule="auto"/>
              <w:jc w:val="right"/>
            </w:pPr>
            <w:r>
              <w:rPr>
                <w:rFonts w:ascii="宋体" w:hAnsi="宋体" w:eastAsia="宋体" w:cs="宋体"/>
                <w:b w:val="0"/>
              </w:rPr>
              <w:t>273,000</w:t>
            </w:r>
          </w:p>
        </w:tc>
        <w:tc>
          <w:tcPr>
            <w:tcW w:w="0" w:type="dxa"/>
            <w:vAlign w:val="center"/>
          </w:tcPr>
          <w:p>
            <w:pPr>
              <w:spacing w:line="240" w:lineRule="auto"/>
              <w:jc w:val="right"/>
            </w:pPr>
            <w:r>
              <w:rPr>
                <w:rFonts w:ascii="宋体" w:hAnsi="宋体" w:eastAsia="宋体" w:cs="宋体"/>
                <w:b w:val="0"/>
              </w:rPr>
              <w:t>3,883,157.30</w:t>
            </w:r>
          </w:p>
        </w:tc>
        <w:tc>
          <w:tcPr>
            <w:tcW w:w="0" w:type="dxa"/>
            <w:vAlign w:val="center"/>
          </w:tcPr>
          <w:p>
            <w:pPr>
              <w:spacing w:line="240" w:lineRule="auto"/>
              <w:jc w:val="right"/>
            </w:pPr>
            <w:r>
              <w:rPr>
                <w:rFonts w:ascii="宋体" w:hAnsi="宋体" w:eastAsia="宋体" w:cs="宋体"/>
                <w:b w:val="0"/>
              </w:rPr>
              <w:t>6.45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688428</w:t>
            </w:r>
          </w:p>
        </w:tc>
        <w:tc>
          <w:tcPr>
            <w:tcW w:w="0" w:type="dxa"/>
            <w:vAlign w:val="center"/>
          </w:tcPr>
          <w:p>
            <w:pPr>
              <w:spacing w:line="240" w:lineRule="auto"/>
              <w:jc w:val="left"/>
            </w:pPr>
            <w:r>
              <w:rPr>
                <w:rFonts w:ascii="宋体" w:hAnsi="宋体" w:eastAsia="宋体" w:cs="宋体"/>
                <w:b w:val="0"/>
              </w:rPr>
              <w:t>诺诚健华</w:t>
            </w:r>
          </w:p>
        </w:tc>
        <w:tc>
          <w:tcPr>
            <w:tcW w:w="0" w:type="dxa"/>
            <w:vAlign w:val="center"/>
          </w:tcPr>
          <w:p>
            <w:pPr>
              <w:spacing w:line="240" w:lineRule="auto"/>
              <w:jc w:val="right"/>
            </w:pPr>
            <w:r>
              <w:rPr>
                <w:rFonts w:ascii="宋体" w:hAnsi="宋体" w:eastAsia="宋体" w:cs="宋体"/>
                <w:b w:val="0"/>
              </w:rPr>
              <w:t>133,006</w:t>
            </w:r>
          </w:p>
        </w:tc>
        <w:tc>
          <w:tcPr>
            <w:tcW w:w="0" w:type="dxa"/>
            <w:vAlign w:val="center"/>
          </w:tcPr>
          <w:p>
            <w:pPr>
              <w:spacing w:line="240" w:lineRule="auto"/>
              <w:jc w:val="right"/>
            </w:pPr>
            <w:r>
              <w:rPr>
                <w:rFonts w:ascii="宋体" w:hAnsi="宋体" w:eastAsia="宋体" w:cs="宋体"/>
                <w:b w:val="0"/>
              </w:rPr>
              <w:t>3,871,804.66</w:t>
            </w:r>
          </w:p>
        </w:tc>
        <w:tc>
          <w:tcPr>
            <w:tcW w:w="0" w:type="dxa"/>
            <w:vAlign w:val="center"/>
          </w:tcPr>
          <w:p>
            <w:pPr>
              <w:spacing w:line="240" w:lineRule="auto"/>
              <w:jc w:val="right"/>
            </w:pPr>
            <w:r>
              <w:rPr>
                <w:rFonts w:ascii="宋体" w:hAnsi="宋体" w:eastAsia="宋体" w:cs="宋体"/>
                <w:b w:val="0"/>
              </w:rPr>
              <w:t>6.43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06990</w:t>
            </w:r>
          </w:p>
        </w:tc>
        <w:tc>
          <w:tcPr>
            <w:tcW w:w="0" w:type="dxa"/>
            <w:vAlign w:val="center"/>
          </w:tcPr>
          <w:p>
            <w:pPr>
              <w:spacing w:line="240" w:lineRule="auto"/>
              <w:jc w:val="left"/>
            </w:pPr>
            <w:r>
              <w:rPr>
                <w:rFonts w:ascii="宋体" w:hAnsi="宋体" w:eastAsia="宋体" w:cs="宋体"/>
                <w:b w:val="0"/>
              </w:rPr>
              <w:t>科伦博泰生物</w:t>
            </w:r>
          </w:p>
        </w:tc>
        <w:tc>
          <w:tcPr>
            <w:tcW w:w="0" w:type="dxa"/>
            <w:vAlign w:val="center"/>
          </w:tcPr>
          <w:p>
            <w:pPr>
              <w:spacing w:line="240" w:lineRule="auto"/>
              <w:jc w:val="right"/>
            </w:pPr>
            <w:r>
              <w:rPr>
                <w:rFonts w:ascii="宋体" w:hAnsi="宋体" w:eastAsia="宋体" w:cs="宋体"/>
                <w:b w:val="0"/>
              </w:rPr>
              <w:t>8,500</w:t>
            </w:r>
          </w:p>
        </w:tc>
        <w:tc>
          <w:tcPr>
            <w:tcW w:w="0" w:type="dxa"/>
            <w:vAlign w:val="center"/>
          </w:tcPr>
          <w:p>
            <w:pPr>
              <w:spacing w:line="240" w:lineRule="auto"/>
              <w:jc w:val="right"/>
            </w:pPr>
            <w:r>
              <w:rPr>
                <w:rFonts w:ascii="宋体" w:hAnsi="宋体" w:eastAsia="宋体" w:cs="宋体"/>
                <w:b w:val="0"/>
              </w:rPr>
              <w:t>3,553,429.59</w:t>
            </w:r>
          </w:p>
        </w:tc>
        <w:tc>
          <w:tcPr>
            <w:tcW w:w="0" w:type="dxa"/>
            <w:vAlign w:val="center"/>
          </w:tcPr>
          <w:p>
            <w:pPr>
              <w:spacing w:line="240" w:lineRule="auto"/>
              <w:jc w:val="right"/>
            </w:pPr>
            <w:r>
              <w:rPr>
                <w:rFonts w:ascii="宋体" w:hAnsi="宋体" w:eastAsia="宋体" w:cs="宋体"/>
                <w:b w:val="0"/>
              </w:rPr>
              <w:t>5.90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688192</w:t>
            </w:r>
          </w:p>
        </w:tc>
        <w:tc>
          <w:tcPr>
            <w:tcW w:w="0" w:type="dxa"/>
            <w:vAlign w:val="center"/>
          </w:tcPr>
          <w:p>
            <w:pPr>
              <w:spacing w:line="240" w:lineRule="auto"/>
              <w:jc w:val="left"/>
            </w:pPr>
            <w:r>
              <w:rPr>
                <w:rFonts w:ascii="宋体" w:hAnsi="宋体" w:eastAsia="宋体" w:cs="宋体"/>
                <w:b w:val="0"/>
              </w:rPr>
              <w:t>迪哲医药</w:t>
            </w:r>
          </w:p>
        </w:tc>
        <w:tc>
          <w:tcPr>
            <w:tcW w:w="0" w:type="dxa"/>
            <w:vAlign w:val="center"/>
          </w:tcPr>
          <w:p>
            <w:pPr>
              <w:spacing w:line="240" w:lineRule="auto"/>
              <w:jc w:val="right"/>
            </w:pPr>
            <w:r>
              <w:rPr>
                <w:rFonts w:ascii="宋体" w:hAnsi="宋体" w:eastAsia="宋体" w:cs="宋体"/>
                <w:b w:val="0"/>
              </w:rPr>
              <w:t>54,700</w:t>
            </w:r>
          </w:p>
        </w:tc>
        <w:tc>
          <w:tcPr>
            <w:tcW w:w="0" w:type="dxa"/>
            <w:vAlign w:val="center"/>
          </w:tcPr>
          <w:p>
            <w:pPr>
              <w:spacing w:line="240" w:lineRule="auto"/>
              <w:jc w:val="right"/>
            </w:pPr>
            <w:r>
              <w:rPr>
                <w:rFonts w:ascii="宋体" w:hAnsi="宋体" w:eastAsia="宋体" w:cs="宋体"/>
                <w:b w:val="0"/>
              </w:rPr>
              <w:t>3,173,147.00</w:t>
            </w:r>
          </w:p>
        </w:tc>
        <w:tc>
          <w:tcPr>
            <w:tcW w:w="0" w:type="dxa"/>
            <w:vAlign w:val="center"/>
          </w:tcPr>
          <w:p>
            <w:pPr>
              <w:spacing w:line="240" w:lineRule="auto"/>
              <w:jc w:val="right"/>
            </w:pPr>
            <w:r>
              <w:rPr>
                <w:rFonts w:ascii="宋体" w:hAnsi="宋体" w:eastAsia="宋体" w:cs="宋体"/>
                <w:b w:val="0"/>
              </w:rPr>
              <w:t>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600521</w:t>
            </w:r>
          </w:p>
        </w:tc>
        <w:tc>
          <w:tcPr>
            <w:tcW w:w="0" w:type="dxa"/>
            <w:vAlign w:val="center"/>
          </w:tcPr>
          <w:p>
            <w:pPr>
              <w:spacing w:line="240" w:lineRule="auto"/>
              <w:jc w:val="left"/>
            </w:pPr>
            <w:r>
              <w:rPr>
                <w:rFonts w:ascii="宋体" w:hAnsi="宋体" w:eastAsia="宋体" w:cs="宋体"/>
                <w:b w:val="0"/>
              </w:rPr>
              <w:t>华海药业</w:t>
            </w:r>
          </w:p>
        </w:tc>
        <w:tc>
          <w:tcPr>
            <w:tcW w:w="0" w:type="dxa"/>
            <w:vAlign w:val="center"/>
          </w:tcPr>
          <w:p>
            <w:pPr>
              <w:spacing w:line="240" w:lineRule="auto"/>
              <w:jc w:val="right"/>
            </w:pPr>
            <w:r>
              <w:rPr>
                <w:rFonts w:ascii="宋体" w:hAnsi="宋体" w:eastAsia="宋体" w:cs="宋体"/>
                <w:b w:val="0"/>
              </w:rPr>
              <w:t>186,202</w:t>
            </w:r>
          </w:p>
        </w:tc>
        <w:tc>
          <w:tcPr>
            <w:tcW w:w="0" w:type="dxa"/>
            <w:vAlign w:val="center"/>
          </w:tcPr>
          <w:p>
            <w:pPr>
              <w:spacing w:line="240" w:lineRule="auto"/>
              <w:jc w:val="right"/>
            </w:pPr>
            <w:r>
              <w:rPr>
                <w:rFonts w:ascii="宋体" w:hAnsi="宋体" w:eastAsia="宋体" w:cs="宋体"/>
                <w:b w:val="0"/>
              </w:rPr>
              <w:t>3,042,540.68</w:t>
            </w:r>
          </w:p>
        </w:tc>
        <w:tc>
          <w:tcPr>
            <w:tcW w:w="0" w:type="dxa"/>
            <w:vAlign w:val="center"/>
          </w:tcPr>
          <w:p>
            <w:pPr>
              <w:spacing w:line="240" w:lineRule="auto"/>
              <w:jc w:val="right"/>
            </w:pPr>
            <w:r>
              <w:rPr>
                <w:rFonts w:ascii="宋体" w:hAnsi="宋体" w:eastAsia="宋体" w:cs="宋体"/>
                <w:b w:val="0"/>
              </w:rPr>
              <w:t>5.05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688180</w:t>
            </w:r>
          </w:p>
        </w:tc>
        <w:tc>
          <w:tcPr>
            <w:tcW w:w="0" w:type="dxa"/>
            <w:vAlign w:val="center"/>
          </w:tcPr>
          <w:p>
            <w:pPr>
              <w:spacing w:line="240" w:lineRule="auto"/>
              <w:jc w:val="left"/>
            </w:pPr>
            <w:r>
              <w:rPr>
                <w:rFonts w:ascii="宋体" w:hAnsi="宋体" w:eastAsia="宋体" w:cs="宋体"/>
                <w:b w:val="0"/>
              </w:rPr>
              <w:t>君实生物</w:t>
            </w:r>
          </w:p>
        </w:tc>
        <w:tc>
          <w:tcPr>
            <w:tcW w:w="0" w:type="dxa"/>
            <w:vAlign w:val="center"/>
          </w:tcPr>
          <w:p>
            <w:pPr>
              <w:spacing w:line="240" w:lineRule="auto"/>
              <w:jc w:val="right"/>
            </w:pPr>
            <w:r>
              <w:rPr>
                <w:rFonts w:ascii="宋体" w:hAnsi="宋体" w:eastAsia="宋体" w:cs="宋体"/>
                <w:b w:val="0"/>
              </w:rPr>
              <w:t>77,637</w:t>
            </w:r>
          </w:p>
        </w:tc>
        <w:tc>
          <w:tcPr>
            <w:tcW w:w="0" w:type="dxa"/>
            <w:vAlign w:val="center"/>
          </w:tcPr>
          <w:p>
            <w:pPr>
              <w:spacing w:line="240" w:lineRule="auto"/>
              <w:jc w:val="right"/>
            </w:pPr>
            <w:r>
              <w:rPr>
                <w:rFonts w:ascii="宋体" w:hAnsi="宋体" w:eastAsia="宋体" w:cs="宋体"/>
                <w:b w:val="0"/>
              </w:rPr>
              <w:t>2,768,535.42</w:t>
            </w:r>
          </w:p>
        </w:tc>
        <w:tc>
          <w:tcPr>
            <w:tcW w:w="0" w:type="dxa"/>
            <w:vAlign w:val="center"/>
          </w:tcPr>
          <w:p>
            <w:pPr>
              <w:spacing w:line="240" w:lineRule="auto"/>
              <w:jc w:val="right"/>
            </w:pPr>
            <w:r>
              <w:rPr>
                <w:rFonts w:ascii="宋体" w:hAnsi="宋体" w:eastAsia="宋体" w:cs="宋体"/>
                <w:b w:val="0"/>
              </w:rPr>
              <w:t>4.60</w:t>
            </w:r>
          </w:p>
        </w:tc>
      </w:tr>
    </w:tbl>
    <w:p/>
    <w:p>
      <w:pPr>
        <w:pStyle w:val="3"/>
        <w:jc w:val="left"/>
      </w:pPr>
      <w:r>
        <w:rPr>
          <w:rFonts w:ascii="宋体" w:hAnsi="宋体" w:eastAsia="宋体" w:cs="宋体"/>
        </w:rPr>
        <w:t>5.4 报告期末按债券品种分类的债券投资组合</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8"/>
        <w:gridCol w:w="3571"/>
        <w:gridCol w:w="1786"/>
        <w:gridCol w:w="2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1538" w:type="pct"/>
            <w:shd w:val="clear" w:color="auto" w:fill="D9D9D9"/>
            <w:vAlign w:val="center"/>
          </w:tcPr>
          <w:p>
            <w:pPr>
              <w:spacing w:line="240" w:lineRule="auto"/>
              <w:jc w:val="center"/>
            </w:pPr>
            <w:r>
              <w:rPr>
                <w:rFonts w:ascii="宋体" w:hAnsi="宋体" w:eastAsia="宋体" w:cs="宋体"/>
                <w:b w:val="0"/>
              </w:rPr>
              <w:t>债券品种</w:t>
            </w:r>
          </w:p>
        </w:tc>
        <w:tc>
          <w:tcPr>
            <w:tcW w:w="769" w:type="pct"/>
            <w:shd w:val="clear" w:color="auto" w:fill="D9D9D9"/>
            <w:vAlign w:val="center"/>
          </w:tcPr>
          <w:p>
            <w:pPr>
              <w:spacing w:line="240" w:lineRule="auto"/>
              <w:jc w:val="center"/>
            </w:pPr>
            <w:r>
              <w:rPr>
                <w:rFonts w:ascii="宋体" w:hAnsi="宋体" w:eastAsia="宋体" w:cs="宋体"/>
                <w:b w:val="0"/>
              </w:rPr>
              <w:t>公允价值(元)</w:t>
            </w:r>
          </w:p>
        </w:tc>
        <w:tc>
          <w:tcPr>
            <w:tcW w:w="1077"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国家债券</w:t>
            </w:r>
          </w:p>
        </w:tc>
        <w:tc>
          <w:tcPr>
            <w:tcW w:w="0" w:type="dxa"/>
            <w:vAlign w:val="center"/>
          </w:tcPr>
          <w:p>
            <w:pPr>
              <w:spacing w:line="240" w:lineRule="auto"/>
              <w:jc w:val="right"/>
            </w:pPr>
            <w:r>
              <w:rPr>
                <w:rFonts w:ascii="宋体" w:hAnsi="宋体" w:eastAsia="宋体" w:cs="宋体"/>
                <w:b w:val="0"/>
              </w:rPr>
              <w:t>3,631,165.15</w:t>
            </w:r>
          </w:p>
        </w:tc>
        <w:tc>
          <w:tcPr>
            <w:tcW w:w="0" w:type="dxa"/>
            <w:vAlign w:val="center"/>
          </w:tcPr>
          <w:p>
            <w:pPr>
              <w:spacing w:line="240" w:lineRule="auto"/>
              <w:jc w:val="right"/>
            </w:pPr>
            <w:r>
              <w:rPr>
                <w:rFonts w:ascii="宋体" w:hAnsi="宋体" w:eastAsia="宋体" w:cs="宋体"/>
                <w:b w:val="0"/>
              </w:rPr>
              <w:t>6.03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央行票据</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金融债券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其中：政策性金融债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企业债券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企业短期融资券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中期票据</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可转债（可交换债）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同业存单</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3,631,165.15</w:t>
            </w:r>
          </w:p>
        </w:tc>
        <w:tc>
          <w:tcPr>
            <w:tcW w:w="0" w:type="dxa"/>
            <w:vAlign w:val="center"/>
          </w:tcPr>
          <w:p>
            <w:pPr>
              <w:spacing w:line="240" w:lineRule="auto"/>
              <w:jc w:val="right"/>
            </w:pPr>
            <w:r>
              <w:rPr>
                <w:rFonts w:ascii="宋体" w:hAnsi="宋体" w:eastAsia="宋体" w:cs="宋体"/>
                <w:b w:val="0"/>
              </w:rPr>
              <w:t>6.03</w:t>
            </w:r>
          </w:p>
        </w:tc>
      </w:tr>
    </w:tbl>
    <w:p/>
    <w:p>
      <w:pPr>
        <w:pStyle w:val="3"/>
        <w:jc w:val="left"/>
      </w:pPr>
      <w:r>
        <w:rPr>
          <w:rFonts w:ascii="宋体" w:hAnsi="宋体" w:eastAsia="宋体" w:cs="宋体"/>
        </w:rPr>
        <w:t>5.5 报告期末按公允价值占基金资产净值比例大小排序的前五名债券投资明细</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1547"/>
        <w:gridCol w:w="1548"/>
        <w:gridCol w:w="1238"/>
        <w:gridCol w:w="1858"/>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769" w:type="pct"/>
            <w:shd w:val="clear" w:color="auto" w:fill="D9D9D9"/>
            <w:vAlign w:val="center"/>
          </w:tcPr>
          <w:p>
            <w:pPr>
              <w:spacing w:line="240" w:lineRule="auto"/>
              <w:jc w:val="center"/>
            </w:pPr>
            <w:r>
              <w:rPr>
                <w:rFonts w:ascii="宋体" w:hAnsi="宋体" w:eastAsia="宋体" w:cs="宋体"/>
                <w:b w:val="0"/>
              </w:rPr>
              <w:t>债券代码</w:t>
            </w:r>
          </w:p>
        </w:tc>
        <w:tc>
          <w:tcPr>
            <w:tcW w:w="769" w:type="pct"/>
            <w:shd w:val="clear" w:color="auto" w:fill="D9D9D9"/>
            <w:vAlign w:val="center"/>
          </w:tcPr>
          <w:p>
            <w:pPr>
              <w:spacing w:line="240" w:lineRule="auto"/>
              <w:jc w:val="center"/>
            </w:pPr>
            <w:r>
              <w:rPr>
                <w:rFonts w:ascii="宋体" w:hAnsi="宋体" w:eastAsia="宋体" w:cs="宋体"/>
                <w:b w:val="0"/>
              </w:rPr>
              <w:t>债券名称</w:t>
            </w:r>
          </w:p>
        </w:tc>
        <w:tc>
          <w:tcPr>
            <w:tcW w:w="615" w:type="pct"/>
            <w:shd w:val="clear" w:color="auto" w:fill="D9D9D9"/>
            <w:vAlign w:val="center"/>
          </w:tcPr>
          <w:p>
            <w:pPr>
              <w:spacing w:line="240" w:lineRule="auto"/>
              <w:jc w:val="center"/>
            </w:pPr>
            <w:r>
              <w:rPr>
                <w:rFonts w:ascii="宋体" w:hAnsi="宋体" w:eastAsia="宋体" w:cs="宋体"/>
                <w:b w:val="0"/>
              </w:rPr>
              <w:t>数量(张)</w:t>
            </w:r>
          </w:p>
        </w:tc>
        <w:tc>
          <w:tcPr>
            <w:tcW w:w="923" w:type="pct"/>
            <w:shd w:val="clear" w:color="auto" w:fill="D9D9D9"/>
            <w:vAlign w:val="center"/>
          </w:tcPr>
          <w:p>
            <w:pPr>
              <w:spacing w:line="240" w:lineRule="auto"/>
              <w:jc w:val="center"/>
            </w:pPr>
            <w:r>
              <w:rPr>
                <w:rFonts w:ascii="宋体" w:hAnsi="宋体" w:eastAsia="宋体" w:cs="宋体"/>
                <w:b w:val="0"/>
              </w:rPr>
              <w:t>公允价值(元)</w:t>
            </w:r>
          </w:p>
        </w:tc>
        <w:tc>
          <w:tcPr>
            <w:tcW w:w="923"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019827</w:t>
            </w:r>
          </w:p>
        </w:tc>
        <w:tc>
          <w:tcPr>
            <w:tcW w:w="0" w:type="dxa"/>
            <w:vAlign w:val="center"/>
          </w:tcPr>
          <w:p>
            <w:pPr>
              <w:spacing w:line="240" w:lineRule="auto"/>
              <w:jc w:val="left"/>
            </w:pPr>
            <w:r>
              <w:rPr>
                <w:rFonts w:ascii="宋体" w:hAnsi="宋体" w:eastAsia="宋体" w:cs="宋体"/>
                <w:b w:val="0"/>
              </w:rPr>
              <w:t>26国债01</w:t>
            </w:r>
          </w:p>
        </w:tc>
        <w:tc>
          <w:tcPr>
            <w:tcW w:w="0" w:type="dxa"/>
            <w:vAlign w:val="center"/>
          </w:tcPr>
          <w:p>
            <w:pPr>
              <w:spacing w:line="240" w:lineRule="auto"/>
              <w:jc w:val="right"/>
            </w:pPr>
            <w:r>
              <w:rPr>
                <w:rFonts w:ascii="宋体" w:hAnsi="宋体" w:eastAsia="宋体" w:cs="宋体"/>
                <w:b w:val="0"/>
              </w:rPr>
              <w:t>36,000</w:t>
            </w:r>
          </w:p>
        </w:tc>
        <w:tc>
          <w:tcPr>
            <w:tcW w:w="0" w:type="dxa"/>
            <w:vAlign w:val="center"/>
          </w:tcPr>
          <w:p>
            <w:pPr>
              <w:spacing w:line="240" w:lineRule="auto"/>
              <w:jc w:val="right"/>
            </w:pPr>
            <w:r>
              <w:rPr>
                <w:rFonts w:ascii="宋体" w:hAnsi="宋体" w:eastAsia="宋体" w:cs="宋体"/>
                <w:b w:val="0"/>
              </w:rPr>
              <w:t>3,631,165.15</w:t>
            </w:r>
          </w:p>
        </w:tc>
        <w:tc>
          <w:tcPr>
            <w:tcW w:w="0" w:type="dxa"/>
            <w:vAlign w:val="center"/>
          </w:tcPr>
          <w:p>
            <w:pPr>
              <w:spacing w:line="240" w:lineRule="auto"/>
              <w:jc w:val="right"/>
            </w:pPr>
            <w:r>
              <w:rPr>
                <w:rFonts w:ascii="宋体" w:hAnsi="宋体" w:eastAsia="宋体" w:cs="宋体"/>
                <w:b w:val="0"/>
              </w:rPr>
              <w:t>6.03</w:t>
            </w:r>
          </w:p>
        </w:tc>
      </w:tr>
    </w:tbl>
    <w:p>
      <w:r>
        <w:rPr>
          <w:rFonts w:ascii="宋体" w:hAnsi="宋体" w:eastAsia="宋体" w:cs="宋体"/>
          <w:b w:val="0"/>
        </w:rPr>
        <w:t>注：本基金本报告期末仅持有上述债券。</w:t>
      </w:r>
    </w:p>
    <w:p/>
    <w:p>
      <w:pPr>
        <w:pStyle w:val="3"/>
        <w:jc w:val="left"/>
      </w:pPr>
      <w:r>
        <w:rPr>
          <w:rFonts w:ascii="宋体" w:hAnsi="宋体" w:eastAsia="宋体" w:cs="宋体"/>
        </w:rPr>
        <w:t>5.6 报告期末按公允价值占基金资产净值比例大小排序的前十名资产支持证券投资明细</w:t>
      </w:r>
    </w:p>
    <w:p>
      <w:r>
        <w:rPr>
          <w:rFonts w:ascii="宋体" w:hAnsi="宋体" w:eastAsia="宋体" w:cs="宋体"/>
          <w:b w:val="0"/>
        </w:rPr>
        <w:t xml:space="preserve">    本基金本报告期末未持有资产支持证券。</w:t>
      </w:r>
    </w:p>
    <w:p/>
    <w:p>
      <w:pPr>
        <w:pStyle w:val="3"/>
        <w:jc w:val="left"/>
      </w:pPr>
      <w:r>
        <w:rPr>
          <w:rFonts w:ascii="宋体" w:hAnsi="宋体" w:eastAsia="宋体" w:cs="宋体"/>
        </w:rPr>
        <w:t>5.7 报告期末按公允价值占基金资产净值比例大小排序的前五名贵金属投资明细</w:t>
      </w:r>
    </w:p>
    <w:p>
      <w:r>
        <w:rPr>
          <w:rFonts w:ascii="宋体" w:hAnsi="宋体" w:eastAsia="宋体" w:cs="宋体"/>
          <w:b w:val="0"/>
        </w:rPr>
        <w:t xml:space="preserve">    本基金本报告期末未持有贵金属。</w:t>
      </w:r>
    </w:p>
    <w:p/>
    <w:p>
      <w:pPr>
        <w:pStyle w:val="3"/>
        <w:jc w:val="left"/>
      </w:pPr>
      <w:r>
        <w:rPr>
          <w:rFonts w:ascii="宋体" w:hAnsi="宋体" w:eastAsia="宋体" w:cs="宋体"/>
        </w:rPr>
        <w:t>5.8 报告期末按公允价值占基金资产净值比例大小排序的前五名权证投资明细</w:t>
      </w:r>
    </w:p>
    <w:p>
      <w:r>
        <w:rPr>
          <w:rFonts w:ascii="宋体" w:hAnsi="宋体" w:eastAsia="宋体" w:cs="宋体"/>
          <w:b w:val="0"/>
        </w:rPr>
        <w:t xml:space="preserve">    本基金本报告期末未持有权证。</w:t>
      </w:r>
    </w:p>
    <w:p/>
    <w:p>
      <w:pPr>
        <w:pStyle w:val="3"/>
        <w:jc w:val="left"/>
      </w:pPr>
      <w:r>
        <w:rPr>
          <w:rFonts w:ascii="宋体" w:hAnsi="宋体" w:eastAsia="宋体" w:cs="宋体"/>
        </w:rPr>
        <w:t>5.9 报告期末本基金投资的股指期货交易情况说明</w:t>
      </w:r>
    </w:p>
    <w:p>
      <w:r>
        <w:rPr>
          <w:rFonts w:ascii="宋体" w:hAnsi="宋体" w:eastAsia="宋体" w:cs="宋体"/>
          <w:b w:val="0"/>
        </w:rPr>
        <w:t xml:space="preserve">    本基金本报告期末未持有股指期货。</w:t>
      </w:r>
    </w:p>
    <w:p/>
    <w:p>
      <w:pPr>
        <w:pStyle w:val="3"/>
        <w:jc w:val="left"/>
      </w:pPr>
      <w:r>
        <w:rPr>
          <w:rFonts w:ascii="宋体" w:hAnsi="宋体" w:eastAsia="宋体" w:cs="宋体"/>
        </w:rPr>
        <w:t>5.10 报告期末本基金投资的国债期货交易情况说明</w:t>
      </w:r>
    </w:p>
    <w:p>
      <w:r>
        <w:rPr>
          <w:rFonts w:ascii="宋体" w:hAnsi="宋体" w:eastAsia="宋体" w:cs="宋体"/>
          <w:b w:val="0"/>
        </w:rPr>
        <w:t xml:space="preserve">    本基金本报告期末未持有国债期货。</w:t>
      </w:r>
    </w:p>
    <w:p/>
    <w:p>
      <w:pPr>
        <w:pStyle w:val="3"/>
        <w:jc w:val="left"/>
      </w:pPr>
      <w:r>
        <w:rPr>
          <w:rFonts w:ascii="宋体" w:hAnsi="宋体" w:eastAsia="宋体" w:cs="宋体"/>
        </w:rPr>
        <w:t>5.11 投资组合报告附注</w:t>
      </w:r>
    </w:p>
    <w:p>
      <w:pPr>
        <w:pStyle w:val="58"/>
      </w:pPr>
      <w:r>
        <w:rPr>
          <w:rStyle w:val="30"/>
          <w:rFonts w:ascii="宋体" w:hAnsi="宋体" w:eastAsia="宋体" w:cs="宋体"/>
          <w:b/>
        </w:rPr>
        <w:t>5.11.1 本基金投资的前十名证券的发行主体本期受到监管部门立案调查或报告编制日前一年内受到公开谴责、处罚的情形说明</w:t>
      </w:r>
    </w:p>
    <w:p>
      <w:r>
        <w:rPr>
          <w:rFonts w:ascii="宋体" w:hAnsi="宋体" w:eastAsia="宋体" w:cs="宋体"/>
          <w:b w:val="0"/>
        </w:rPr>
        <w:t xml:space="preserve">    本基金投资的前十名证券的发行主体本期未出现被监管部门立案调查，或在报告编制日前一年内受到公开谴责、处罚的情形。</w:t>
      </w:r>
    </w:p>
    <w:p/>
    <w:p>
      <w:pPr>
        <w:pStyle w:val="58"/>
      </w:pPr>
      <w:r>
        <w:rPr>
          <w:rStyle w:val="30"/>
          <w:rFonts w:ascii="宋体" w:hAnsi="宋体" w:eastAsia="宋体" w:cs="宋体"/>
          <w:b/>
        </w:rPr>
        <w:t>5.11.2 基金投资的前十名股票超出基金合同约定的备选股票库情况的说明</w:t>
      </w:r>
    </w:p>
    <w:p>
      <w:r>
        <w:rPr>
          <w:rFonts w:ascii="宋体" w:hAnsi="宋体" w:eastAsia="宋体" w:cs="宋体"/>
          <w:b w:val="0"/>
        </w:rPr>
        <w:t xml:space="preserve">    基金投资的前十名股票，均为基金合同约定备选股票库之内的股票。</w:t>
      </w:r>
    </w:p>
    <w:p/>
    <w:p>
      <w:pPr>
        <w:pStyle w:val="58"/>
      </w:pPr>
      <w:r>
        <w:rPr>
          <w:rStyle w:val="30"/>
          <w:rFonts w:ascii="宋体" w:hAnsi="宋体" w:eastAsia="宋体" w:cs="宋体"/>
          <w:b/>
        </w:rPr>
        <w:t>5.11.3 其他资产构成</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0"/>
        <w:gridCol w:w="4804"/>
        <w:gridCol w:w="32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2308" w:type="pct"/>
            <w:shd w:val="clear" w:color="auto" w:fill="D9D9D9"/>
            <w:vAlign w:val="center"/>
          </w:tcPr>
          <w:p>
            <w:pPr>
              <w:spacing w:line="240" w:lineRule="auto"/>
              <w:jc w:val="center"/>
            </w:pPr>
            <w:r>
              <w:rPr>
                <w:rFonts w:ascii="宋体" w:hAnsi="宋体" w:eastAsia="宋体" w:cs="宋体"/>
                <w:b w:val="0"/>
              </w:rPr>
              <w:t>名称</w:t>
            </w:r>
          </w:p>
        </w:tc>
        <w:tc>
          <w:tcPr>
            <w:tcW w:w="1538" w:type="pct"/>
            <w:shd w:val="clear" w:color="auto" w:fill="D9D9D9"/>
            <w:vAlign w:val="center"/>
          </w:tcPr>
          <w:p>
            <w:pPr>
              <w:spacing w:line="240" w:lineRule="auto"/>
              <w:jc w:val="center"/>
            </w:pPr>
            <w:r>
              <w:rPr>
                <w:rFonts w:ascii="宋体" w:hAnsi="宋体" w:eastAsia="宋体" w:cs="宋体"/>
                <w:b w:val="0"/>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存出保证金</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应收证券清算款</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应收股利</w:t>
            </w:r>
          </w:p>
        </w:tc>
        <w:tc>
          <w:tcPr>
            <w:tcW w:w="0" w:type="dxa"/>
            <w:vAlign w:val="center"/>
          </w:tcPr>
          <w:p>
            <w:pPr>
              <w:spacing w:line="240" w:lineRule="auto"/>
              <w:jc w:val="right"/>
            </w:pPr>
            <w:r>
              <w:rPr>
                <w:rFonts w:ascii="宋体" w:hAnsi="宋体" w:eastAsia="宋体" w:cs="宋体"/>
                <w:b w:val="0"/>
              </w:rPr>
              <w:t>34,499.65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应收利息</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应收申购款</w:t>
            </w:r>
          </w:p>
        </w:tc>
        <w:tc>
          <w:tcPr>
            <w:tcW w:w="0" w:type="dxa"/>
            <w:vAlign w:val="center"/>
          </w:tcPr>
          <w:p>
            <w:pPr>
              <w:spacing w:line="240" w:lineRule="auto"/>
              <w:jc w:val="right"/>
            </w:pPr>
            <w:r>
              <w:rPr>
                <w:rFonts w:ascii="宋体" w:hAnsi="宋体" w:eastAsia="宋体" w:cs="宋体"/>
                <w:b w:val="0"/>
              </w:rPr>
              <w:t>256,740.02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其他应收款</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291,239.67</w:t>
            </w:r>
          </w:p>
        </w:tc>
      </w:tr>
    </w:tbl>
    <w:p/>
    <w:p>
      <w:pPr>
        <w:pStyle w:val="58"/>
      </w:pPr>
      <w:r>
        <w:rPr>
          <w:rStyle w:val="30"/>
          <w:rFonts w:ascii="宋体" w:hAnsi="宋体" w:eastAsia="宋体" w:cs="宋体"/>
          <w:b/>
        </w:rPr>
        <w:t>5.11.4 报告期末持有的处于转股期的可转换债券明细</w:t>
      </w:r>
    </w:p>
    <w:p>
      <w:r>
        <w:rPr>
          <w:rFonts w:ascii="宋体" w:hAnsi="宋体" w:eastAsia="宋体" w:cs="宋体"/>
          <w:b w:val="0"/>
        </w:rPr>
        <w:t xml:space="preserve">    本基金本报告期末未持有处于转股期的可转换债券。</w:t>
      </w:r>
    </w:p>
    <w:p/>
    <w:p>
      <w:pPr>
        <w:pStyle w:val="58"/>
      </w:pPr>
      <w:r>
        <w:rPr>
          <w:rStyle w:val="30"/>
          <w:rFonts w:ascii="宋体" w:hAnsi="宋体" w:eastAsia="宋体" w:cs="宋体"/>
          <w:b/>
        </w:rPr>
        <w:t>5.11.5 报告期末前十名股票中存在流通受限情况的说明</w:t>
      </w:r>
    </w:p>
    <w:p>
      <w:r>
        <w:rPr>
          <w:rFonts w:ascii="宋体" w:hAnsi="宋体" w:eastAsia="宋体" w:cs="宋体"/>
          <w:b w:val="0"/>
        </w:rPr>
        <w:t xml:space="preserve">    本基金本报告期末前十名股票中不存在流通受限的情况。</w:t>
      </w:r>
    </w:p>
    <w:p/>
    <w:p>
      <w:pPr>
        <w:pStyle w:val="58"/>
      </w:pPr>
      <w:r>
        <w:rPr>
          <w:rStyle w:val="30"/>
          <w:rFonts w:ascii="宋体" w:hAnsi="宋体" w:eastAsia="宋体" w:cs="宋体"/>
          <w:b/>
        </w:rPr>
        <w:t>5.11.6 投资组合报告附注的其他文字描述部分</w:t>
      </w:r>
    </w:p>
    <w:p>
      <w:r>
        <w:rPr>
          <w:rFonts w:ascii="宋体" w:hAnsi="宋体" w:eastAsia="宋体" w:cs="宋体"/>
          <w:b w:val="0"/>
        </w:rPr>
        <w:t xml:space="preserve">    由于四舍五入原因，分项之和与合计项之间可能存在尾差。</w:t>
      </w:r>
    </w:p>
    <w:p>
      <w:pPr>
        <w:pStyle w:val="2"/>
        <w:jc w:val="center"/>
      </w:pPr>
      <w:r>
        <w:rPr>
          <w:rFonts w:ascii="宋体" w:hAnsi="宋体" w:eastAsia="宋体" w:cs="宋体"/>
        </w:rPr>
        <w:t>§6 开放式基金份额变动</w:t>
      </w:r>
    </w:p>
    <w:p>
      <w:pPr>
        <w:jc w:val="right"/>
      </w:pPr>
      <w:r>
        <w:rPr>
          <w:rFonts w:ascii="宋体" w:hAnsi="宋体" w:eastAsia="宋体" w:cs="宋体"/>
          <w:b w:val="0"/>
        </w:rPr>
        <w:t>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6"/>
        <w:gridCol w:w="2460"/>
        <w:gridCol w:w="2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pct"/>
            <w:vAlign w:val="center"/>
          </w:tcPr>
          <w:p>
            <w:pPr>
              <w:spacing w:line="240" w:lineRule="auto"/>
              <w:jc w:val="center"/>
            </w:pPr>
          </w:p>
        </w:tc>
        <w:tc>
          <w:tcPr>
            <w:tcW w:w="1300" w:type="pct"/>
            <w:vAlign w:val="center"/>
          </w:tcPr>
          <w:p>
            <w:pPr>
              <w:spacing w:line="240" w:lineRule="auto"/>
              <w:jc w:val="center"/>
            </w:pPr>
            <w:r>
              <w:rPr>
                <w:rFonts w:ascii="宋体" w:hAnsi="宋体" w:eastAsia="宋体" w:cs="宋体"/>
                <w:b w:val="0"/>
              </w:rPr>
              <w:t>东方阿尔法健康产业混合发起A</w:t>
            </w:r>
          </w:p>
        </w:tc>
        <w:tc>
          <w:tcPr>
            <w:tcW w:w="1300" w:type="pct"/>
            <w:vAlign w:val="center"/>
          </w:tcPr>
          <w:p>
            <w:pPr>
              <w:spacing w:line="240" w:lineRule="auto"/>
              <w:jc w:val="center"/>
            </w:pPr>
            <w:r>
              <w:rPr>
                <w:rFonts w:ascii="宋体" w:hAnsi="宋体" w:eastAsia="宋体" w:cs="宋体"/>
                <w:b w:val="0"/>
              </w:rPr>
              <w:t>东方阿尔法健康产业混合发起C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报告期期初基金份额总额</w:t>
            </w:r>
          </w:p>
        </w:tc>
        <w:tc>
          <w:tcPr>
            <w:tcW w:w="1300" w:type="pct"/>
            <w:vAlign w:val="center"/>
          </w:tcPr>
          <w:p>
            <w:pPr>
              <w:spacing w:line="240" w:lineRule="auto"/>
              <w:jc w:val="right"/>
            </w:pPr>
            <w:r>
              <w:rPr>
                <w:rFonts w:ascii="宋体" w:hAnsi="宋体" w:eastAsia="宋体" w:cs="宋体"/>
                <w:b w:val="0"/>
              </w:rPr>
              <w:t>12,260,694.11</w:t>
            </w:r>
          </w:p>
        </w:tc>
        <w:tc>
          <w:tcPr>
            <w:tcW w:w="1300" w:type="pct"/>
            <w:vAlign w:val="center"/>
          </w:tcPr>
          <w:p>
            <w:pPr>
              <w:spacing w:line="240" w:lineRule="auto"/>
              <w:jc w:val="right"/>
            </w:pPr>
            <w:r>
              <w:rPr>
                <w:rFonts w:ascii="宋体" w:hAnsi="宋体" w:eastAsia="宋体" w:cs="宋体"/>
                <w:b w:val="0"/>
              </w:rPr>
              <w:t>93,744,218.85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报告期期间基金总申购份额</w:t>
            </w:r>
          </w:p>
        </w:tc>
        <w:tc>
          <w:tcPr>
            <w:tcW w:w="1300" w:type="pct"/>
            <w:vAlign w:val="center"/>
          </w:tcPr>
          <w:p>
            <w:pPr>
              <w:spacing w:line="240" w:lineRule="auto"/>
              <w:jc w:val="right"/>
            </w:pPr>
            <w:r>
              <w:rPr>
                <w:rFonts w:ascii="宋体" w:hAnsi="宋体" w:eastAsia="宋体" w:cs="宋体"/>
                <w:b w:val="0"/>
              </w:rPr>
              <w:t>3,955,176.89</w:t>
            </w:r>
          </w:p>
        </w:tc>
        <w:tc>
          <w:tcPr>
            <w:tcW w:w="1300" w:type="pct"/>
            <w:vAlign w:val="center"/>
          </w:tcPr>
          <w:p>
            <w:pPr>
              <w:spacing w:line="240" w:lineRule="auto"/>
              <w:jc w:val="right"/>
            </w:pPr>
            <w:r>
              <w:rPr>
                <w:rFonts w:ascii="宋体" w:hAnsi="宋体" w:eastAsia="宋体" w:cs="宋体"/>
                <w:b w:val="0"/>
              </w:rPr>
              <w:t>147,701,463.63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减：报告期期间基金总赎回份额</w:t>
            </w:r>
          </w:p>
        </w:tc>
        <w:tc>
          <w:tcPr>
            <w:tcW w:w="1300" w:type="pct"/>
            <w:vAlign w:val="center"/>
          </w:tcPr>
          <w:p>
            <w:pPr>
              <w:spacing w:line="240" w:lineRule="auto"/>
              <w:jc w:val="right"/>
            </w:pPr>
            <w:r>
              <w:rPr>
                <w:rFonts w:ascii="宋体" w:hAnsi="宋体" w:eastAsia="宋体" w:cs="宋体"/>
                <w:b w:val="0"/>
              </w:rPr>
              <w:t>4,062,902.69</w:t>
            </w:r>
          </w:p>
        </w:tc>
        <w:tc>
          <w:tcPr>
            <w:tcW w:w="1300" w:type="pct"/>
            <w:vAlign w:val="center"/>
          </w:tcPr>
          <w:p>
            <w:pPr>
              <w:spacing w:line="240" w:lineRule="auto"/>
              <w:jc w:val="right"/>
            </w:pPr>
            <w:r>
              <w:rPr>
                <w:rFonts w:ascii="宋体" w:hAnsi="宋体" w:eastAsia="宋体" w:cs="宋体"/>
                <w:b w:val="0"/>
              </w:rPr>
              <w:t>180,505,844.03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报告期期间基金拆分变动份额（份额减少以“-”填列）</w:t>
            </w:r>
          </w:p>
        </w:tc>
        <w:tc>
          <w:tcPr>
            <w:tcW w:w="1300" w:type="pct"/>
            <w:vAlign w:val="center"/>
          </w:tcPr>
          <w:p>
            <w:pPr>
              <w:spacing w:line="240" w:lineRule="auto"/>
              <w:jc w:val="right"/>
            </w:pPr>
            <w:r>
              <w:rPr>
                <w:rFonts w:ascii="宋体" w:hAnsi="宋体" w:eastAsia="宋体" w:cs="宋体"/>
                <w:b w:val="0"/>
              </w:rPr>
              <w:t>-</w:t>
            </w:r>
          </w:p>
        </w:tc>
        <w:tc>
          <w:tcPr>
            <w:tcW w:w="1300"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报告期期末基金份额总额</w:t>
            </w:r>
          </w:p>
        </w:tc>
        <w:tc>
          <w:tcPr>
            <w:tcW w:w="1300" w:type="pct"/>
            <w:vAlign w:val="center"/>
          </w:tcPr>
          <w:p>
            <w:pPr>
              <w:spacing w:line="240" w:lineRule="auto"/>
              <w:jc w:val="right"/>
            </w:pPr>
            <w:r>
              <w:rPr>
                <w:rFonts w:ascii="宋体" w:hAnsi="宋体" w:eastAsia="宋体" w:cs="宋体"/>
                <w:b w:val="0"/>
              </w:rPr>
              <w:t>12,152,968.31</w:t>
            </w:r>
          </w:p>
        </w:tc>
        <w:tc>
          <w:tcPr>
            <w:tcW w:w="1300" w:type="pct"/>
            <w:vAlign w:val="center"/>
          </w:tcPr>
          <w:p>
            <w:pPr>
              <w:spacing w:line="240" w:lineRule="auto"/>
              <w:jc w:val="right"/>
            </w:pPr>
            <w:r>
              <w:rPr>
                <w:rFonts w:ascii="宋体" w:hAnsi="宋体" w:eastAsia="宋体" w:cs="宋体"/>
                <w:b w:val="0"/>
              </w:rPr>
              <w:t>60,939,838.45</w:t>
            </w:r>
          </w:p>
        </w:tc>
      </w:tr>
    </w:tbl>
    <w:p>
      <w:pPr>
        <w:pStyle w:val="2"/>
        <w:jc w:val="center"/>
      </w:pPr>
      <w:r>
        <w:rPr>
          <w:rFonts w:ascii="宋体" w:hAnsi="宋体" w:eastAsia="宋体" w:cs="宋体"/>
        </w:rPr>
        <w:t>§7 基金管理人运用固有资金投资本基金情况</w:t>
      </w:r>
    </w:p>
    <w:p>
      <w:pPr>
        <w:pStyle w:val="3"/>
        <w:jc w:val="left"/>
      </w:pPr>
      <w:r>
        <w:rPr>
          <w:rFonts w:ascii="宋体" w:hAnsi="宋体" w:eastAsia="宋体" w:cs="宋体"/>
        </w:rPr>
        <w:t>7.1 基金管理人持有本基金份额变动情况</w:t>
      </w:r>
    </w:p>
    <w:p>
      <w:pPr>
        <w:jc w:val="right"/>
      </w:pPr>
      <w:r>
        <w:rPr>
          <w:rFonts w:ascii="宋体" w:hAnsi="宋体" w:eastAsia="宋体" w:cs="宋体"/>
          <w:b w:val="0"/>
        </w:rPr>
        <w:t>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2"/>
        <w:gridCol w:w="1772"/>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7" w:type="pct"/>
            <w:vAlign w:val="center"/>
          </w:tcPr>
          <w:p>
            <w:pPr>
              <w:spacing w:line="240" w:lineRule="auto"/>
              <w:jc w:val="center"/>
            </w:pPr>
          </w:p>
        </w:tc>
        <w:tc>
          <w:tcPr>
            <w:tcW w:w="950" w:type="pct"/>
            <w:vAlign w:val="center"/>
          </w:tcPr>
          <w:p>
            <w:pPr>
              <w:spacing w:line="240" w:lineRule="auto"/>
              <w:jc w:val="center"/>
            </w:pPr>
            <w:r>
              <w:rPr>
                <w:rFonts w:ascii="宋体" w:hAnsi="宋体" w:eastAsia="宋体" w:cs="宋体"/>
                <w:b w:val="0"/>
              </w:rPr>
              <w:t>东方阿尔法健康产业混合发起A</w:t>
            </w:r>
          </w:p>
        </w:tc>
        <w:tc>
          <w:tcPr>
            <w:tcW w:w="950" w:type="pct"/>
            <w:vAlign w:val="center"/>
          </w:tcPr>
          <w:p>
            <w:pPr>
              <w:spacing w:line="240" w:lineRule="auto"/>
              <w:jc w:val="center"/>
            </w:pPr>
            <w:r>
              <w:rPr>
                <w:rFonts w:ascii="宋体" w:hAnsi="宋体" w:eastAsia="宋体" w:cs="宋体"/>
                <w:b w:val="0"/>
              </w:rPr>
              <w:t>东方阿尔法健康产业混合发起C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7" w:type="pct"/>
            <w:vAlign w:val="center"/>
          </w:tcPr>
          <w:p>
            <w:pPr>
              <w:spacing w:line="240" w:lineRule="auto"/>
              <w:jc w:val="left"/>
            </w:pPr>
            <w:r>
              <w:rPr>
                <w:rFonts w:ascii="宋体" w:hAnsi="宋体" w:eastAsia="宋体" w:cs="宋体"/>
                <w:b w:val="0"/>
              </w:rPr>
              <w:t>报告期期初管理人持有的本基金份额</w:t>
            </w:r>
          </w:p>
        </w:tc>
        <w:tc>
          <w:tcPr>
            <w:tcW w:w="950" w:type="pct"/>
            <w:vAlign w:val="center"/>
          </w:tcPr>
          <w:p>
            <w:pPr>
              <w:spacing w:line="240" w:lineRule="auto"/>
              <w:jc w:val="right"/>
            </w:pPr>
            <w:r>
              <w:rPr>
                <w:rFonts w:ascii="宋体" w:hAnsi="宋体" w:eastAsia="宋体" w:cs="宋体"/>
                <w:b w:val="0"/>
              </w:rPr>
              <w:t>5,000,388.96</w:t>
            </w:r>
          </w:p>
        </w:tc>
        <w:tc>
          <w:tcPr>
            <w:tcW w:w="950"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报告期期间买入/申购总份额</w:t>
            </w:r>
          </w:p>
        </w:tc>
        <w:tc>
          <w:tcPr>
            <w:tcW w:w="950" w:type="pct"/>
            <w:vAlign w:val="center"/>
          </w:tcPr>
          <w:p>
            <w:pPr>
              <w:spacing w:line="240" w:lineRule="auto"/>
              <w:jc w:val="right"/>
            </w:pPr>
            <w:r>
              <w:rPr>
                <w:rFonts w:ascii="宋体" w:hAnsi="宋体" w:eastAsia="宋体" w:cs="宋体"/>
                <w:b w:val="0"/>
              </w:rPr>
              <w:t>-</w:t>
            </w:r>
          </w:p>
        </w:tc>
        <w:tc>
          <w:tcPr>
            <w:tcW w:w="950"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报告期期间卖出/赎回总份额</w:t>
            </w:r>
          </w:p>
        </w:tc>
        <w:tc>
          <w:tcPr>
            <w:tcW w:w="950" w:type="pct"/>
            <w:vAlign w:val="center"/>
          </w:tcPr>
          <w:p>
            <w:pPr>
              <w:spacing w:line="240" w:lineRule="auto"/>
              <w:jc w:val="right"/>
            </w:pPr>
            <w:r>
              <w:rPr>
                <w:rFonts w:ascii="宋体" w:hAnsi="宋体" w:eastAsia="宋体" w:cs="宋体"/>
                <w:b w:val="0"/>
              </w:rPr>
              <w:t>-</w:t>
            </w:r>
          </w:p>
        </w:tc>
        <w:tc>
          <w:tcPr>
            <w:tcW w:w="950"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报告期期末管理人持有的本基金份额</w:t>
            </w:r>
          </w:p>
        </w:tc>
        <w:tc>
          <w:tcPr>
            <w:tcW w:w="950" w:type="pct"/>
            <w:vAlign w:val="center"/>
          </w:tcPr>
          <w:p>
            <w:pPr>
              <w:spacing w:line="240" w:lineRule="auto"/>
              <w:jc w:val="right"/>
            </w:pPr>
            <w:r>
              <w:rPr>
                <w:rFonts w:ascii="宋体" w:hAnsi="宋体" w:eastAsia="宋体" w:cs="宋体"/>
                <w:b w:val="0"/>
              </w:rPr>
              <w:t>5,000,388.96</w:t>
            </w:r>
          </w:p>
        </w:tc>
        <w:tc>
          <w:tcPr>
            <w:tcW w:w="950"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报告期期末持有的本基金份额占基金总份额比例（%）</w:t>
            </w:r>
          </w:p>
        </w:tc>
        <w:tc>
          <w:tcPr>
            <w:tcW w:w="950" w:type="pct"/>
            <w:vAlign w:val="center"/>
          </w:tcPr>
          <w:p>
            <w:pPr>
              <w:spacing w:line="240" w:lineRule="auto"/>
              <w:jc w:val="right"/>
            </w:pPr>
            <w:r>
              <w:rPr>
                <w:rFonts w:ascii="宋体" w:hAnsi="宋体" w:eastAsia="宋体" w:cs="宋体"/>
                <w:b w:val="0"/>
              </w:rPr>
              <w:t>6.84</w:t>
            </w:r>
          </w:p>
        </w:tc>
        <w:tc>
          <w:tcPr>
            <w:tcW w:w="950" w:type="pct"/>
            <w:vAlign w:val="center"/>
          </w:tcPr>
          <w:p>
            <w:pPr>
              <w:spacing w:line="240" w:lineRule="auto"/>
              <w:jc w:val="right"/>
            </w:pPr>
            <w:r>
              <w:rPr>
                <w:rFonts w:ascii="宋体" w:hAnsi="宋体" w:eastAsia="宋体" w:cs="宋体"/>
                <w:b w:val="0"/>
              </w:rPr>
              <w:t>-</w:t>
            </w:r>
          </w:p>
        </w:tc>
      </w:tr>
    </w:tbl>
    <w:p>
      <w:r>
        <w:rPr>
          <w:rFonts w:ascii="宋体" w:hAnsi="宋体" w:eastAsia="宋体" w:cs="宋体"/>
          <w:b w:val="0"/>
        </w:rPr>
        <w:t>注：报告期期末持有的本基金份额占基金总份额比例的分母采用期末基金份额总额，不区分下属不同类别基金。</w:t>
      </w:r>
    </w:p>
    <w:p/>
    <w:p>
      <w:pPr>
        <w:pStyle w:val="3"/>
        <w:jc w:val="left"/>
      </w:pPr>
      <w:r>
        <w:rPr>
          <w:rFonts w:ascii="宋体" w:hAnsi="宋体" w:eastAsia="宋体" w:cs="宋体"/>
        </w:rPr>
        <w:t>7.2 基金管理人运用固有资金投资本基金交易明细</w:t>
      </w:r>
    </w:p>
    <w:p>
      <w:r>
        <w:rPr>
          <w:rFonts w:ascii="宋体" w:hAnsi="宋体" w:eastAsia="宋体" w:cs="宋体"/>
          <w:b w:val="0"/>
        </w:rPr>
        <w:t xml:space="preserve">    本报告期内，本基金管理人未运用固有资金投资本基金。</w:t>
      </w:r>
    </w:p>
    <w:p>
      <w:pPr>
        <w:pStyle w:val="2"/>
        <w:jc w:val="center"/>
      </w:pPr>
      <w:r>
        <w:rPr>
          <w:rFonts w:ascii="宋体" w:hAnsi="宋体" w:eastAsia="宋体" w:cs="宋体"/>
        </w:rPr>
        <w:t>§8 报告期末发起式基金发起资金持有份额情况</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0"/>
        <w:gridCol w:w="1581"/>
        <w:gridCol w:w="1138"/>
        <w:gridCol w:w="1581"/>
        <w:gridCol w:w="1138"/>
        <w:gridCol w:w="11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pPr>
              <w:spacing w:line="240" w:lineRule="auto"/>
              <w:jc w:val="center"/>
            </w:pPr>
            <w:r>
              <w:rPr>
                <w:rFonts w:ascii="宋体" w:hAnsi="宋体" w:eastAsia="宋体" w:cs="宋体"/>
                <w:b w:val="0"/>
              </w:rPr>
              <w:t>项目</w:t>
            </w:r>
          </w:p>
        </w:tc>
        <w:tc>
          <w:tcPr>
            <w:tcW w:w="692" w:type="pct"/>
            <w:shd w:val="clear" w:color="auto" w:fill="D9D9D9"/>
            <w:vAlign w:val="center"/>
          </w:tcPr>
          <w:p>
            <w:pPr>
              <w:spacing w:line="240" w:lineRule="auto"/>
              <w:jc w:val="center"/>
            </w:pPr>
            <w:r>
              <w:rPr>
                <w:rFonts w:ascii="宋体" w:hAnsi="宋体" w:eastAsia="宋体" w:cs="宋体"/>
                <w:b w:val="0"/>
              </w:rPr>
              <w:t>持有份额总数</w:t>
            </w:r>
          </w:p>
        </w:tc>
        <w:tc>
          <w:tcPr>
            <w:tcW w:w="692" w:type="pct"/>
            <w:shd w:val="clear" w:color="auto" w:fill="D9D9D9"/>
            <w:vAlign w:val="center"/>
          </w:tcPr>
          <w:p>
            <w:pPr>
              <w:spacing w:line="240" w:lineRule="auto"/>
              <w:jc w:val="center"/>
            </w:pPr>
            <w:r>
              <w:rPr>
                <w:rFonts w:ascii="宋体" w:hAnsi="宋体" w:eastAsia="宋体" w:cs="宋体"/>
                <w:b w:val="0"/>
              </w:rPr>
              <w:t>持有份额占基金总份额比例</w:t>
            </w:r>
          </w:p>
        </w:tc>
        <w:tc>
          <w:tcPr>
            <w:tcW w:w="692" w:type="pct"/>
            <w:shd w:val="clear" w:color="auto" w:fill="D9D9D9"/>
            <w:vAlign w:val="center"/>
          </w:tcPr>
          <w:p>
            <w:pPr>
              <w:spacing w:line="240" w:lineRule="auto"/>
              <w:jc w:val="center"/>
            </w:pPr>
            <w:r>
              <w:rPr>
                <w:rFonts w:ascii="宋体" w:hAnsi="宋体" w:eastAsia="宋体" w:cs="宋体"/>
                <w:b w:val="0"/>
              </w:rPr>
              <w:t>发起份额总数</w:t>
            </w:r>
          </w:p>
        </w:tc>
        <w:tc>
          <w:tcPr>
            <w:tcW w:w="692" w:type="pct"/>
            <w:shd w:val="clear" w:color="auto" w:fill="D9D9D9"/>
            <w:vAlign w:val="center"/>
          </w:tcPr>
          <w:p>
            <w:pPr>
              <w:spacing w:line="240" w:lineRule="auto"/>
              <w:jc w:val="center"/>
            </w:pPr>
            <w:r>
              <w:rPr>
                <w:rFonts w:ascii="宋体" w:hAnsi="宋体" w:eastAsia="宋体" w:cs="宋体"/>
                <w:b w:val="0"/>
              </w:rPr>
              <w:t>发起份额占基金总份额比例</w:t>
            </w:r>
          </w:p>
        </w:tc>
        <w:tc>
          <w:tcPr>
            <w:tcW w:w="692" w:type="pct"/>
            <w:shd w:val="clear" w:color="auto" w:fill="D9D9D9"/>
            <w:vAlign w:val="center"/>
          </w:tcPr>
          <w:p>
            <w:pPr>
              <w:spacing w:line="240" w:lineRule="auto"/>
              <w:jc w:val="center"/>
            </w:pPr>
            <w:r>
              <w:rPr>
                <w:rFonts w:ascii="宋体" w:hAnsi="宋体" w:eastAsia="宋体" w:cs="宋体"/>
                <w:b w:val="0"/>
              </w:rPr>
              <w:t>发起份额承诺持有期限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基金管理人固有资金</w:t>
            </w:r>
          </w:p>
        </w:tc>
        <w:tc>
          <w:tcPr>
            <w:tcW w:w="0" w:type="dxa"/>
            <w:vAlign w:val="center"/>
          </w:tcPr>
          <w:p>
            <w:pPr>
              <w:spacing w:line="240" w:lineRule="auto"/>
              <w:jc w:val="right"/>
            </w:pPr>
            <w:r>
              <w:rPr>
                <w:rFonts w:ascii="宋体" w:hAnsi="宋体" w:eastAsia="宋体" w:cs="宋体"/>
                <w:b w:val="0"/>
              </w:rPr>
              <w:t>5,000,388.96</w:t>
            </w:r>
          </w:p>
        </w:tc>
        <w:tc>
          <w:tcPr>
            <w:tcW w:w="0" w:type="dxa"/>
            <w:vAlign w:val="center"/>
          </w:tcPr>
          <w:p>
            <w:pPr>
              <w:spacing w:line="240" w:lineRule="auto"/>
              <w:jc w:val="right"/>
            </w:pPr>
            <w:r>
              <w:rPr>
                <w:rFonts w:ascii="宋体" w:hAnsi="宋体" w:eastAsia="宋体" w:cs="宋体"/>
                <w:b w:val="0"/>
              </w:rPr>
              <w:t>6.84%</w:t>
            </w:r>
          </w:p>
        </w:tc>
        <w:tc>
          <w:tcPr>
            <w:tcW w:w="0" w:type="dxa"/>
            <w:vAlign w:val="center"/>
          </w:tcPr>
          <w:p>
            <w:pPr>
              <w:spacing w:line="240" w:lineRule="auto"/>
              <w:jc w:val="right"/>
            </w:pPr>
            <w:r>
              <w:rPr>
                <w:rFonts w:ascii="宋体" w:hAnsi="宋体" w:eastAsia="宋体" w:cs="宋体"/>
                <w:b w:val="0"/>
              </w:rPr>
              <w:t>5,000,388.96</w:t>
            </w:r>
          </w:p>
        </w:tc>
        <w:tc>
          <w:tcPr>
            <w:tcW w:w="0" w:type="dxa"/>
            <w:vAlign w:val="center"/>
          </w:tcPr>
          <w:p>
            <w:pPr>
              <w:spacing w:line="240" w:lineRule="auto"/>
              <w:jc w:val="right"/>
            </w:pPr>
            <w:r>
              <w:rPr>
                <w:rFonts w:ascii="宋体" w:hAnsi="宋体" w:eastAsia="宋体" w:cs="宋体"/>
                <w:b w:val="0"/>
              </w:rPr>
              <w:t>6.84%</w:t>
            </w:r>
          </w:p>
        </w:tc>
        <w:tc>
          <w:tcPr>
            <w:tcW w:w="0" w:type="dxa"/>
            <w:vAlign w:val="center"/>
          </w:tcPr>
          <w:p>
            <w:pPr>
              <w:spacing w:line="240" w:lineRule="auto"/>
              <w:jc w:val="left"/>
            </w:pPr>
            <w:r>
              <w:rPr>
                <w:rFonts w:ascii="宋体" w:hAnsi="宋体" w:eastAsia="宋体" w:cs="宋体"/>
                <w:b w:val="0"/>
              </w:rPr>
              <w:t>自合同生效之日起不少于3年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基金管理人高级管理人员</w:t>
            </w:r>
          </w:p>
        </w:tc>
        <w:tc>
          <w:tcPr>
            <w:tcW w:w="0" w:type="dxa"/>
            <w:vAlign w:val="center"/>
          </w:tcPr>
          <w:p>
            <w:pPr>
              <w:spacing w:line="240" w:lineRule="auto"/>
              <w:jc w:val="right"/>
            </w:pPr>
            <w:r>
              <w:rPr>
                <w:rFonts w:ascii="宋体" w:hAnsi="宋体" w:eastAsia="宋体" w:cs="宋体"/>
                <w:b w:val="0"/>
              </w:rPr>
              <w:t>4,500,711.07</w:t>
            </w:r>
          </w:p>
        </w:tc>
        <w:tc>
          <w:tcPr>
            <w:tcW w:w="0" w:type="dxa"/>
            <w:vAlign w:val="center"/>
          </w:tcPr>
          <w:p>
            <w:pPr>
              <w:spacing w:line="240" w:lineRule="auto"/>
              <w:jc w:val="right"/>
            </w:pPr>
            <w:r>
              <w:rPr>
                <w:rFonts w:ascii="宋体" w:hAnsi="宋体" w:eastAsia="宋体" w:cs="宋体"/>
                <w:b w:val="0"/>
              </w:rPr>
              <w:t>6.16%</w:t>
            </w:r>
          </w:p>
        </w:tc>
        <w:tc>
          <w:tcPr>
            <w:tcW w:w="0" w:type="dxa"/>
            <w:vAlign w:val="center"/>
          </w:tcPr>
          <w:p>
            <w:pPr>
              <w:spacing w:line="240" w:lineRule="auto"/>
              <w:jc w:val="right"/>
            </w:pPr>
            <w:r>
              <w:rPr>
                <w:rFonts w:ascii="宋体" w:hAnsi="宋体" w:eastAsia="宋体" w:cs="宋体"/>
                <w:b w:val="0"/>
              </w:rPr>
              <w:t>4,500,711.07</w:t>
            </w:r>
          </w:p>
        </w:tc>
        <w:tc>
          <w:tcPr>
            <w:tcW w:w="0" w:type="dxa"/>
            <w:vAlign w:val="center"/>
          </w:tcPr>
          <w:p>
            <w:pPr>
              <w:spacing w:line="240" w:lineRule="auto"/>
              <w:jc w:val="right"/>
            </w:pPr>
            <w:r>
              <w:rPr>
                <w:rFonts w:ascii="宋体" w:hAnsi="宋体" w:eastAsia="宋体" w:cs="宋体"/>
                <w:b w:val="0"/>
              </w:rPr>
              <w:t>6.16%</w:t>
            </w:r>
          </w:p>
        </w:tc>
        <w:tc>
          <w:tcPr>
            <w:tcW w:w="0" w:type="dxa"/>
            <w:vAlign w:val="center"/>
          </w:tcPr>
          <w:p>
            <w:pPr>
              <w:spacing w:line="240" w:lineRule="auto"/>
              <w:jc w:val="left"/>
            </w:pPr>
            <w:r>
              <w:rPr>
                <w:rFonts w:ascii="宋体" w:hAnsi="宋体" w:eastAsia="宋体" w:cs="宋体"/>
                <w:b w:val="0"/>
              </w:rPr>
              <w:t>自合同生效之日起不少于3年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基金经理等人员</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基金管理人股东</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500,419.00</w:t>
            </w:r>
          </w:p>
        </w:tc>
        <w:tc>
          <w:tcPr>
            <w:tcW w:w="0" w:type="dxa"/>
            <w:vAlign w:val="center"/>
          </w:tcPr>
          <w:p>
            <w:pPr>
              <w:spacing w:line="240" w:lineRule="auto"/>
              <w:jc w:val="right"/>
            </w:pPr>
            <w:r>
              <w:rPr>
                <w:rFonts w:ascii="宋体" w:hAnsi="宋体" w:eastAsia="宋体" w:cs="宋体"/>
                <w:b w:val="0"/>
              </w:rPr>
              <w:t>0.68%</w:t>
            </w:r>
          </w:p>
        </w:tc>
        <w:tc>
          <w:tcPr>
            <w:tcW w:w="0" w:type="dxa"/>
            <w:vAlign w:val="center"/>
          </w:tcPr>
          <w:p>
            <w:pPr>
              <w:spacing w:line="240" w:lineRule="auto"/>
              <w:jc w:val="right"/>
            </w:pPr>
            <w:r>
              <w:rPr>
                <w:rFonts w:ascii="宋体" w:hAnsi="宋体" w:eastAsia="宋体" w:cs="宋体"/>
                <w:b w:val="0"/>
              </w:rPr>
              <w:t>500,419.00</w:t>
            </w:r>
          </w:p>
        </w:tc>
        <w:tc>
          <w:tcPr>
            <w:tcW w:w="0" w:type="dxa"/>
            <w:vAlign w:val="center"/>
          </w:tcPr>
          <w:p>
            <w:pPr>
              <w:spacing w:line="240" w:lineRule="auto"/>
              <w:jc w:val="right"/>
            </w:pPr>
            <w:r>
              <w:rPr>
                <w:rFonts w:ascii="宋体" w:hAnsi="宋体" w:eastAsia="宋体" w:cs="宋体"/>
                <w:b w:val="0"/>
              </w:rPr>
              <w:t>0.68%</w:t>
            </w:r>
          </w:p>
        </w:tc>
        <w:tc>
          <w:tcPr>
            <w:tcW w:w="0" w:type="dxa"/>
            <w:vAlign w:val="center"/>
          </w:tcPr>
          <w:p>
            <w:pPr>
              <w:spacing w:line="240" w:lineRule="auto"/>
              <w:jc w:val="left"/>
            </w:pPr>
            <w:r>
              <w:rPr>
                <w:rFonts w:ascii="宋体" w:hAnsi="宋体" w:eastAsia="宋体" w:cs="宋体"/>
                <w:b w:val="0"/>
              </w:rPr>
              <w:t>自合同生效之日起不少于3年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10,001,519.03</w:t>
            </w:r>
          </w:p>
        </w:tc>
        <w:tc>
          <w:tcPr>
            <w:tcW w:w="0" w:type="dxa"/>
            <w:vAlign w:val="center"/>
          </w:tcPr>
          <w:p>
            <w:pPr>
              <w:spacing w:line="240" w:lineRule="auto"/>
              <w:jc w:val="right"/>
            </w:pPr>
            <w:r>
              <w:rPr>
                <w:rFonts w:ascii="宋体" w:hAnsi="宋体" w:eastAsia="宋体" w:cs="宋体"/>
                <w:b w:val="0"/>
              </w:rPr>
              <w:t>13.68%</w:t>
            </w:r>
          </w:p>
        </w:tc>
        <w:tc>
          <w:tcPr>
            <w:tcW w:w="0" w:type="dxa"/>
            <w:vAlign w:val="center"/>
          </w:tcPr>
          <w:p>
            <w:pPr>
              <w:spacing w:line="240" w:lineRule="auto"/>
              <w:jc w:val="right"/>
            </w:pPr>
            <w:r>
              <w:rPr>
                <w:rFonts w:ascii="宋体" w:hAnsi="宋体" w:eastAsia="宋体" w:cs="宋体"/>
                <w:b w:val="0"/>
              </w:rPr>
              <w:t>10,001,519.03</w:t>
            </w:r>
          </w:p>
        </w:tc>
        <w:tc>
          <w:tcPr>
            <w:tcW w:w="0" w:type="dxa"/>
            <w:vAlign w:val="center"/>
          </w:tcPr>
          <w:p>
            <w:pPr>
              <w:spacing w:line="240" w:lineRule="auto"/>
              <w:jc w:val="right"/>
            </w:pPr>
            <w:r>
              <w:rPr>
                <w:rFonts w:ascii="宋体" w:hAnsi="宋体" w:eastAsia="宋体" w:cs="宋体"/>
                <w:b w:val="0"/>
              </w:rPr>
              <w:t>13.68%</w:t>
            </w:r>
          </w:p>
        </w:tc>
        <w:tc>
          <w:tcPr>
            <w:tcW w:w="0" w:type="dxa"/>
            <w:vAlign w:val="center"/>
          </w:tcPr>
          <w:p>
            <w:pPr>
              <w:spacing w:line="240" w:lineRule="auto"/>
              <w:jc w:val="left"/>
            </w:pPr>
            <w:r>
              <w:rPr>
                <w:rFonts w:ascii="宋体" w:hAnsi="宋体" w:eastAsia="宋体" w:cs="宋体"/>
                <w:b w:val="0"/>
              </w:rPr>
              <w:t>-</w:t>
            </w:r>
          </w:p>
        </w:tc>
      </w:tr>
    </w:tbl>
    <w:p>
      <w:pPr>
        <w:pStyle w:val="2"/>
        <w:jc w:val="center"/>
      </w:pPr>
      <w:r>
        <w:rPr>
          <w:rFonts w:ascii="宋体" w:hAnsi="宋体" w:eastAsia="宋体" w:cs="宋体"/>
        </w:rPr>
        <w:t>§9 影响投资者决策的其他重要信息</w:t>
      </w:r>
    </w:p>
    <w:p>
      <w:pPr>
        <w:pStyle w:val="3"/>
        <w:jc w:val="left"/>
      </w:pPr>
      <w:r>
        <w:rPr>
          <w:rFonts w:ascii="宋体" w:hAnsi="宋体" w:eastAsia="宋体" w:cs="宋体"/>
        </w:rPr>
        <w:t>9.1 报告期内单一投资者持有基金份额比例达到或超过20%的情况</w:t>
      </w:r>
    </w:p>
    <w:p>
      <w:r>
        <w:rPr>
          <w:rFonts w:ascii="宋体" w:hAnsi="宋体" w:eastAsia="宋体" w:cs="宋体"/>
          <w:b w:val="0"/>
        </w:rPr>
        <w:t xml:space="preserve">    本报告期内，本基金不存在单一投资者持有基金份额比例达到或超过20%的情况。</w:t>
      </w:r>
    </w:p>
    <w:p/>
    <w:p>
      <w:pPr>
        <w:pStyle w:val="3"/>
        <w:jc w:val="left"/>
      </w:pPr>
      <w:r>
        <w:rPr>
          <w:rFonts w:ascii="宋体" w:hAnsi="宋体" w:eastAsia="宋体" w:cs="宋体"/>
        </w:rPr>
        <w:t>9.2 影响投资者决策的其他重要信息</w:t>
      </w:r>
    </w:p>
    <w:p>
      <w:r>
        <w:rPr>
          <w:rFonts w:ascii="宋体" w:hAnsi="宋体" w:eastAsia="宋体" w:cs="宋体"/>
          <w:b w:val="0"/>
        </w:rPr>
        <w:t xml:space="preserve">    本报告期内，中信银行资产托管部总经理王坚已在监管部门完成高管任职资格备案，取得正式任职资格。</w:t>
      </w:r>
    </w:p>
    <w:p>
      <w:pPr>
        <w:pStyle w:val="2"/>
        <w:jc w:val="center"/>
      </w:pPr>
      <w:r>
        <w:rPr>
          <w:rFonts w:ascii="宋体" w:hAnsi="宋体" w:eastAsia="宋体" w:cs="宋体"/>
        </w:rPr>
        <w:t>§10 备查文件目录</w:t>
      </w:r>
    </w:p>
    <w:p>
      <w:pPr>
        <w:pStyle w:val="3"/>
        <w:jc w:val="left"/>
      </w:pPr>
      <w:r>
        <w:rPr>
          <w:rFonts w:ascii="宋体" w:hAnsi="宋体" w:eastAsia="宋体" w:cs="宋体"/>
        </w:rPr>
        <w:t>10.1 备查文件目录</w:t>
      </w:r>
    </w:p>
    <w:p>
      <w:r>
        <w:rPr>
          <w:rFonts w:ascii="宋体" w:hAnsi="宋体" w:eastAsia="宋体" w:cs="宋体"/>
          <w:b w:val="0"/>
        </w:rPr>
        <w:t xml:space="preserve">    1、中国证券监督管理委员会批准的东方阿尔法健康产业混合型发起式证券投资基金设立的文件；</w:t>
      </w:r>
      <w:r>
        <w:rPr>
          <w:rFonts w:ascii="宋体" w:hAnsi="宋体" w:eastAsia="宋体" w:cs="宋体"/>
          <w:b w:val="0"/>
        </w:rPr>
        <w:br w:type="textWrapping"/>
      </w:r>
      <w:r>
        <w:rPr>
          <w:rFonts w:ascii="宋体" w:hAnsi="宋体" w:eastAsia="宋体" w:cs="宋体"/>
          <w:b w:val="0"/>
        </w:rPr>
        <w:t xml:space="preserve">    2、《东方阿尔法健康产业混合型发起式证券投资基金基金合同》；</w:t>
      </w:r>
      <w:r>
        <w:rPr>
          <w:rFonts w:ascii="宋体" w:hAnsi="宋体" w:eastAsia="宋体" w:cs="宋体"/>
          <w:b w:val="0"/>
        </w:rPr>
        <w:br w:type="textWrapping"/>
      </w:r>
      <w:r>
        <w:rPr>
          <w:rFonts w:ascii="宋体" w:hAnsi="宋体" w:eastAsia="宋体" w:cs="宋体"/>
          <w:b w:val="0"/>
        </w:rPr>
        <w:t xml:space="preserve">    3、《东方阿尔法健康产业混合型发起式证券投资基金托管协议》；</w:t>
      </w:r>
      <w:r>
        <w:rPr>
          <w:rFonts w:ascii="宋体" w:hAnsi="宋体" w:eastAsia="宋体" w:cs="宋体"/>
          <w:b w:val="0"/>
        </w:rPr>
        <w:br w:type="textWrapping"/>
      </w:r>
      <w:r>
        <w:rPr>
          <w:rFonts w:ascii="宋体" w:hAnsi="宋体" w:eastAsia="宋体" w:cs="宋体"/>
          <w:b w:val="0"/>
        </w:rPr>
        <w:t xml:space="preserve">    4、《东方阿尔法健康产业混合型发起式证券投资基金招募说明书》（含更新）；</w:t>
      </w:r>
      <w:r>
        <w:rPr>
          <w:rFonts w:ascii="宋体" w:hAnsi="宋体" w:eastAsia="宋体" w:cs="宋体"/>
          <w:b w:val="0"/>
        </w:rPr>
        <w:br w:type="textWrapping"/>
      </w:r>
      <w:r>
        <w:rPr>
          <w:rFonts w:ascii="宋体" w:hAnsi="宋体" w:eastAsia="宋体" w:cs="宋体"/>
          <w:b w:val="0"/>
        </w:rPr>
        <w:t xml:space="preserve">    5、基金管理人业务资格批件和营业执照。</w:t>
      </w:r>
    </w:p>
    <w:p/>
    <w:p>
      <w:pPr>
        <w:pStyle w:val="3"/>
        <w:jc w:val="left"/>
      </w:pPr>
      <w:r>
        <w:rPr>
          <w:rFonts w:ascii="宋体" w:hAnsi="宋体" w:eastAsia="宋体" w:cs="宋体"/>
        </w:rPr>
        <w:t>10.2 存放地点</w:t>
      </w:r>
    </w:p>
    <w:p>
      <w:r>
        <w:rPr>
          <w:rFonts w:ascii="宋体" w:hAnsi="宋体" w:eastAsia="宋体" w:cs="宋体"/>
          <w:b w:val="0"/>
        </w:rPr>
        <w:t xml:space="preserve">    广东省深圳市深南大道6008号深圳特区报业大厦23BC。</w:t>
      </w:r>
    </w:p>
    <w:p/>
    <w:p>
      <w:pPr>
        <w:pStyle w:val="3"/>
        <w:jc w:val="left"/>
      </w:pPr>
      <w:r>
        <w:rPr>
          <w:rFonts w:ascii="宋体" w:hAnsi="宋体" w:eastAsia="宋体" w:cs="宋体"/>
        </w:rPr>
        <w:t>10.3 查阅方式</w:t>
      </w:r>
    </w:p>
    <w:p>
      <w:r>
        <w:rPr>
          <w:rFonts w:ascii="宋体" w:hAnsi="宋体" w:eastAsia="宋体" w:cs="宋体"/>
          <w:b w:val="0"/>
        </w:rPr>
        <w:t xml:space="preserve">    1、投资者可在营业时间免费查阅，也可按工本费购买复印件。</w:t>
      </w:r>
      <w:r>
        <w:rPr>
          <w:rFonts w:ascii="宋体" w:hAnsi="宋体" w:eastAsia="宋体" w:cs="宋体"/>
          <w:b w:val="0"/>
        </w:rPr>
        <w:br w:type="textWrapping"/>
      </w:r>
      <w:r>
        <w:rPr>
          <w:rFonts w:ascii="宋体" w:hAnsi="宋体" w:eastAsia="宋体" w:cs="宋体"/>
          <w:b w:val="0"/>
        </w:rPr>
        <w:t xml:space="preserve">    2、投资者对本报告书如有疑问，可咨询本基金管理人东方阿尔法基金管理有限公司，客户服务电话：400-930-6677（免长途话费）。</w:t>
      </w:r>
      <w:r>
        <w:rPr>
          <w:rFonts w:ascii="宋体" w:hAnsi="宋体" w:eastAsia="宋体" w:cs="宋体"/>
          <w:b w:val="0"/>
        </w:rPr>
        <w:br w:type="textWrapping"/>
      </w:r>
      <w:r>
        <w:rPr>
          <w:rFonts w:ascii="宋体" w:hAnsi="宋体" w:eastAsia="宋体" w:cs="宋体"/>
          <w:b w:val="0"/>
        </w:rPr>
        <w:t xml:space="preserve">    3、投资者可通过中国证监会基金电子披露网站（http://eid.csrc.gov.cn/fund/）和基金管理人网站（https://www.dfa66.com）查阅本报告书。</w:t>
      </w:r>
    </w:p>
    <w:p>
      <w:pPr>
        <w:jc w:val="right"/>
        <w:rPr>
          <w:rFonts w:ascii="宋体" w:hAnsi="宋体" w:eastAsia="宋体" w:cs="宋体"/>
          <w:b/>
        </w:rPr>
      </w:pPr>
    </w:p>
    <w:p>
      <w:pPr>
        <w:jc w:val="right"/>
      </w:pPr>
      <w:bookmarkStart w:id="1" w:name="_GoBack"/>
      <w:bookmarkEnd w:id="1"/>
      <w:r>
        <w:rPr>
          <w:rFonts w:ascii="宋体" w:hAnsi="宋体" w:eastAsia="宋体" w:cs="宋体"/>
          <w:b/>
        </w:rPr>
        <w:t>东方阿尔法基金管理有限公司</w:t>
      </w:r>
    </w:p>
    <w:p>
      <w:pPr>
        <w:jc w:val="right"/>
      </w:pPr>
      <w:r>
        <w:rPr>
          <w:rFonts w:ascii="宋体" w:hAnsi="宋体" w:eastAsia="宋体" w:cs="宋体"/>
          <w:b/>
        </w:rPr>
        <w:t>二〇二六年十月二十六日</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418" w:bottom="1440" w:left="1418"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2" w:space="0"/>
      </w:pBdr>
      <w:tabs>
        <w:tab w:val="right" w:pos="8640"/>
      </w:tabs>
      <w:jc w:val="center"/>
      <w:textAlignment w:val="center"/>
      <w:rPr>
        <w:rFonts w:ascii="宋体" w:hAnsi="宋体" w:eastAsia="宋体"/>
        <w:sz w:val="20"/>
        <w:szCs w:val="20"/>
      </w:rPr>
    </w:pPr>
    <w:r>
      <w:rPr>
        <w:rFonts w:hint="eastAsia" w:ascii="宋体" w:hAnsi="宋体" w:eastAsia="宋体" w:cs="宋体"/>
        <w:sz w:val="20"/>
        <w:szCs w:val="20"/>
        <w:lang w:bidi="ar"/>
      </w:rPr>
      <w:t>第</w:t>
    </w:r>
    <w:r>
      <w:rPr>
        <w:rFonts w:hint="eastAsia" w:ascii="宋体" w:hAnsi="宋体" w:eastAsia="宋体" w:cs="Times New Roman"/>
        <w:sz w:val="20"/>
        <w:szCs w:val="20"/>
        <w:lang w:bidi="ar"/>
      </w:rPr>
      <w:fldChar w:fldCharType="begin"/>
    </w:r>
    <w:r>
      <w:rPr>
        <w:rFonts w:hint="eastAsia" w:ascii="宋体" w:hAnsi="宋体" w:eastAsia="宋体" w:cs="宋体"/>
        <w:sz w:val="20"/>
        <w:szCs w:val="20"/>
        <w:lang w:bidi="ar"/>
      </w:rPr>
      <w:instrText xml:space="preserve">PAGE  \* MERGEFORMAT</w:instrText>
    </w:r>
    <w:r>
      <w:rPr>
        <w:rFonts w:hint="eastAsia" w:ascii="宋体" w:hAnsi="宋体" w:eastAsia="宋体" w:cs="Times New Roman"/>
        <w:sz w:val="20"/>
        <w:szCs w:val="20"/>
        <w:lang w:bidi="ar"/>
      </w:rPr>
      <w:fldChar w:fldCharType="separate"/>
    </w:r>
    <w:r>
      <w:rPr>
        <w:rFonts w:ascii="宋体" w:hAnsi="宋体" w:eastAsia="宋体" w:cs="宋体"/>
        <w:sz w:val="20"/>
        <w:szCs w:val="20"/>
        <w:lang w:bidi="ar"/>
      </w:rPr>
      <w:t>2</w:t>
    </w:r>
    <w:r>
      <w:rPr>
        <w:rFonts w:hint="eastAsia" w:ascii="宋体" w:hAnsi="宋体" w:eastAsia="宋体" w:cs="宋体"/>
        <w:sz w:val="20"/>
        <w:szCs w:val="20"/>
        <w:lang w:bidi="ar"/>
      </w:rPr>
      <w:fldChar w:fldCharType="end"/>
    </w:r>
    <w:r>
      <w:rPr>
        <w:rFonts w:hint="eastAsia" w:ascii="宋体" w:hAnsi="宋体" w:eastAsia="宋体" w:cs="宋体"/>
        <w:sz w:val="20"/>
        <w:szCs w:val="20"/>
        <w:lang w:bidi="ar"/>
      </w:rPr>
      <w:t>页，共</w:t>
    </w:r>
    <w:r>
      <w:rPr>
        <w:rFonts w:hint="eastAsia" w:ascii="宋体" w:hAnsi="宋体" w:eastAsia="宋体" w:cs="Times New Roman"/>
        <w:sz w:val="20"/>
        <w:szCs w:val="20"/>
        <w:lang w:bidi="ar"/>
      </w:rPr>
      <w:fldChar w:fldCharType="begin"/>
    </w:r>
    <w:r>
      <w:rPr>
        <w:rFonts w:ascii="宋体" w:hAnsi="宋体" w:eastAsia="宋体" w:cs="Times New Roman"/>
        <w:sz w:val="20"/>
        <w:szCs w:val="20"/>
        <w:lang w:bidi="ar"/>
      </w:rPr>
      <w:instrText xml:space="preserve">=</w:instrText>
    </w:r>
    <w:r>
      <w:rPr>
        <w:rFonts w:ascii="宋体" w:hAnsi="宋体" w:eastAsia="宋体" w:cs="宋体"/>
        <w:sz w:val="20"/>
        <w:szCs w:val="20"/>
        <w:lang w:bidi="ar"/>
      </w:rPr>
      <w:fldChar w:fldCharType="begin"/>
    </w:r>
    <w:r>
      <w:rPr>
        <w:rFonts w:ascii="宋体" w:hAnsi="宋体" w:eastAsia="宋体" w:cs="宋体"/>
        <w:sz w:val="20"/>
        <w:szCs w:val="20"/>
        <w:lang w:bidi="ar"/>
      </w:rPr>
      <w:instrText xml:space="preserve"> </w:instrText>
    </w:r>
    <w:r>
      <w:rPr>
        <w:rFonts w:hint="eastAsia" w:ascii="宋体" w:hAnsi="宋体" w:eastAsia="宋体" w:cs="宋体"/>
        <w:sz w:val="20"/>
        <w:szCs w:val="20"/>
        <w:lang w:bidi="ar"/>
      </w:rPr>
      <w:instrText xml:space="preserve">NUMPAGES</w:instrText>
    </w:r>
    <w:r>
      <w:rPr>
        <w:rFonts w:ascii="宋体" w:hAnsi="宋体" w:eastAsia="宋体" w:cs="宋体"/>
        <w:sz w:val="20"/>
        <w:szCs w:val="20"/>
        <w:lang w:bidi="ar"/>
      </w:rPr>
      <w:instrText xml:space="preserve"> </w:instrText>
    </w:r>
    <w:r>
      <w:rPr>
        <w:rFonts w:ascii="宋体" w:hAnsi="宋体" w:eastAsia="宋体" w:cs="宋体"/>
        <w:sz w:val="20"/>
        <w:szCs w:val="20"/>
        <w:lang w:bidi="ar"/>
      </w:rPr>
      <w:fldChar w:fldCharType="separate"/>
    </w:r>
    <w:r>
      <w:rPr>
        <w:rFonts w:ascii="宋体" w:hAnsi="宋体" w:eastAsia="宋体" w:cs="宋体"/>
        <w:sz w:val="20"/>
        <w:szCs w:val="20"/>
        <w:lang w:bidi="ar"/>
      </w:rPr>
      <w:instrText xml:space="preserve">2</w:instrText>
    </w:r>
    <w:r>
      <w:rPr>
        <w:rFonts w:ascii="宋体" w:hAnsi="宋体" w:eastAsia="宋体" w:cs="宋体"/>
        <w:sz w:val="20"/>
        <w:szCs w:val="20"/>
        <w:lang w:bidi="ar"/>
      </w:rPr>
      <w:fldChar w:fldCharType="end"/>
    </w:r>
    <w:r>
      <w:rPr>
        <w:rFonts w:ascii="宋体" w:hAnsi="宋体" w:eastAsia="宋体" w:cs="宋体"/>
        <w:sz w:val="20"/>
        <w:szCs w:val="20"/>
        <w:lang w:bidi="ar"/>
      </w:rPr>
      <w:instrText xml:space="preserve">-1</w:instrText>
    </w:r>
    <w:r>
      <w:rPr>
        <w:rFonts w:hint="eastAsia" w:ascii="宋体" w:hAnsi="宋体" w:eastAsia="宋体" w:cs="Times New Roman"/>
        <w:sz w:val="20"/>
        <w:szCs w:val="20"/>
        <w:lang w:bidi="ar"/>
      </w:rPr>
      <w:fldChar w:fldCharType="separate"/>
    </w:r>
    <w:r>
      <w:rPr>
        <w:rFonts w:ascii="宋体" w:hAnsi="宋体" w:eastAsia="宋体" w:cs="Times New Roman"/>
        <w:sz w:val="20"/>
        <w:szCs w:val="20"/>
        <w:lang w:bidi="ar"/>
      </w:rPr>
      <w:t>1</w:t>
    </w:r>
    <w:r>
      <w:rPr>
        <w:rFonts w:hint="eastAsia" w:ascii="宋体" w:hAnsi="宋体" w:eastAsia="宋体" w:cs="宋体"/>
        <w:sz w:val="20"/>
        <w:szCs w:val="20"/>
        <w:lang w:bidi="ar"/>
      </w:rPr>
      <w:fldChar w:fldCharType="end"/>
    </w:r>
    <w:r>
      <w:rPr>
        <w:rFonts w:hint="eastAsia" w:ascii="宋体" w:hAnsi="宋体" w:eastAsia="宋体" w:cs="宋体"/>
        <w:sz w:val="20"/>
        <w:szCs w:val="20"/>
        <w:lang w:bidi="ar"/>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right"/>
      <w:rPr>
        <w:rFonts w:ascii="宋体" w:hAnsi="宋体" w:eastAsia="宋体"/>
      </w:rPr>
    </w:pPr>
    <w:r>
      <w:rPr>
        <w:rFonts w:hint="eastAsia" w:ascii="宋体" w:hAnsi="宋体" w:eastAsia="宋体"/>
        <w:sz w:val="18"/>
      </w:rPr>
      <w:t>东方阿尔法健康产业混合型发起式证券投资基金2026年第3季度报告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F1"/>
    <w:rsid w:val="00031D8B"/>
    <w:rsid w:val="00033BEA"/>
    <w:rsid w:val="00093312"/>
    <w:rsid w:val="000934BF"/>
    <w:rsid w:val="000B0ABB"/>
    <w:rsid w:val="000B14F1"/>
    <w:rsid w:val="000D44F1"/>
    <w:rsid w:val="000F65E0"/>
    <w:rsid w:val="001567AA"/>
    <w:rsid w:val="001663E4"/>
    <w:rsid w:val="001941F0"/>
    <w:rsid w:val="001A0694"/>
    <w:rsid w:val="001A6F82"/>
    <w:rsid w:val="001E49DE"/>
    <w:rsid w:val="001E604E"/>
    <w:rsid w:val="001E72DB"/>
    <w:rsid w:val="00210325"/>
    <w:rsid w:val="00217CEB"/>
    <w:rsid w:val="0026022A"/>
    <w:rsid w:val="00294812"/>
    <w:rsid w:val="002C6A0C"/>
    <w:rsid w:val="002D4665"/>
    <w:rsid w:val="00315609"/>
    <w:rsid w:val="00324653"/>
    <w:rsid w:val="0039693D"/>
    <w:rsid w:val="00396EB6"/>
    <w:rsid w:val="003B4810"/>
    <w:rsid w:val="00421707"/>
    <w:rsid w:val="004245F7"/>
    <w:rsid w:val="00435171"/>
    <w:rsid w:val="0048630B"/>
    <w:rsid w:val="004A5321"/>
    <w:rsid w:val="004F33D8"/>
    <w:rsid w:val="004F7772"/>
    <w:rsid w:val="005037A9"/>
    <w:rsid w:val="00514F66"/>
    <w:rsid w:val="00536F98"/>
    <w:rsid w:val="005370B1"/>
    <w:rsid w:val="0054091C"/>
    <w:rsid w:val="005826D5"/>
    <w:rsid w:val="005B565C"/>
    <w:rsid w:val="005D1F67"/>
    <w:rsid w:val="00657345"/>
    <w:rsid w:val="00686AE6"/>
    <w:rsid w:val="006935A0"/>
    <w:rsid w:val="00695511"/>
    <w:rsid w:val="006C560C"/>
    <w:rsid w:val="007A3B64"/>
    <w:rsid w:val="007B3AFF"/>
    <w:rsid w:val="007F3D78"/>
    <w:rsid w:val="00801225"/>
    <w:rsid w:val="00832DA1"/>
    <w:rsid w:val="008432E9"/>
    <w:rsid w:val="008F2779"/>
    <w:rsid w:val="00917A48"/>
    <w:rsid w:val="0092608A"/>
    <w:rsid w:val="00931CFE"/>
    <w:rsid w:val="009A04DF"/>
    <w:rsid w:val="009A27BD"/>
    <w:rsid w:val="009C2384"/>
    <w:rsid w:val="009C68F3"/>
    <w:rsid w:val="009F43BC"/>
    <w:rsid w:val="00A53CFE"/>
    <w:rsid w:val="00A76644"/>
    <w:rsid w:val="00AB695A"/>
    <w:rsid w:val="00B02205"/>
    <w:rsid w:val="00B659D3"/>
    <w:rsid w:val="00BA1D2B"/>
    <w:rsid w:val="00BB3931"/>
    <w:rsid w:val="00BB5499"/>
    <w:rsid w:val="00BD2190"/>
    <w:rsid w:val="00C05CA1"/>
    <w:rsid w:val="00C06BEF"/>
    <w:rsid w:val="00C1377F"/>
    <w:rsid w:val="00C370BD"/>
    <w:rsid w:val="00C86ED5"/>
    <w:rsid w:val="00CA50CC"/>
    <w:rsid w:val="00CF2DE6"/>
    <w:rsid w:val="00D155B6"/>
    <w:rsid w:val="00D91EBF"/>
    <w:rsid w:val="00DB110D"/>
    <w:rsid w:val="00DE3FE0"/>
    <w:rsid w:val="00E220FA"/>
    <w:rsid w:val="00E44EAD"/>
    <w:rsid w:val="00E6731E"/>
    <w:rsid w:val="00E67AEA"/>
    <w:rsid w:val="00E913D3"/>
    <w:rsid w:val="00EC2CEF"/>
    <w:rsid w:val="00EE18AB"/>
    <w:rsid w:val="00F07C93"/>
    <w:rsid w:val="00F1496B"/>
    <w:rsid w:val="00F32DCB"/>
    <w:rsid w:val="00FA0949"/>
    <w:rsid w:val="00FA22F7"/>
    <w:rsid w:val="00FA6399"/>
    <w:rsid w:val="00FE53D3"/>
    <w:rsid w:val="17FF4F08"/>
    <w:rsid w:val="312016A7"/>
    <w:rsid w:val="328572ED"/>
    <w:rsid w:val="3E9A1429"/>
    <w:rsid w:val="5EE34946"/>
    <w:rsid w:val="62671060"/>
    <w:rsid w:val="67517C74"/>
    <w:rsid w:val="791E22E2"/>
    <w:rsid w:val="7A382AC9"/>
    <w:rsid w:val="7F246E1A"/>
    <w:rsid w:val="7F2A5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uiPriority="39" w:semiHidden="0" w:name="toc 6"/>
    <w:lsdException w:uiPriority="39" w:semiHidden="0" w:name="toc 7"/>
    <w:lsdException w:uiPriority="39" w:semiHidden="0" w:name="toc 8"/>
    <w:lsdException w:uiPriority="39" w:semiHidden="0" w:name="toc 9"/>
    <w:lsdException w:qFormat="1"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iPriority="61"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8" w:lineRule="auto"/>
      <w:jc w:val="both"/>
    </w:pPr>
    <w:rPr>
      <w:rFonts w:eastAsia="宋体" w:asciiTheme="minorHAnsi" w:hAnsiTheme="minorHAnsi" w:cstheme="minorBidi"/>
      <w:kern w:val="2"/>
      <w:sz w:val="21"/>
      <w:szCs w:val="21"/>
      <w:lang w:val="en-US" w:eastAsia="zh-CN" w:bidi="ar-SA"/>
    </w:rPr>
  </w:style>
  <w:style w:type="paragraph" w:styleId="2">
    <w:name w:val="heading 1"/>
    <w:basedOn w:val="1"/>
    <w:next w:val="1"/>
    <w:link w:val="37"/>
    <w:qFormat/>
    <w:uiPriority w:val="9"/>
    <w:pPr>
      <w:spacing w:before="340" w:after="330" w:line="576" w:lineRule="auto"/>
      <w:jc w:val="center"/>
      <w:outlineLvl w:val="0"/>
    </w:pPr>
    <w:rPr>
      <w:b/>
      <w:bCs/>
      <w:kern w:val="44"/>
      <w:sz w:val="24"/>
      <w:szCs w:val="44"/>
    </w:rPr>
  </w:style>
  <w:style w:type="paragraph" w:styleId="3">
    <w:name w:val="heading 2"/>
    <w:basedOn w:val="1"/>
    <w:next w:val="1"/>
    <w:link w:val="38"/>
    <w:unhideWhenUsed/>
    <w:qFormat/>
    <w:uiPriority w:val="9"/>
    <w:pPr>
      <w:adjustRightInd w:val="0"/>
      <w:spacing w:line="360" w:lineRule="auto"/>
      <w:jc w:val="left"/>
      <w:outlineLvl w:val="1"/>
    </w:pPr>
    <w:rPr>
      <w:rFonts w:asciiTheme="majorHAnsi" w:hAnsiTheme="majorHAnsi" w:cstheme="majorBidi"/>
      <w:b/>
      <w:bCs/>
      <w:sz w:val="24"/>
      <w:szCs w:val="32"/>
    </w:rPr>
  </w:style>
  <w:style w:type="paragraph" w:styleId="4">
    <w:name w:val="heading 3"/>
    <w:basedOn w:val="1"/>
    <w:next w:val="1"/>
    <w:link w:val="39"/>
    <w:unhideWhenUsed/>
    <w:qFormat/>
    <w:uiPriority w:val="9"/>
    <w:pPr>
      <w:keepNext/>
      <w:keepLines/>
      <w:spacing w:line="360" w:lineRule="auto"/>
      <w:outlineLvl w:val="2"/>
    </w:pPr>
    <w:rPr>
      <w:b/>
      <w:bCs/>
      <w:sz w:val="24"/>
      <w:szCs w:val="32"/>
    </w:rPr>
  </w:style>
  <w:style w:type="paragraph" w:styleId="5">
    <w:name w:val="heading 4"/>
    <w:basedOn w:val="1"/>
    <w:next w:val="1"/>
    <w:link w:val="4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0">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uiPriority w:val="39"/>
    <w:pPr>
      <w:ind w:left="1260"/>
      <w:jc w:val="left"/>
    </w:pPr>
    <w:rPr>
      <w:sz w:val="18"/>
      <w:szCs w:val="18"/>
    </w:rPr>
  </w:style>
  <w:style w:type="paragraph" w:styleId="7">
    <w:name w:val="Normal Indent"/>
    <w:basedOn w:val="1"/>
    <w:link w:val="41"/>
    <w:semiHidden/>
    <w:unhideWhenUsed/>
    <w:qFormat/>
    <w:uiPriority w:val="99"/>
    <w:pPr>
      <w:ind w:firstLine="420" w:firstLineChars="200"/>
    </w:pPr>
  </w:style>
  <w:style w:type="paragraph" w:styleId="8">
    <w:name w:val="Document Map"/>
    <w:basedOn w:val="1"/>
    <w:link w:val="57"/>
    <w:semiHidden/>
    <w:unhideWhenUsed/>
    <w:uiPriority w:val="99"/>
    <w:rPr>
      <w:rFonts w:ascii="宋体"/>
      <w:sz w:val="18"/>
      <w:szCs w:val="18"/>
    </w:rPr>
  </w:style>
  <w:style w:type="paragraph" w:styleId="9">
    <w:name w:val="annotation text"/>
    <w:basedOn w:val="1"/>
    <w:link w:val="42"/>
    <w:semiHidden/>
    <w:unhideWhenUsed/>
    <w:qFormat/>
    <w:uiPriority w:val="99"/>
    <w:pPr>
      <w:jc w:val="left"/>
    </w:pPr>
  </w:style>
  <w:style w:type="paragraph" w:styleId="10">
    <w:name w:val="Body Text"/>
    <w:basedOn w:val="1"/>
    <w:link w:val="45"/>
    <w:semiHidden/>
    <w:unhideWhenUsed/>
    <w:qFormat/>
    <w:uiPriority w:val="99"/>
    <w:pPr>
      <w:spacing w:after="120"/>
    </w:pPr>
  </w:style>
  <w:style w:type="paragraph" w:styleId="11">
    <w:name w:val="toc 5"/>
    <w:basedOn w:val="1"/>
    <w:next w:val="1"/>
    <w:unhideWhenUsed/>
    <w:qFormat/>
    <w:uiPriority w:val="39"/>
    <w:pPr>
      <w:ind w:left="840"/>
      <w:jc w:val="left"/>
    </w:pPr>
    <w:rPr>
      <w:sz w:val="18"/>
      <w:szCs w:val="18"/>
    </w:rPr>
  </w:style>
  <w:style w:type="paragraph" w:styleId="12">
    <w:name w:val="toc 3"/>
    <w:basedOn w:val="1"/>
    <w:next w:val="1"/>
    <w:unhideWhenUsed/>
    <w:qFormat/>
    <w:uiPriority w:val="39"/>
    <w:pPr>
      <w:spacing w:line="240" w:lineRule="auto"/>
      <w:ind w:left="420"/>
      <w:jc w:val="left"/>
    </w:pPr>
    <w:rPr>
      <w:i/>
      <w:iCs/>
      <w:szCs w:val="20"/>
    </w:rPr>
  </w:style>
  <w:style w:type="paragraph" w:styleId="13">
    <w:name w:val="Plain Text"/>
    <w:basedOn w:val="1"/>
    <w:link w:val="47"/>
    <w:semiHidden/>
    <w:unhideWhenUsed/>
    <w:qFormat/>
    <w:uiPriority w:val="99"/>
    <w:rPr>
      <w:rFonts w:hAnsi="Courier New" w:cs="Courier New" w:asciiTheme="minorEastAsia"/>
    </w:rPr>
  </w:style>
  <w:style w:type="paragraph" w:styleId="14">
    <w:name w:val="toc 8"/>
    <w:basedOn w:val="1"/>
    <w:next w:val="1"/>
    <w:unhideWhenUsed/>
    <w:uiPriority w:val="39"/>
    <w:pPr>
      <w:ind w:left="1470"/>
      <w:jc w:val="left"/>
    </w:pPr>
    <w:rPr>
      <w:rFonts w:eastAsiaTheme="minorHAnsi"/>
      <w:sz w:val="18"/>
      <w:szCs w:val="18"/>
    </w:rPr>
  </w:style>
  <w:style w:type="paragraph" w:styleId="15">
    <w:name w:val="Date"/>
    <w:basedOn w:val="1"/>
    <w:next w:val="1"/>
    <w:link w:val="46"/>
    <w:semiHidden/>
    <w:unhideWhenUsed/>
    <w:qFormat/>
    <w:uiPriority w:val="99"/>
    <w:pPr>
      <w:ind w:left="100" w:leftChars="2500"/>
    </w:pPr>
  </w:style>
  <w:style w:type="paragraph" w:styleId="16">
    <w:name w:val="Balloon Text"/>
    <w:basedOn w:val="1"/>
    <w:link w:val="49"/>
    <w:semiHidden/>
    <w:unhideWhenUsed/>
    <w:uiPriority w:val="99"/>
    <w:rPr>
      <w:sz w:val="18"/>
      <w:szCs w:val="18"/>
    </w:rPr>
  </w:style>
  <w:style w:type="paragraph" w:styleId="17">
    <w:name w:val="footer"/>
    <w:basedOn w:val="1"/>
    <w:link w:val="44"/>
    <w:unhideWhenUsed/>
    <w:qFormat/>
    <w:uiPriority w:val="99"/>
    <w:pPr>
      <w:tabs>
        <w:tab w:val="center" w:pos="4153"/>
        <w:tab w:val="right" w:pos="8306"/>
      </w:tabs>
      <w:snapToGrid w:val="0"/>
      <w:jc w:val="left"/>
    </w:pPr>
    <w:rPr>
      <w:sz w:val="18"/>
      <w:szCs w:val="18"/>
    </w:rPr>
  </w:style>
  <w:style w:type="paragraph" w:styleId="18">
    <w:name w:val="header"/>
    <w:basedOn w:val="1"/>
    <w:link w:val="43"/>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pPr>
      <w:tabs>
        <w:tab w:val="right" w:leader="dot" w:pos="9060"/>
      </w:tabs>
      <w:spacing w:line="240" w:lineRule="auto"/>
      <w:jc w:val="left"/>
    </w:pPr>
    <w:rPr>
      <w:b/>
      <w:bCs/>
      <w:caps/>
      <w:szCs w:val="20"/>
    </w:rPr>
  </w:style>
  <w:style w:type="paragraph" w:styleId="20">
    <w:name w:val="toc 4"/>
    <w:basedOn w:val="1"/>
    <w:next w:val="1"/>
    <w:unhideWhenUsed/>
    <w:qFormat/>
    <w:uiPriority w:val="39"/>
    <w:pPr>
      <w:ind w:left="630"/>
      <w:jc w:val="left"/>
    </w:pPr>
    <w:rPr>
      <w:sz w:val="18"/>
      <w:szCs w:val="18"/>
    </w:rPr>
  </w:style>
  <w:style w:type="paragraph" w:styleId="21">
    <w:name w:val="toc 6"/>
    <w:basedOn w:val="1"/>
    <w:next w:val="1"/>
    <w:unhideWhenUsed/>
    <w:uiPriority w:val="39"/>
    <w:pPr>
      <w:ind w:left="1050"/>
      <w:jc w:val="left"/>
    </w:pPr>
    <w:rPr>
      <w:sz w:val="18"/>
      <w:szCs w:val="18"/>
    </w:rPr>
  </w:style>
  <w:style w:type="paragraph" w:styleId="22">
    <w:name w:val="toc 2"/>
    <w:basedOn w:val="1"/>
    <w:next w:val="1"/>
    <w:unhideWhenUsed/>
    <w:qFormat/>
    <w:uiPriority w:val="39"/>
    <w:pPr>
      <w:spacing w:line="240" w:lineRule="auto"/>
      <w:ind w:left="210"/>
      <w:jc w:val="left"/>
    </w:pPr>
    <w:rPr>
      <w:smallCaps/>
      <w:szCs w:val="20"/>
    </w:rPr>
  </w:style>
  <w:style w:type="paragraph" w:styleId="23">
    <w:name w:val="toc 9"/>
    <w:basedOn w:val="1"/>
    <w:next w:val="1"/>
    <w:unhideWhenUsed/>
    <w:uiPriority w:val="39"/>
    <w:pPr>
      <w:ind w:left="1680"/>
      <w:jc w:val="left"/>
    </w:pPr>
    <w:rPr>
      <w:rFonts w:eastAsiaTheme="minorHAnsi"/>
      <w:sz w:val="18"/>
      <w:szCs w:val="18"/>
    </w:rPr>
  </w:style>
  <w:style w:type="paragraph" w:styleId="24">
    <w:name w:val="Normal (Web)"/>
    <w:basedOn w:val="1"/>
    <w:semiHidden/>
    <w:unhideWhenUsed/>
    <w:uiPriority w:val="99"/>
    <w:rPr>
      <w:rFonts w:ascii="Times New Roman" w:hAnsi="Times New Roman" w:cs="宋体"/>
      <w:sz w:val="24"/>
      <w:szCs w:val="24"/>
    </w:rPr>
  </w:style>
  <w:style w:type="paragraph" w:styleId="25">
    <w:name w:val="Title"/>
    <w:basedOn w:val="1"/>
    <w:next w:val="1"/>
    <w:link w:val="51"/>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8"/>
    <w:semiHidden/>
    <w:unhideWhenUsed/>
    <w:uiPriority w:val="99"/>
    <w:rPr>
      <w:b/>
      <w:bCs/>
    </w:rPr>
  </w:style>
  <w:style w:type="table" w:styleId="28">
    <w:name w:val="Table Grid"/>
    <w:basedOn w:val="27"/>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Light List Accent 1"/>
    <w:basedOn w:val="27"/>
    <w:semiHidden/>
    <w:unhideWhenUsed/>
    <w:uiPriority w:val="61"/>
    <w:rPr>
      <w:rFonts w:ascii="Times New Roman" w:hAnsi="Times New Roman" w:eastAsia="宋体" w:cs="Times New Roman"/>
      <w:kern w:val="0"/>
      <w:sz w:val="20"/>
      <w:szCs w:val="20"/>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styleId="31">
    <w:name w:val="Strong"/>
    <w:basedOn w:val="30"/>
    <w:qFormat/>
    <w:uiPriority w:val="22"/>
    <w:rPr>
      <w:b/>
      <w:bCs/>
    </w:rPr>
  </w:style>
  <w:style w:type="character" w:styleId="32">
    <w:name w:val="Hyperlink"/>
    <w:basedOn w:val="30"/>
    <w:unhideWhenUsed/>
    <w:qFormat/>
    <w:uiPriority w:val="99"/>
    <w:rPr>
      <w:color w:val="0000FF"/>
      <w:u w:val="single"/>
    </w:rPr>
  </w:style>
  <w:style w:type="character" w:styleId="33">
    <w:name w:val="HTML Code"/>
    <w:basedOn w:val="30"/>
    <w:semiHidden/>
    <w:unhideWhenUsed/>
    <w:uiPriority w:val="99"/>
    <w:rPr>
      <w:rFonts w:ascii="Courier New" w:hAnsi="Courier New" w:cs="Courier New"/>
      <w:sz w:val="20"/>
      <w:szCs w:val="20"/>
    </w:rPr>
  </w:style>
  <w:style w:type="character" w:styleId="34">
    <w:name w:val="annotation reference"/>
    <w:basedOn w:val="30"/>
    <w:semiHidden/>
    <w:unhideWhenUsed/>
    <w:qFormat/>
    <w:uiPriority w:val="99"/>
    <w:rPr>
      <w:sz w:val="21"/>
      <w:szCs w:val="21"/>
    </w:rPr>
  </w:style>
  <w:style w:type="paragraph" w:customStyle="1" w:styleId="35">
    <w:name w:val="代码样式"/>
    <w:link w:val="36"/>
    <w:qFormat/>
    <w:uiPriority w:val="0"/>
    <w:pPr>
      <w:pBdr>
        <w:top w:val="single" w:color="auto" w:sz="4" w:space="1"/>
        <w:left w:val="single" w:color="auto" w:sz="4" w:space="4"/>
        <w:bottom w:val="single" w:color="auto" w:sz="4" w:space="1"/>
        <w:right w:val="single" w:color="auto" w:sz="4" w:space="4"/>
      </w:pBdr>
      <w:shd w:val="clear" w:color="auto" w:fill="A8D08D" w:themeFill="accent6" w:themeFillTint="99"/>
      <w:spacing w:beforeLines="50" w:afterLines="50"/>
      <w:ind w:left="50" w:leftChars="50" w:right="50" w:rightChars="50"/>
    </w:pPr>
    <w:rPr>
      <w:rFonts w:asciiTheme="minorHAnsi" w:hAnsiTheme="minorHAnsi" w:eastAsiaTheme="minorEastAsia" w:cstheme="minorBidi"/>
      <w:kern w:val="2"/>
      <w:sz w:val="21"/>
      <w:szCs w:val="21"/>
      <w:lang w:val="en-US" w:eastAsia="zh-CN" w:bidi="ar-SA"/>
    </w:rPr>
  </w:style>
  <w:style w:type="character" w:customStyle="1" w:styleId="36">
    <w:name w:val="代码样式 Char"/>
    <w:basedOn w:val="30"/>
    <w:link w:val="35"/>
    <w:qFormat/>
    <w:uiPriority w:val="0"/>
    <w:rPr>
      <w:shd w:val="clear" w:color="auto" w:fill="A8D08D" w:themeFill="accent6" w:themeFillTint="99"/>
    </w:rPr>
  </w:style>
  <w:style w:type="character" w:customStyle="1" w:styleId="37">
    <w:name w:val="标题 1 字符"/>
    <w:basedOn w:val="30"/>
    <w:link w:val="2"/>
    <w:qFormat/>
    <w:uiPriority w:val="9"/>
    <w:rPr>
      <w:rFonts w:eastAsia="宋体"/>
      <w:b/>
      <w:bCs/>
      <w:kern w:val="44"/>
      <w:sz w:val="24"/>
      <w:szCs w:val="44"/>
    </w:rPr>
  </w:style>
  <w:style w:type="character" w:customStyle="1" w:styleId="38">
    <w:name w:val="标题 2 字符"/>
    <w:basedOn w:val="30"/>
    <w:link w:val="3"/>
    <w:qFormat/>
    <w:uiPriority w:val="9"/>
    <w:rPr>
      <w:rFonts w:eastAsia="宋体" w:asciiTheme="majorHAnsi" w:hAnsiTheme="majorHAnsi" w:cstheme="majorBidi"/>
      <w:b/>
      <w:bCs/>
      <w:sz w:val="24"/>
      <w:szCs w:val="32"/>
    </w:rPr>
  </w:style>
  <w:style w:type="character" w:customStyle="1" w:styleId="39">
    <w:name w:val="标题 3 字符"/>
    <w:basedOn w:val="30"/>
    <w:link w:val="4"/>
    <w:qFormat/>
    <w:uiPriority w:val="9"/>
    <w:rPr>
      <w:rFonts w:eastAsia="宋体"/>
      <w:b/>
      <w:bCs/>
      <w:sz w:val="24"/>
      <w:szCs w:val="32"/>
    </w:rPr>
  </w:style>
  <w:style w:type="character" w:customStyle="1" w:styleId="40">
    <w:name w:val="标题 4 字符"/>
    <w:basedOn w:val="30"/>
    <w:link w:val="5"/>
    <w:semiHidden/>
    <w:qFormat/>
    <w:uiPriority w:val="9"/>
    <w:rPr>
      <w:rFonts w:asciiTheme="majorHAnsi" w:hAnsiTheme="majorHAnsi" w:eastAsiaTheme="majorEastAsia" w:cstheme="majorBidi"/>
      <w:b/>
      <w:bCs/>
      <w:sz w:val="28"/>
      <w:szCs w:val="28"/>
    </w:rPr>
  </w:style>
  <w:style w:type="character" w:customStyle="1" w:styleId="41">
    <w:name w:val="正文缩进 字符"/>
    <w:link w:val="7"/>
    <w:semiHidden/>
    <w:qFormat/>
    <w:uiPriority w:val="99"/>
    <w:rPr>
      <w:rFonts w:asciiTheme="minorHAnsi" w:hAnsiTheme="minorHAnsi" w:eastAsiaTheme="minorEastAsia" w:cstheme="minorBidi"/>
      <w:sz w:val="21"/>
      <w:szCs w:val="22"/>
    </w:rPr>
  </w:style>
  <w:style w:type="character" w:customStyle="1" w:styleId="42">
    <w:name w:val="批注文字 字符"/>
    <w:basedOn w:val="30"/>
    <w:link w:val="9"/>
    <w:semiHidden/>
    <w:qFormat/>
    <w:uiPriority w:val="99"/>
    <w:rPr>
      <w:rFonts w:asciiTheme="minorHAnsi" w:hAnsiTheme="minorHAnsi" w:eastAsiaTheme="minorEastAsia" w:cstheme="minorBidi"/>
      <w:sz w:val="21"/>
      <w:szCs w:val="22"/>
    </w:rPr>
  </w:style>
  <w:style w:type="character" w:customStyle="1" w:styleId="43">
    <w:name w:val="页眉 字符"/>
    <w:basedOn w:val="30"/>
    <w:link w:val="18"/>
    <w:qFormat/>
    <w:uiPriority w:val="99"/>
    <w:rPr>
      <w:rFonts w:asciiTheme="minorHAnsi" w:hAnsiTheme="minorHAnsi" w:eastAsiaTheme="minorEastAsia" w:cstheme="minorBidi"/>
      <w:sz w:val="18"/>
      <w:szCs w:val="18"/>
    </w:rPr>
  </w:style>
  <w:style w:type="character" w:customStyle="1" w:styleId="44">
    <w:name w:val="页脚 字符"/>
    <w:basedOn w:val="30"/>
    <w:link w:val="17"/>
    <w:qFormat/>
    <w:uiPriority w:val="99"/>
    <w:rPr>
      <w:rFonts w:asciiTheme="minorHAnsi" w:hAnsiTheme="minorHAnsi" w:eastAsiaTheme="minorEastAsia" w:cstheme="minorBidi"/>
      <w:sz w:val="18"/>
      <w:szCs w:val="18"/>
    </w:rPr>
  </w:style>
  <w:style w:type="character" w:customStyle="1" w:styleId="45">
    <w:name w:val="正文文本 字符"/>
    <w:basedOn w:val="30"/>
    <w:link w:val="10"/>
    <w:semiHidden/>
    <w:qFormat/>
    <w:uiPriority w:val="99"/>
    <w:rPr>
      <w:rFonts w:asciiTheme="minorHAnsi" w:hAnsiTheme="minorHAnsi" w:eastAsiaTheme="minorEastAsia" w:cstheme="minorBidi"/>
      <w:sz w:val="21"/>
      <w:szCs w:val="22"/>
    </w:rPr>
  </w:style>
  <w:style w:type="character" w:customStyle="1" w:styleId="46">
    <w:name w:val="日期 字符"/>
    <w:basedOn w:val="30"/>
    <w:link w:val="15"/>
    <w:semiHidden/>
    <w:qFormat/>
    <w:uiPriority w:val="99"/>
    <w:rPr>
      <w:rFonts w:asciiTheme="minorHAnsi" w:hAnsiTheme="minorHAnsi" w:eastAsiaTheme="minorEastAsia" w:cstheme="minorBidi"/>
      <w:sz w:val="21"/>
      <w:szCs w:val="22"/>
    </w:rPr>
  </w:style>
  <w:style w:type="character" w:customStyle="1" w:styleId="47">
    <w:name w:val="纯文本 字符"/>
    <w:basedOn w:val="30"/>
    <w:link w:val="13"/>
    <w:semiHidden/>
    <w:qFormat/>
    <w:uiPriority w:val="99"/>
    <w:rPr>
      <w:rFonts w:hAnsi="Courier New" w:cs="Courier New" w:asciiTheme="minorEastAsia" w:eastAsiaTheme="minorEastAsia"/>
      <w:sz w:val="21"/>
      <w:szCs w:val="22"/>
    </w:rPr>
  </w:style>
  <w:style w:type="character" w:customStyle="1" w:styleId="48">
    <w:name w:val="批注主题 字符"/>
    <w:basedOn w:val="42"/>
    <w:link w:val="26"/>
    <w:semiHidden/>
    <w:qFormat/>
    <w:uiPriority w:val="99"/>
    <w:rPr>
      <w:rFonts w:asciiTheme="minorHAnsi" w:hAnsiTheme="minorHAnsi" w:eastAsiaTheme="minorEastAsia" w:cstheme="minorBidi"/>
      <w:b/>
      <w:bCs/>
      <w:sz w:val="21"/>
      <w:szCs w:val="22"/>
    </w:rPr>
  </w:style>
  <w:style w:type="character" w:customStyle="1" w:styleId="49">
    <w:name w:val="批注框文本 字符"/>
    <w:basedOn w:val="30"/>
    <w:link w:val="16"/>
    <w:semiHidden/>
    <w:uiPriority w:val="99"/>
    <w:rPr>
      <w:rFonts w:asciiTheme="minorHAnsi" w:hAnsiTheme="minorHAnsi" w:eastAsiaTheme="minorEastAsia" w:cstheme="minorBidi"/>
      <w:sz w:val="18"/>
      <w:szCs w:val="18"/>
    </w:rPr>
  </w:style>
  <w:style w:type="paragraph" w:styleId="50">
    <w:name w:val="List Paragraph"/>
    <w:basedOn w:val="1"/>
    <w:qFormat/>
    <w:uiPriority w:val="34"/>
    <w:pPr>
      <w:ind w:firstLine="420" w:firstLineChars="200"/>
    </w:pPr>
  </w:style>
  <w:style w:type="character" w:customStyle="1" w:styleId="51">
    <w:name w:val="标题 字符"/>
    <w:basedOn w:val="30"/>
    <w:link w:val="25"/>
    <w:uiPriority w:val="10"/>
    <w:rPr>
      <w:rFonts w:asciiTheme="majorHAnsi" w:hAnsiTheme="majorHAnsi" w:eastAsiaTheme="majorEastAsia" w:cstheme="majorBidi"/>
      <w:b/>
      <w:bCs/>
      <w:sz w:val="32"/>
      <w:szCs w:val="32"/>
    </w:rPr>
  </w:style>
  <w:style w:type="paragraph" w:customStyle="1" w:styleId="52">
    <w:name w:val="biaoge_left"/>
    <w:basedOn w:val="1"/>
    <w:uiPriority w:val="0"/>
    <w:pPr>
      <w:widowControl/>
      <w:autoSpaceDE w:val="0"/>
      <w:autoSpaceDN w:val="0"/>
      <w:adjustRightInd w:val="0"/>
      <w:spacing w:before="29"/>
      <w:ind w:left="15"/>
      <w:jc w:val="left"/>
    </w:pPr>
    <w:rPr>
      <w:rFonts w:ascii="宋体" w:hAnsi="宋体" w:cs="宋体"/>
      <w:kern w:val="0"/>
      <w:szCs w:val="24"/>
    </w:rPr>
  </w:style>
  <w:style w:type="paragraph" w:customStyle="1" w:styleId="53">
    <w:name w:val="biaoge_center"/>
    <w:basedOn w:val="1"/>
    <w:uiPriority w:val="0"/>
    <w:pPr>
      <w:widowControl/>
      <w:autoSpaceDE w:val="0"/>
      <w:autoSpaceDN w:val="0"/>
      <w:adjustRightInd w:val="0"/>
      <w:spacing w:before="29"/>
      <w:ind w:left="15"/>
      <w:jc w:val="center"/>
    </w:pPr>
    <w:rPr>
      <w:rFonts w:ascii="宋体" w:hAnsi="宋体" w:cs="宋体"/>
      <w:kern w:val="0"/>
      <w:szCs w:val="24"/>
    </w:rPr>
  </w:style>
  <w:style w:type="paragraph" w:customStyle="1" w:styleId="54">
    <w:name w:val="biaoge_right"/>
    <w:basedOn w:val="1"/>
    <w:uiPriority w:val="0"/>
    <w:pPr>
      <w:widowControl/>
      <w:autoSpaceDE w:val="0"/>
      <w:autoSpaceDN w:val="0"/>
      <w:adjustRightInd w:val="0"/>
      <w:spacing w:before="29"/>
      <w:ind w:left="15"/>
      <w:jc w:val="right"/>
    </w:pPr>
    <w:rPr>
      <w:rFonts w:ascii="宋体" w:hAnsi="宋体" w:cs="宋体"/>
      <w:kern w:val="0"/>
      <w:szCs w:val="24"/>
    </w:rPr>
  </w:style>
  <w:style w:type="character" w:customStyle="1" w:styleId="55">
    <w:name w:val="zw"/>
    <w:basedOn w:val="30"/>
    <w:qFormat/>
    <w:uiPriority w:val="1"/>
    <w:rPr>
      <w:rFonts w:ascii="宋体" w:hAnsi="宋体" w:eastAsia="宋体"/>
      <w:color w:val="000000" w:themeColor="text1"/>
      <w:sz w:val="21"/>
      <w14:textFill>
        <w14:solidFill>
          <w14:schemeClr w14:val="tx1"/>
        </w14:solidFill>
      </w14:textFill>
    </w:rPr>
  </w:style>
  <w:style w:type="paragraph" w:customStyle="1" w:styleId="56">
    <w:name w:val="TOC Heading"/>
    <w:basedOn w:val="2"/>
    <w:next w:val="1"/>
    <w:unhideWhenUsed/>
    <w:qFormat/>
    <w:uiPriority w:val="39"/>
    <w:pPr>
      <w:keepNext/>
      <w:keepLines/>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7">
    <w:name w:val="文档结构图 字符"/>
    <w:basedOn w:val="30"/>
    <w:link w:val="8"/>
    <w:semiHidden/>
    <w:uiPriority w:val="99"/>
    <w:rPr>
      <w:rFonts w:ascii="宋体" w:eastAsia="宋体"/>
      <w:sz w:val="18"/>
      <w:szCs w:val="18"/>
    </w:rPr>
  </w:style>
  <w:style w:type="paragraph" w:customStyle="1" w:styleId="58">
    <w:name w:val="zhangjie_p2"/>
    <w:basedOn w:val="4"/>
    <w:next w:val="1"/>
    <w:qFormat/>
    <w:uiPriority w:val="0"/>
    <w:pPr>
      <w:spacing w:line="240" w:lineRule="auto"/>
      <w:jc w:val="left"/>
    </w:pPr>
    <w:rPr>
      <w:bCs w:val="0"/>
      <w:iCs/>
      <w:caps/>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90AC41-F1FC-4D08-9FC0-94272FA532B1}">
  <ds:schemaRefs/>
</ds:datastoreItem>
</file>

<file path=docProps/app.xml><?xml version="1.0" encoding="utf-8"?>
<Properties xmlns="http://schemas.openxmlformats.org/officeDocument/2006/extended-properties" xmlns:vt="http://schemas.openxmlformats.org/officeDocument/2006/docPropsVTypes">
  <Template>Normal.dotm</Template>
  <Pages>2</Pages>
  <Words>24</Words>
  <Characters>139</Characters>
  <Lines>1</Lines>
  <Paragraphs>1</Paragraphs>
  <TotalTime>51</TotalTime>
  <ScaleCrop>false</ScaleCrop>
  <LinksUpToDate>false</LinksUpToDate>
  <CharactersWithSpaces>162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2020-03-27T02:14:00Z</dcterms:created>
  <dc:creator>daicz</dc:creator>
  <cp:lastModifiedBy>聪子</cp:lastModifiedBy>
  <dcterms:modified xsi:type="dcterms:W3CDTF">2026-10-22T09:03:53Z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