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jc w:val="center"/>
        <w:rPr>
          <w:rFonts w:ascii="黑体" w:hAnsi="黑体" w:eastAsia="黑体"/>
          <w:b/>
          <w:bCs/>
          <w:sz w:val="36"/>
          <w:szCs w:val="36"/>
        </w:rPr>
      </w:pPr>
      <w:r>
        <w:rPr>
          <w:rFonts w:hint="eastAsia" w:ascii="黑体" w:hAnsi="黑体" w:eastAsia="黑体"/>
          <w:b/>
          <w:bCs/>
          <w:sz w:val="36"/>
          <w:szCs w:val="36"/>
        </w:rPr>
        <w:t>东方阿尔法科技优选混合型发起式证券投资基金</w:t>
      </w:r>
    </w:p>
    <w:p>
      <w:pPr>
        <w:pStyle w:val="19"/>
        <w:tabs>
          <w:tab w:val="right" w:leader="dot" w:pos="9080"/>
        </w:tabs>
        <w:jc w:val="center"/>
        <w:rPr>
          <w:rFonts w:ascii="黑体" w:hAnsi="黑体" w:eastAsia="黑体"/>
          <w:b/>
          <w:bCs/>
          <w:sz w:val="36"/>
          <w:szCs w:val="36"/>
        </w:rPr>
      </w:pPr>
      <w:r>
        <w:rPr>
          <w:rFonts w:hint="eastAsia" w:ascii="黑体" w:hAnsi="黑体" w:eastAsia="黑体"/>
          <w:b/>
          <w:bCs/>
          <w:sz w:val="36"/>
          <w:szCs w:val="36"/>
        </w:rPr>
        <w:t>2026年第3季度报告</w:t>
      </w:r>
    </w:p>
    <w:p>
      <w:pPr>
        <w:pStyle w:val="19"/>
        <w:tabs>
          <w:tab w:val="right" w:leader="dot" w:pos="9080"/>
        </w:tabs>
        <w:spacing w:line="480" w:lineRule="auto"/>
        <w:jc w:val="center"/>
        <w:rPr>
          <w:rFonts w:ascii="宋体" w:hAnsi="宋体" w:eastAsia="宋体" w:cs="宋体"/>
          <w:b/>
          <w:bCs/>
          <w:sz w:val="24"/>
        </w:rPr>
      </w:pPr>
      <w:r>
        <w:rPr>
          <w:rFonts w:hint="eastAsia" w:ascii="宋体" w:hAnsi="宋体" w:eastAsia="宋体" w:cs="宋体"/>
          <w:b/>
          <w:bCs/>
          <w:sz w:val="24"/>
        </w:rPr>
        <w:t>2026年09月30日</w:t>
      </w: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line="360" w:lineRule="auto"/>
        <w:jc w:val="center"/>
        <w:rPr>
          <w:rFonts w:ascii="宋体" w:hAnsi="宋体" w:eastAsia="宋体" w:cs="宋体"/>
          <w:b/>
          <w:bCs/>
          <w:sz w:val="24"/>
        </w:rPr>
      </w:pPr>
      <w:r>
        <w:rPr>
          <w:rFonts w:hint="eastAsia" w:ascii="宋体" w:hAnsi="宋体" w:eastAsia="宋体" w:cs="宋体"/>
          <w:b/>
          <w:bCs/>
          <w:sz w:val="24"/>
        </w:rPr>
        <w:t>基金管理人:</w:t>
      </w:r>
      <w:r>
        <w:rPr>
          <w:rFonts w:ascii="宋体" w:hAnsi="宋体" w:eastAsia="宋体" w:cs="宋体"/>
          <w:b/>
          <w:color w:val="auto"/>
          <w:sz w:val="24"/>
          <w:u w:val="none"/>
        </w:rPr>
        <w:t>东方阿尔法基金管理有限公司</w:t>
      </w:r>
    </w:p>
    <w:p>
      <w:pPr>
        <w:pStyle w:val="19"/>
        <w:tabs>
          <w:tab w:val="right" w:leader="dot" w:pos="9080"/>
        </w:tabs>
        <w:spacing w:line="360" w:lineRule="auto"/>
        <w:jc w:val="center"/>
        <w:rPr>
          <w:rFonts w:ascii="宋体" w:hAnsi="宋体" w:eastAsia="宋体" w:cs="宋体"/>
          <w:b/>
          <w:bCs/>
          <w:sz w:val="24"/>
        </w:rPr>
      </w:pPr>
      <w:r>
        <w:rPr>
          <w:rFonts w:hint="eastAsia" w:ascii="宋体" w:hAnsi="宋体" w:eastAsia="宋体" w:cs="宋体"/>
          <w:b/>
          <w:bCs/>
          <w:sz w:val="24"/>
        </w:rPr>
        <w:t>基金托管人:</w:t>
      </w:r>
      <w:r>
        <w:rPr>
          <w:rFonts w:ascii="宋体" w:hAnsi="宋体" w:eastAsia="宋体" w:cs="宋体"/>
          <w:b/>
          <w:color w:val="auto"/>
          <w:sz w:val="24"/>
          <w:u w:val="none"/>
        </w:rPr>
        <w:t>中信银行股份有限公司</w:t>
      </w:r>
    </w:p>
    <w:p>
      <w:pPr>
        <w:pStyle w:val="19"/>
        <w:tabs>
          <w:tab w:val="right" w:leader="dot" w:pos="9080"/>
        </w:tabs>
        <w:spacing w:line="360" w:lineRule="auto"/>
        <w:jc w:val="center"/>
        <w:rPr>
          <w:rFonts w:ascii="宋体" w:hAnsi="宋体" w:eastAsia="宋体" w:cs="宋体"/>
          <w:b/>
          <w:bCs/>
          <w:sz w:val="24"/>
        </w:rPr>
      </w:pPr>
      <w:r>
        <w:rPr>
          <w:rFonts w:hint="eastAsia" w:ascii="宋体" w:hAnsi="宋体" w:eastAsia="宋体" w:cs="宋体"/>
          <w:b/>
          <w:bCs/>
          <w:sz w:val="24"/>
        </w:rPr>
        <w:t>报告送出日期:</w:t>
      </w:r>
      <w:r>
        <w:rPr>
          <w:rFonts w:ascii="宋体" w:hAnsi="宋体" w:eastAsia="宋体" w:cs="宋体"/>
          <w:b/>
          <w:color w:val="auto"/>
          <w:sz w:val="24"/>
          <w:u w:val="none"/>
        </w:rPr>
        <w:t>2026年10月26日</w:t>
      </w:r>
    </w:p>
    <w:p>
      <w:pPr>
        <w:jc w:val="center"/>
      </w:pPr>
      <w:r>
        <w:br w:type="page"/>
      </w:r>
    </w:p>
    <w:p>
      <w:pPr>
        <w:pStyle w:val="2"/>
        <w:spacing w:line="576" w:lineRule="auto"/>
        <w:jc w:val="center"/>
        <w:rPr>
          <w:rFonts w:ascii="宋体" w:hAnsi="宋体" w:eastAsia="宋体"/>
          <w:sz w:val="24"/>
          <w:szCs w:val="24"/>
        </w:rPr>
      </w:pPr>
      <w:bookmarkStart w:id="0" w:name="_Toc73379713"/>
      <w:r>
        <w:rPr>
          <w:rFonts w:hint="eastAsia" w:ascii="宋体" w:hAnsi="宋体" w:eastAsia="宋体"/>
          <w:bCs w:val="0"/>
          <w:sz w:val="24"/>
          <w:szCs w:val="24"/>
        </w:rPr>
        <w:t>§1 重要提示</w:t>
      </w:r>
      <w:bookmarkEnd w:id="0"/>
    </w:p>
    <w:p>
      <w:pPr>
        <w:widowControl/>
        <w:rPr>
          <w:rFonts w:ascii="宋体" w:hAnsi="宋体" w:eastAsia="宋体"/>
        </w:rPr>
      </w:pPr>
      <w:r>
        <w:t xml:space="preserve">    基金管理人的董事会及董事保证本报告所载资料不存在虚假记载、误导性陈述或重大遗漏，并对其内容的真实性、准确性和完整性承担个别及连带责任。</w:t>
      </w:r>
      <w:r>
        <w:cr/>
      </w:r>
      <w:r>
        <w:t xml:space="preserve">    基金托管人中信银行股份有限公司根据本基金合同规定，于2026年10月23日复核了本报告中的财务指标、净值表现和投资组合报告等内容，保证复核内容不存在虚假记载、误导性陈述或者重大遗漏。</w:t>
      </w:r>
      <w:r>
        <w:cr/>
      </w:r>
      <w:r>
        <w:t xml:space="preserve">    基金管理人承诺以诚实信用、勤勉尽责的原则管理和运用基金资产，但不保证基金一定盈利。</w:t>
      </w:r>
      <w:r>
        <w:cr/>
      </w:r>
      <w:r>
        <w:t xml:space="preserve">    基金的过往业绩并不代表其未来表现。投资有风险，投资者在做出投资决策前应仔细阅读本基金的招募说明书。</w:t>
      </w:r>
      <w:r>
        <w:cr/>
      </w:r>
      <w:r>
        <w:t xml:space="preserve">    本报告中财务资料未经审计。</w:t>
      </w:r>
      <w:r>
        <w:cr/>
      </w:r>
      <w:r>
        <w:t xml:space="preserve">    本报告期自2026年07月01日起至2026年09月30日止。</w:t>
      </w:r>
    </w:p>
    <w:p/>
    <w:p>
      <w:pPr>
        <w:pStyle w:val="2"/>
        <w:jc w:val="center"/>
      </w:pPr>
      <w:r>
        <w:rPr>
          <w:rFonts w:ascii="宋体" w:hAnsi="宋体" w:eastAsia="宋体" w:cs="宋体"/>
        </w:rPr>
        <w:t>§2 基金产品概况</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71"/>
        <w:gridCol w:w="2786"/>
        <w:gridCol w:w="29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Align w:val="center"/>
          </w:tcPr>
          <w:p>
            <w:pPr>
              <w:spacing w:line="240" w:lineRule="auto"/>
              <w:jc w:val="left"/>
            </w:pPr>
            <w:r>
              <w:rPr>
                <w:rFonts w:ascii="宋体" w:hAnsi="宋体" w:eastAsia="宋体" w:cs="宋体"/>
                <w:b w:val="0"/>
              </w:rPr>
              <w:t>基金简称</w:t>
            </w:r>
          </w:p>
        </w:tc>
        <w:tc>
          <w:tcPr>
            <w:tcW w:w="3077" w:type="pct"/>
            <w:gridSpan w:val="2"/>
            <w:vAlign w:val="center"/>
          </w:tcPr>
          <w:p>
            <w:pPr>
              <w:spacing w:line="240" w:lineRule="auto"/>
              <w:jc w:val="left"/>
            </w:pPr>
            <w:r>
              <w:rPr>
                <w:rFonts w:ascii="宋体" w:hAnsi="宋体" w:eastAsia="宋体" w:cs="宋体"/>
                <w:b w:val="0"/>
              </w:rPr>
              <w:t>东方阿尔法科技优选混合发起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Align w:val="center"/>
          </w:tcPr>
          <w:p>
            <w:pPr>
              <w:spacing w:line="240" w:lineRule="auto"/>
              <w:jc w:val="left"/>
            </w:pPr>
            <w:r>
              <w:rPr>
                <w:rFonts w:ascii="宋体" w:hAnsi="宋体" w:eastAsia="宋体" w:cs="宋体"/>
                <w:b w:val="0"/>
              </w:rPr>
              <w:t>基金主代码</w:t>
            </w:r>
          </w:p>
        </w:tc>
        <w:tc>
          <w:tcPr>
            <w:tcW w:w="0" w:type="dxa"/>
            <w:gridSpan w:val="2"/>
            <w:vAlign w:val="center"/>
          </w:tcPr>
          <w:p>
            <w:pPr>
              <w:spacing w:line="240" w:lineRule="auto"/>
              <w:jc w:val="left"/>
            </w:pPr>
            <w:r>
              <w:rPr>
                <w:rFonts w:ascii="宋体" w:hAnsi="宋体" w:eastAsia="宋体" w:cs="宋体"/>
                <w:b w:val="0"/>
              </w:rPr>
              <w:t>024423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Align w:val="center"/>
          </w:tcPr>
          <w:p>
            <w:pPr>
              <w:spacing w:line="240" w:lineRule="auto"/>
              <w:jc w:val="left"/>
            </w:pPr>
            <w:r>
              <w:rPr>
                <w:rFonts w:ascii="宋体" w:hAnsi="宋体" w:eastAsia="宋体" w:cs="宋体"/>
                <w:b w:val="0"/>
              </w:rPr>
              <w:t>基金运作方式</w:t>
            </w:r>
          </w:p>
        </w:tc>
        <w:tc>
          <w:tcPr>
            <w:tcW w:w="0" w:type="dxa"/>
            <w:gridSpan w:val="2"/>
            <w:vAlign w:val="center"/>
          </w:tcPr>
          <w:p>
            <w:pPr>
              <w:spacing w:line="240" w:lineRule="auto"/>
              <w:jc w:val="left"/>
            </w:pPr>
            <w:r>
              <w:rPr>
                <w:rFonts w:ascii="宋体" w:hAnsi="宋体" w:eastAsia="宋体" w:cs="宋体"/>
                <w:b w:val="0"/>
              </w:rPr>
              <w:t>契约型开放式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Align w:val="center"/>
          </w:tcPr>
          <w:p>
            <w:pPr>
              <w:spacing w:line="240" w:lineRule="auto"/>
              <w:jc w:val="left"/>
            </w:pPr>
            <w:r>
              <w:rPr>
                <w:rFonts w:ascii="宋体" w:hAnsi="宋体" w:eastAsia="宋体" w:cs="宋体"/>
                <w:b w:val="0"/>
              </w:rPr>
              <w:t>基金合同生效日</w:t>
            </w:r>
          </w:p>
        </w:tc>
        <w:tc>
          <w:tcPr>
            <w:tcW w:w="0" w:type="dxa"/>
            <w:gridSpan w:val="2"/>
            <w:vAlign w:val="center"/>
          </w:tcPr>
          <w:p>
            <w:pPr>
              <w:spacing w:line="240" w:lineRule="auto"/>
              <w:jc w:val="left"/>
            </w:pPr>
            <w:r>
              <w:rPr>
                <w:rFonts w:ascii="宋体" w:hAnsi="宋体" w:eastAsia="宋体" w:cs="宋体"/>
                <w:b w:val="0"/>
              </w:rPr>
              <w:t>2025年06月06日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Align w:val="center"/>
          </w:tcPr>
          <w:p>
            <w:pPr>
              <w:spacing w:line="240" w:lineRule="auto"/>
              <w:jc w:val="left"/>
            </w:pPr>
            <w:r>
              <w:rPr>
                <w:rFonts w:ascii="宋体" w:hAnsi="宋体" w:eastAsia="宋体" w:cs="宋体"/>
                <w:b w:val="0"/>
              </w:rPr>
              <w:t>报告期末基金份额总额</w:t>
            </w:r>
          </w:p>
        </w:tc>
        <w:tc>
          <w:tcPr>
            <w:tcW w:w="0" w:type="dxa"/>
            <w:gridSpan w:val="2"/>
            <w:vAlign w:val="center"/>
          </w:tcPr>
          <w:p>
            <w:pPr>
              <w:spacing w:line="240" w:lineRule="auto"/>
              <w:jc w:val="left"/>
            </w:pPr>
            <w:r>
              <w:rPr>
                <w:rFonts w:ascii="宋体" w:hAnsi="宋体" w:eastAsia="宋体" w:cs="宋体"/>
                <w:b w:val="0"/>
              </w:rPr>
              <w:t>665,177,448.87份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Align w:val="center"/>
          </w:tcPr>
          <w:p>
            <w:pPr>
              <w:spacing w:line="240" w:lineRule="auto"/>
              <w:jc w:val="left"/>
            </w:pPr>
            <w:r>
              <w:rPr>
                <w:rFonts w:ascii="宋体" w:hAnsi="宋体" w:eastAsia="宋体" w:cs="宋体"/>
                <w:b w:val="0"/>
              </w:rPr>
              <w:t>投资目标</w:t>
            </w:r>
          </w:p>
        </w:tc>
        <w:tc>
          <w:tcPr>
            <w:tcW w:w="2592" w:type="pct"/>
            <w:gridSpan w:val="2"/>
            <w:vAlign w:val="center"/>
          </w:tcPr>
          <w:p>
            <w:pPr>
              <w:spacing w:line="240" w:lineRule="auto"/>
              <w:jc w:val="left"/>
            </w:pPr>
            <w:r>
              <w:rPr>
                <w:rFonts w:ascii="宋体" w:hAnsi="宋体" w:eastAsia="宋体" w:cs="宋体"/>
                <w:b w:val="0"/>
              </w:rPr>
              <w:t>本基金在严格控制风险并保持良好流动性的前提下，重点投资于科技主题相关证券，力争获取超越业绩比较基准的投资回报，谋求基金资产的长期增值。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Align w:val="center"/>
          </w:tcPr>
          <w:p>
            <w:pPr>
              <w:spacing w:line="240" w:lineRule="auto"/>
              <w:jc w:val="left"/>
            </w:pPr>
            <w:r>
              <w:rPr>
                <w:rFonts w:ascii="宋体" w:hAnsi="宋体" w:eastAsia="宋体" w:cs="宋体"/>
                <w:b w:val="0"/>
              </w:rPr>
              <w:t>投资策略</w:t>
            </w:r>
          </w:p>
        </w:tc>
        <w:tc>
          <w:tcPr>
            <w:tcW w:w="0" w:type="dxa"/>
            <w:gridSpan w:val="2"/>
            <w:vAlign w:val="center"/>
          </w:tcPr>
          <w:p>
            <w:pPr>
              <w:spacing w:line="240" w:lineRule="auto"/>
              <w:jc w:val="left"/>
            </w:pPr>
            <w:r>
              <w:rPr>
                <w:rFonts w:ascii="宋体" w:hAnsi="宋体" w:eastAsia="宋体" w:cs="宋体"/>
                <w:b w:val="0"/>
              </w:rPr>
              <w:t>本基金的投资策略主要有以下11个方面内容：</w:t>
            </w:r>
            <w:r>
              <w:rPr>
                <w:rFonts w:ascii="宋体" w:hAnsi="宋体" w:eastAsia="宋体" w:cs="宋体"/>
                <w:b w:val="0"/>
              </w:rPr>
              <w:br w:type="textWrapping"/>
            </w:r>
            <w:r>
              <w:rPr>
                <w:rFonts w:ascii="宋体" w:hAnsi="宋体" w:eastAsia="宋体" w:cs="宋体"/>
                <w:b w:val="0"/>
              </w:rPr>
              <w:t>1、资产配置策略</w:t>
            </w:r>
            <w:r>
              <w:rPr>
                <w:rFonts w:ascii="宋体" w:hAnsi="宋体" w:eastAsia="宋体" w:cs="宋体"/>
                <w:b w:val="0"/>
              </w:rPr>
              <w:br w:type="textWrapping"/>
            </w:r>
            <w:r>
              <w:rPr>
                <w:rFonts w:ascii="宋体" w:hAnsi="宋体" w:eastAsia="宋体" w:cs="宋体"/>
                <w:b w:val="0"/>
              </w:rPr>
              <w:t>本基金结合定性与定量分析经济和市场趋势，评估风险和收益，确定股票、债券、现金等资产的配置比例和调整原则，追求稳定增值，同时持续监控风险并适时调整。</w:t>
            </w:r>
            <w:r>
              <w:rPr>
                <w:rFonts w:ascii="宋体" w:hAnsi="宋体" w:eastAsia="宋体" w:cs="宋体"/>
                <w:b w:val="0"/>
              </w:rPr>
              <w:br w:type="textWrapping"/>
            </w:r>
            <w:r>
              <w:rPr>
                <w:rFonts w:ascii="宋体" w:hAnsi="宋体" w:eastAsia="宋体" w:cs="宋体"/>
                <w:b w:val="0"/>
              </w:rPr>
              <w:t>2、股票投资策略</w:t>
            </w:r>
            <w:r>
              <w:rPr>
                <w:rFonts w:ascii="宋体" w:hAnsi="宋体" w:eastAsia="宋体" w:cs="宋体"/>
                <w:b w:val="0"/>
              </w:rPr>
              <w:br w:type="textWrapping"/>
            </w:r>
            <w:r>
              <w:rPr>
                <w:rFonts w:ascii="宋体" w:hAnsi="宋体" w:eastAsia="宋体" w:cs="宋体"/>
                <w:b w:val="0"/>
              </w:rPr>
              <w:t>本基金通过定性与定量结合的积极策略，自下而上精选科技主题股票，构建多元资产组合以实现长期稳健增值。</w:t>
            </w:r>
            <w:r>
              <w:rPr>
                <w:rFonts w:ascii="宋体" w:hAnsi="宋体" w:eastAsia="宋体" w:cs="宋体"/>
                <w:b w:val="0"/>
              </w:rPr>
              <w:br w:type="textWrapping"/>
            </w:r>
            <w:r>
              <w:rPr>
                <w:rFonts w:ascii="宋体" w:hAnsi="宋体" w:eastAsia="宋体" w:cs="宋体"/>
                <w:b w:val="0"/>
              </w:rPr>
              <w:t>3、港股投资策略</w:t>
            </w:r>
            <w:r>
              <w:rPr>
                <w:rFonts w:ascii="宋体" w:hAnsi="宋体" w:eastAsia="宋体" w:cs="宋体"/>
                <w:b w:val="0"/>
              </w:rPr>
              <w:br w:type="textWrapping"/>
            </w:r>
            <w:r>
              <w:rPr>
                <w:rFonts w:ascii="宋体" w:hAnsi="宋体" w:eastAsia="宋体" w:cs="宋体"/>
                <w:b w:val="0"/>
              </w:rPr>
              <w:t>本基金将通过内地与香港股票市场交易互联互通机制投资于香港股票市场，不使用合格境内机构投资者(QDII)境外投资额度进行境外投资。</w:t>
            </w:r>
            <w:r>
              <w:rPr>
                <w:rFonts w:ascii="宋体" w:hAnsi="宋体" w:eastAsia="宋体" w:cs="宋体"/>
                <w:b w:val="0"/>
              </w:rPr>
              <w:br w:type="textWrapping"/>
            </w:r>
            <w:r>
              <w:rPr>
                <w:rFonts w:ascii="宋体" w:hAnsi="宋体" w:eastAsia="宋体" w:cs="宋体"/>
                <w:b w:val="0"/>
              </w:rPr>
              <w:t>4、存托凭证投资策略</w:t>
            </w:r>
            <w:r>
              <w:rPr>
                <w:rFonts w:ascii="宋体" w:hAnsi="宋体" w:eastAsia="宋体" w:cs="宋体"/>
                <w:b w:val="0"/>
              </w:rPr>
              <w:br w:type="textWrapping"/>
            </w:r>
            <w:r>
              <w:rPr>
                <w:rFonts w:ascii="宋体" w:hAnsi="宋体" w:eastAsia="宋体" w:cs="宋体"/>
                <w:b w:val="0"/>
              </w:rPr>
              <w:t>本基金在深入研究的基础上，通过定性分析和定量分析相结合的方式，选择投资价值高的存托凭证进行投资。</w:t>
            </w:r>
            <w:r>
              <w:rPr>
                <w:rFonts w:ascii="宋体" w:hAnsi="宋体" w:eastAsia="宋体" w:cs="宋体"/>
                <w:b w:val="0"/>
              </w:rPr>
              <w:br w:type="textWrapping"/>
            </w:r>
            <w:r>
              <w:rPr>
                <w:rFonts w:ascii="宋体" w:hAnsi="宋体" w:eastAsia="宋体" w:cs="宋体"/>
                <w:b w:val="0"/>
              </w:rPr>
              <w:t>5、债券类资产投资策略</w:t>
            </w:r>
            <w:r>
              <w:rPr>
                <w:rFonts w:ascii="宋体" w:hAnsi="宋体" w:eastAsia="宋体" w:cs="宋体"/>
                <w:b w:val="0"/>
              </w:rPr>
              <w:br w:type="textWrapping"/>
            </w:r>
            <w:r>
              <w:rPr>
                <w:rFonts w:ascii="宋体" w:hAnsi="宋体" w:eastAsia="宋体" w:cs="宋体"/>
                <w:b w:val="0"/>
              </w:rPr>
              <w:t>本基金的债券投资将采取较为积极的策略，通过利率预测分析、收益率曲线变动分析、债券信用分析、收益率利差分析等，研判各类属固定收益类资产的风险趋势与收益预期，精选个券进行投资。</w:t>
            </w:r>
            <w:r>
              <w:rPr>
                <w:rFonts w:ascii="宋体" w:hAnsi="宋体" w:eastAsia="宋体" w:cs="宋体"/>
                <w:b w:val="0"/>
              </w:rPr>
              <w:br w:type="textWrapping"/>
            </w:r>
            <w:r>
              <w:rPr>
                <w:rFonts w:ascii="宋体" w:hAnsi="宋体" w:eastAsia="宋体" w:cs="宋体"/>
                <w:b w:val="0"/>
              </w:rPr>
              <w:t>6、可转债（含分离交易可转债）及可交换债券投资策略</w:t>
            </w:r>
            <w:r>
              <w:rPr>
                <w:rFonts w:ascii="宋体" w:hAnsi="宋体" w:eastAsia="宋体" w:cs="宋体"/>
                <w:b w:val="0"/>
              </w:rPr>
              <w:br w:type="textWrapping"/>
            </w:r>
            <w:r>
              <w:rPr>
                <w:rFonts w:ascii="宋体" w:hAnsi="宋体" w:eastAsia="宋体" w:cs="宋体"/>
                <w:b w:val="0"/>
              </w:rPr>
              <w:t>对于可转换债券的投资，本基金在评估其偿债能力的同时兼顾公司的成长性，以期通过转换条款分享因股价上升带来的高收益。</w:t>
            </w:r>
            <w:r>
              <w:rPr>
                <w:rFonts w:ascii="宋体" w:hAnsi="宋体" w:eastAsia="宋体" w:cs="宋体"/>
                <w:b w:val="0"/>
              </w:rPr>
              <w:br w:type="textWrapping"/>
            </w:r>
            <w:r>
              <w:rPr>
                <w:rFonts w:ascii="宋体" w:hAnsi="宋体" w:eastAsia="宋体" w:cs="宋体"/>
                <w:b w:val="0"/>
              </w:rPr>
              <w:t>7、股指期货投资策略</w:t>
            </w:r>
            <w:r>
              <w:rPr>
                <w:rFonts w:ascii="宋体" w:hAnsi="宋体" w:eastAsia="宋体" w:cs="宋体"/>
                <w:b w:val="0"/>
              </w:rPr>
              <w:br w:type="textWrapping"/>
            </w:r>
            <w:r>
              <w:rPr>
                <w:rFonts w:ascii="宋体" w:hAnsi="宋体" w:eastAsia="宋体" w:cs="宋体"/>
                <w:b w:val="0"/>
              </w:rPr>
              <w:t>本基金将按照风险管理的原则，以套期保值为主要目的，参与股指期货的投资。此外，本基金还将运用股指期货来管理特殊情况下的流动性风险，如预期大额申购赎回、大量分红等。</w:t>
            </w:r>
            <w:r>
              <w:rPr>
                <w:rFonts w:ascii="宋体" w:hAnsi="宋体" w:eastAsia="宋体" w:cs="宋体"/>
                <w:b w:val="0"/>
              </w:rPr>
              <w:br w:type="textWrapping"/>
            </w:r>
            <w:r>
              <w:rPr>
                <w:rFonts w:ascii="宋体" w:hAnsi="宋体" w:eastAsia="宋体" w:cs="宋体"/>
                <w:b w:val="0"/>
              </w:rPr>
              <w:t>8、融资业务投资策略</w:t>
            </w:r>
            <w:r>
              <w:rPr>
                <w:rFonts w:ascii="宋体" w:hAnsi="宋体" w:eastAsia="宋体" w:cs="宋体"/>
                <w:b w:val="0"/>
              </w:rPr>
              <w:br w:type="textWrapping"/>
            </w:r>
            <w:r>
              <w:rPr>
                <w:rFonts w:ascii="宋体" w:hAnsi="宋体" w:eastAsia="宋体" w:cs="宋体"/>
                <w:b w:val="0"/>
              </w:rPr>
              <w:t>本基金参与融资业务，将综合考虑融资成本、保证金比例、冲抵保证金证券折算率、信用资质等条件选择合适的交易对手方。同时，在保障基金投资组合充足流动性以及有效控制融资杠杆风险的前提下，确定融资比例。</w:t>
            </w:r>
            <w:r>
              <w:rPr>
                <w:rFonts w:ascii="宋体" w:hAnsi="宋体" w:eastAsia="宋体" w:cs="宋体"/>
                <w:b w:val="0"/>
              </w:rPr>
              <w:br w:type="textWrapping"/>
            </w:r>
            <w:r>
              <w:rPr>
                <w:rFonts w:ascii="宋体" w:hAnsi="宋体" w:eastAsia="宋体" w:cs="宋体"/>
                <w:b w:val="0"/>
              </w:rPr>
              <w:t>9、国债期货投资策略</w:t>
            </w:r>
            <w:r>
              <w:rPr>
                <w:rFonts w:ascii="宋体" w:hAnsi="宋体" w:eastAsia="宋体" w:cs="宋体"/>
                <w:b w:val="0"/>
              </w:rPr>
              <w:br w:type="textWrapping"/>
            </w:r>
            <w:r>
              <w:rPr>
                <w:rFonts w:ascii="宋体" w:hAnsi="宋体" w:eastAsia="宋体" w:cs="宋体"/>
                <w:b w:val="0"/>
              </w:rPr>
              <w:t>本基金以套期保值为主要目的，参与国债期货的投资，管理市场风险，故国债期货空头的合约价值主要与债券组合的多头价值相对应。</w:t>
            </w:r>
            <w:r>
              <w:rPr>
                <w:rFonts w:ascii="宋体" w:hAnsi="宋体" w:eastAsia="宋体" w:cs="宋体"/>
                <w:b w:val="0"/>
              </w:rPr>
              <w:br w:type="textWrapping"/>
            </w:r>
            <w:r>
              <w:rPr>
                <w:rFonts w:ascii="宋体" w:hAnsi="宋体" w:eastAsia="宋体" w:cs="宋体"/>
                <w:b w:val="0"/>
              </w:rPr>
              <w:t>10、股票期权投资策略</w:t>
            </w:r>
            <w:r>
              <w:rPr>
                <w:rFonts w:ascii="宋体" w:hAnsi="宋体" w:eastAsia="宋体" w:cs="宋体"/>
                <w:b w:val="0"/>
              </w:rPr>
              <w:br w:type="textWrapping"/>
            </w:r>
            <w:r>
              <w:rPr>
                <w:rFonts w:ascii="宋体" w:hAnsi="宋体" w:eastAsia="宋体" w:cs="宋体"/>
                <w:b w:val="0"/>
              </w:rPr>
              <w:t>本基金以套期保值为主要目的参与股票期权交易，结合投资目标、比例限制、风险收益特征以及法律法规的相关限定和要求，确定参与股票期权交易的投资时机和投资比例。</w:t>
            </w:r>
            <w:r>
              <w:rPr>
                <w:rFonts w:ascii="宋体" w:hAnsi="宋体" w:eastAsia="宋体" w:cs="宋体"/>
                <w:b w:val="0"/>
              </w:rPr>
              <w:br w:type="textWrapping"/>
            </w:r>
            <w:r>
              <w:rPr>
                <w:rFonts w:ascii="宋体" w:hAnsi="宋体" w:eastAsia="宋体" w:cs="宋体"/>
                <w:b w:val="0"/>
              </w:rPr>
              <w:t>11、资产支持证券投资策略</w:t>
            </w:r>
            <w:r>
              <w:rPr>
                <w:rFonts w:ascii="宋体" w:hAnsi="宋体" w:eastAsia="宋体" w:cs="宋体"/>
                <w:b w:val="0"/>
              </w:rPr>
              <w:br w:type="textWrapping"/>
            </w:r>
            <w:r>
              <w:rPr>
                <w:rFonts w:ascii="宋体" w:hAnsi="宋体" w:eastAsia="宋体" w:cs="宋体"/>
                <w:b w:val="0"/>
              </w:rPr>
              <w:t>本基金将综合运用久期管理、收益率曲线、个券选择以及把握市场交易机会等积极策略，在严格控制风险的情况下，结合信用研究和流动性管理，选择风险调整后收益高的品种进行投资，以期获得长期稳定收益。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Align w:val="center"/>
          </w:tcPr>
          <w:p>
            <w:pPr>
              <w:spacing w:line="240" w:lineRule="auto"/>
              <w:jc w:val="left"/>
            </w:pPr>
            <w:r>
              <w:rPr>
                <w:rFonts w:ascii="宋体" w:hAnsi="宋体" w:eastAsia="宋体" w:cs="宋体"/>
                <w:b w:val="0"/>
              </w:rPr>
              <w:t>业绩比较基准</w:t>
            </w:r>
          </w:p>
        </w:tc>
        <w:tc>
          <w:tcPr>
            <w:tcW w:w="0" w:type="dxa"/>
            <w:gridSpan w:val="2"/>
            <w:vAlign w:val="center"/>
          </w:tcPr>
          <w:p>
            <w:pPr>
              <w:spacing w:line="240" w:lineRule="auto"/>
              <w:jc w:val="left"/>
            </w:pPr>
            <w:r>
              <w:rPr>
                <w:rFonts w:ascii="宋体" w:hAnsi="宋体" w:eastAsia="宋体" w:cs="宋体"/>
                <w:b w:val="0"/>
              </w:rPr>
              <w:t>中国战略新兴产业成份指数收益率*70%+中债-综合指数(全价)收益率*20%+恒生科技指数收益率(按估值汇率折算)*10%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Align w:val="center"/>
          </w:tcPr>
          <w:p>
            <w:pPr>
              <w:spacing w:line="240" w:lineRule="auto"/>
              <w:jc w:val="left"/>
            </w:pPr>
            <w:r>
              <w:rPr>
                <w:rFonts w:ascii="宋体" w:hAnsi="宋体" w:eastAsia="宋体" w:cs="宋体"/>
                <w:b w:val="0"/>
              </w:rPr>
              <w:t>风险收益特征</w:t>
            </w:r>
          </w:p>
        </w:tc>
        <w:tc>
          <w:tcPr>
            <w:tcW w:w="2592" w:type="pct"/>
            <w:gridSpan w:val="2"/>
            <w:vAlign w:val="center"/>
          </w:tcPr>
          <w:p>
            <w:pPr>
              <w:spacing w:line="240" w:lineRule="auto"/>
              <w:jc w:val="left"/>
            </w:pPr>
            <w:r>
              <w:rPr>
                <w:rFonts w:ascii="宋体" w:hAnsi="宋体" w:eastAsia="宋体" w:cs="宋体"/>
                <w:b w:val="0"/>
              </w:rPr>
              <w:t>本基金为混合型基金，其预期收益和风险高于货币型基金、债券型基金。本基金如果投资港股通标的股票，需承担汇率风险以及境外市场的风险。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Align w:val="center"/>
          </w:tcPr>
          <w:p>
            <w:pPr>
              <w:spacing w:line="240" w:lineRule="auto"/>
              <w:jc w:val="left"/>
            </w:pPr>
            <w:r>
              <w:rPr>
                <w:rFonts w:ascii="宋体" w:hAnsi="宋体" w:eastAsia="宋体" w:cs="宋体"/>
                <w:b w:val="0"/>
              </w:rPr>
              <w:t>基金管理人</w:t>
            </w:r>
          </w:p>
        </w:tc>
        <w:tc>
          <w:tcPr>
            <w:tcW w:w="0" w:type="dxa"/>
            <w:gridSpan w:val="2"/>
            <w:vAlign w:val="center"/>
          </w:tcPr>
          <w:p>
            <w:pPr>
              <w:spacing w:line="240" w:lineRule="auto"/>
              <w:jc w:val="left"/>
            </w:pPr>
            <w:r>
              <w:rPr>
                <w:rFonts w:ascii="宋体" w:hAnsi="宋体" w:eastAsia="宋体" w:cs="宋体"/>
                <w:b w:val="0"/>
              </w:rPr>
              <w:t>东方阿尔法基金管理有限公司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Align w:val="center"/>
          </w:tcPr>
          <w:p>
            <w:pPr>
              <w:spacing w:line="240" w:lineRule="auto"/>
              <w:jc w:val="left"/>
            </w:pPr>
            <w:r>
              <w:rPr>
                <w:rFonts w:ascii="宋体" w:hAnsi="宋体" w:eastAsia="宋体" w:cs="宋体"/>
                <w:b w:val="0"/>
              </w:rPr>
              <w:t>基金托管人</w:t>
            </w:r>
          </w:p>
        </w:tc>
        <w:tc>
          <w:tcPr>
            <w:tcW w:w="0" w:type="dxa"/>
            <w:gridSpan w:val="2"/>
            <w:vAlign w:val="center"/>
          </w:tcPr>
          <w:p>
            <w:pPr>
              <w:spacing w:line="240" w:lineRule="auto"/>
              <w:jc w:val="left"/>
            </w:pPr>
            <w:r>
              <w:rPr>
                <w:rFonts w:ascii="宋体" w:hAnsi="宋体" w:eastAsia="宋体" w:cs="宋体"/>
                <w:b w:val="0"/>
              </w:rPr>
              <w:t>中信银行股份有限公司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下属分级基金的基金简称</w:t>
            </w:r>
          </w:p>
        </w:tc>
        <w:tc>
          <w:tcPr>
            <w:tcW w:w="1500" w:type="pct"/>
            <w:vAlign w:val="center"/>
          </w:tcPr>
          <w:p>
            <w:pPr>
              <w:spacing w:line="240" w:lineRule="auto"/>
              <w:jc w:val="left"/>
            </w:pPr>
            <w:r>
              <w:rPr>
                <w:rFonts w:ascii="宋体" w:hAnsi="宋体" w:eastAsia="宋体" w:cs="宋体"/>
                <w:b w:val="0"/>
              </w:rPr>
              <w:t>东方阿尔法科技优选混合发起A</w:t>
            </w:r>
          </w:p>
        </w:tc>
        <w:tc>
          <w:tcPr>
            <w:tcW w:w="1500" w:type="pct"/>
            <w:vAlign w:val="center"/>
          </w:tcPr>
          <w:p>
            <w:pPr>
              <w:spacing w:line="240" w:lineRule="auto"/>
              <w:jc w:val="left"/>
            </w:pPr>
            <w:r>
              <w:rPr>
                <w:rFonts w:ascii="宋体" w:hAnsi="宋体" w:eastAsia="宋体" w:cs="宋体"/>
                <w:b w:val="0"/>
              </w:rPr>
              <w:t>东方阿尔法科技优选混合发起C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下属分级基金的交易代码</w:t>
            </w:r>
          </w:p>
        </w:tc>
        <w:tc>
          <w:tcPr>
            <w:tcW w:w="1500" w:type="pct"/>
            <w:vAlign w:val="center"/>
          </w:tcPr>
          <w:p>
            <w:pPr>
              <w:spacing w:line="240" w:lineRule="auto"/>
              <w:jc w:val="left"/>
            </w:pPr>
            <w:r>
              <w:rPr>
                <w:rFonts w:ascii="宋体" w:hAnsi="宋体" w:eastAsia="宋体" w:cs="宋体"/>
                <w:b w:val="0"/>
              </w:rPr>
              <w:t>024423</w:t>
            </w:r>
          </w:p>
        </w:tc>
        <w:tc>
          <w:tcPr>
            <w:tcW w:w="1500" w:type="pct"/>
            <w:vAlign w:val="center"/>
          </w:tcPr>
          <w:p>
            <w:pPr>
              <w:spacing w:line="240" w:lineRule="auto"/>
              <w:jc w:val="left"/>
            </w:pPr>
            <w:r>
              <w:rPr>
                <w:rFonts w:ascii="宋体" w:hAnsi="宋体" w:eastAsia="宋体" w:cs="宋体"/>
                <w:b w:val="0"/>
              </w:rPr>
              <w:t>024424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报告期末下属分级基金的份额总额</w:t>
            </w:r>
          </w:p>
        </w:tc>
        <w:tc>
          <w:tcPr>
            <w:tcW w:w="1500" w:type="pct"/>
            <w:vAlign w:val="center"/>
          </w:tcPr>
          <w:p>
            <w:pPr>
              <w:spacing w:line="240" w:lineRule="auto"/>
              <w:jc w:val="left"/>
            </w:pPr>
            <w:r>
              <w:rPr>
                <w:rFonts w:ascii="宋体" w:hAnsi="宋体" w:eastAsia="宋体" w:cs="宋体"/>
                <w:b w:val="0"/>
              </w:rPr>
              <w:t>51,439,898.26份</w:t>
            </w:r>
          </w:p>
        </w:tc>
        <w:tc>
          <w:tcPr>
            <w:tcW w:w="1500" w:type="pct"/>
            <w:vAlign w:val="center"/>
          </w:tcPr>
          <w:p>
            <w:pPr>
              <w:spacing w:line="240" w:lineRule="auto"/>
              <w:jc w:val="left"/>
            </w:pPr>
            <w:r>
              <w:rPr>
                <w:rFonts w:ascii="宋体" w:hAnsi="宋体" w:eastAsia="宋体" w:cs="宋体"/>
                <w:b w:val="0"/>
              </w:rPr>
              <w:t>613,737,550.61份</w:t>
            </w:r>
          </w:p>
        </w:tc>
      </w:tr>
    </w:tbl>
    <w:p>
      <w:pPr>
        <w:pStyle w:val="2"/>
        <w:jc w:val="center"/>
      </w:pPr>
      <w:r>
        <w:rPr>
          <w:rFonts w:ascii="宋体" w:hAnsi="宋体" w:eastAsia="宋体" w:cs="宋体"/>
        </w:rPr>
        <w:t>§3 主要财务指标和基金净值表现</w:t>
      </w:r>
    </w:p>
    <w:p>
      <w:pPr>
        <w:pStyle w:val="3"/>
        <w:jc w:val="left"/>
      </w:pPr>
      <w:r>
        <w:rPr>
          <w:rFonts w:ascii="宋体" w:hAnsi="宋体" w:eastAsia="宋体" w:cs="宋体"/>
        </w:rPr>
        <w:t>3.1 主要财务指标</w:t>
      </w:r>
    </w:p>
    <w:p>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71"/>
        <w:gridCol w:w="2786"/>
        <w:gridCol w:w="29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Merge w:val="restart"/>
            <w:shd w:val="clear" w:color="auto" w:fill="D9D9D9"/>
            <w:vAlign w:val="center"/>
          </w:tcPr>
          <w:p>
            <w:pPr>
              <w:spacing w:line="240" w:lineRule="auto"/>
              <w:jc w:val="center"/>
            </w:pPr>
            <w:r>
              <w:rPr>
                <w:rFonts w:ascii="宋体" w:hAnsi="宋体" w:eastAsia="宋体" w:cs="宋体"/>
                <w:b/>
              </w:rPr>
              <w:t>主要财务指标</w:t>
            </w:r>
          </w:p>
        </w:tc>
        <w:tc>
          <w:tcPr>
            <w:tcW w:w="3077" w:type="pct"/>
            <w:gridSpan w:val="2"/>
            <w:shd w:val="clear" w:color="auto" w:fill="D9D9D9"/>
            <w:vAlign w:val="center"/>
          </w:tcPr>
          <w:p>
            <w:pPr>
              <w:spacing w:line="240" w:lineRule="auto"/>
              <w:jc w:val="center"/>
            </w:pPr>
            <w:r>
              <w:rPr>
                <w:rFonts w:ascii="宋体" w:hAnsi="宋体" w:eastAsia="宋体" w:cs="宋体"/>
                <w:b w:val="0"/>
              </w:rPr>
              <w:t>报告期（2026年07月01日-2026年09月30日）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tc>
        <w:tc>
          <w:tcPr>
            <w:tcW w:w="1500" w:type="pct"/>
            <w:shd w:val="clear" w:color="auto" w:fill="D9D9D9"/>
            <w:vAlign w:val="center"/>
          </w:tcPr>
          <w:p>
            <w:pPr>
              <w:spacing w:line="240" w:lineRule="auto"/>
              <w:jc w:val="center"/>
            </w:pPr>
            <w:r>
              <w:rPr>
                <w:rFonts w:ascii="宋体" w:hAnsi="宋体" w:eastAsia="宋体" w:cs="宋体"/>
                <w:b w:val="0"/>
              </w:rPr>
              <w:t>东方阿尔法科技优选混合发起A</w:t>
            </w:r>
          </w:p>
        </w:tc>
        <w:tc>
          <w:tcPr>
            <w:tcW w:w="1500" w:type="pct"/>
            <w:shd w:val="clear" w:color="auto" w:fill="D9D9D9"/>
            <w:vAlign w:val="center"/>
          </w:tcPr>
          <w:p>
            <w:pPr>
              <w:spacing w:line="240" w:lineRule="auto"/>
              <w:jc w:val="center"/>
            </w:pPr>
            <w:r>
              <w:rPr>
                <w:rFonts w:ascii="宋体" w:hAnsi="宋体" w:eastAsia="宋体" w:cs="宋体"/>
                <w:b w:val="0"/>
              </w:rPr>
              <w:t>东方阿尔法科技优选混合发起C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1.本期已实现收益</w:t>
            </w:r>
          </w:p>
        </w:tc>
        <w:tc>
          <w:tcPr>
            <w:tcW w:w="1500" w:type="pct"/>
            <w:vAlign w:val="center"/>
          </w:tcPr>
          <w:p>
            <w:pPr>
              <w:spacing w:line="240" w:lineRule="auto"/>
              <w:jc w:val="right"/>
            </w:pPr>
            <w:r>
              <w:rPr>
                <w:rFonts w:ascii="宋体" w:hAnsi="宋体" w:eastAsia="宋体" w:cs="宋体"/>
                <w:b w:val="0"/>
              </w:rPr>
              <w:t>-11,366,352.68</w:t>
            </w:r>
          </w:p>
        </w:tc>
        <w:tc>
          <w:tcPr>
            <w:tcW w:w="1500" w:type="pct"/>
            <w:vAlign w:val="center"/>
          </w:tcPr>
          <w:p>
            <w:pPr>
              <w:spacing w:line="240" w:lineRule="auto"/>
              <w:jc w:val="right"/>
            </w:pPr>
            <w:r>
              <w:rPr>
                <w:rFonts w:ascii="宋体" w:hAnsi="宋体" w:eastAsia="宋体" w:cs="宋体"/>
                <w:b w:val="0"/>
              </w:rPr>
              <w:t>-121,102,941.25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2.本期利润</w:t>
            </w:r>
          </w:p>
        </w:tc>
        <w:tc>
          <w:tcPr>
            <w:tcW w:w="1500" w:type="pct"/>
            <w:vAlign w:val="center"/>
          </w:tcPr>
          <w:p>
            <w:pPr>
              <w:spacing w:line="240" w:lineRule="auto"/>
              <w:jc w:val="right"/>
            </w:pPr>
            <w:r>
              <w:rPr>
                <w:rFonts w:ascii="宋体" w:hAnsi="宋体" w:eastAsia="宋体" w:cs="宋体"/>
                <w:b w:val="0"/>
              </w:rPr>
              <w:t>-40,490,147.88</w:t>
            </w:r>
          </w:p>
        </w:tc>
        <w:tc>
          <w:tcPr>
            <w:tcW w:w="1500" w:type="pct"/>
            <w:vAlign w:val="center"/>
          </w:tcPr>
          <w:p>
            <w:pPr>
              <w:spacing w:line="240" w:lineRule="auto"/>
              <w:jc w:val="right"/>
            </w:pPr>
            <w:r>
              <w:rPr>
                <w:rFonts w:ascii="宋体" w:hAnsi="宋体" w:eastAsia="宋体" w:cs="宋体"/>
                <w:b w:val="0"/>
              </w:rPr>
              <w:t>-486,099,104.79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3.加权平均基金份额本期利润</w:t>
            </w:r>
          </w:p>
        </w:tc>
        <w:tc>
          <w:tcPr>
            <w:tcW w:w="1500" w:type="pct"/>
            <w:vAlign w:val="center"/>
          </w:tcPr>
          <w:p>
            <w:pPr>
              <w:spacing w:line="240" w:lineRule="auto"/>
              <w:jc w:val="right"/>
            </w:pPr>
            <w:r>
              <w:rPr>
                <w:rFonts w:ascii="宋体" w:hAnsi="宋体" w:eastAsia="宋体" w:cs="宋体"/>
                <w:b w:val="0"/>
              </w:rPr>
              <w:t>-0.7994</w:t>
            </w:r>
          </w:p>
        </w:tc>
        <w:tc>
          <w:tcPr>
            <w:tcW w:w="1500" w:type="pct"/>
            <w:vAlign w:val="center"/>
          </w:tcPr>
          <w:p>
            <w:pPr>
              <w:spacing w:line="240" w:lineRule="auto"/>
              <w:jc w:val="right"/>
            </w:pPr>
            <w:r>
              <w:rPr>
                <w:rFonts w:ascii="宋体" w:hAnsi="宋体" w:eastAsia="宋体" w:cs="宋体"/>
                <w:b w:val="0"/>
              </w:rPr>
              <w:t>-0.8477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4.期末基金资产净值</w:t>
            </w:r>
          </w:p>
        </w:tc>
        <w:tc>
          <w:tcPr>
            <w:tcW w:w="1500" w:type="pct"/>
            <w:vAlign w:val="center"/>
          </w:tcPr>
          <w:p>
            <w:pPr>
              <w:spacing w:line="240" w:lineRule="auto"/>
              <w:jc w:val="right"/>
            </w:pPr>
            <w:r>
              <w:rPr>
                <w:rFonts w:ascii="宋体" w:hAnsi="宋体" w:eastAsia="宋体" w:cs="宋体"/>
                <w:b w:val="0"/>
              </w:rPr>
              <w:t>92,066,557.12</w:t>
            </w:r>
          </w:p>
        </w:tc>
        <w:tc>
          <w:tcPr>
            <w:tcW w:w="1500" w:type="pct"/>
            <w:vAlign w:val="center"/>
          </w:tcPr>
          <w:p>
            <w:pPr>
              <w:spacing w:line="240" w:lineRule="auto"/>
              <w:jc w:val="right"/>
            </w:pPr>
            <w:r>
              <w:rPr>
                <w:rFonts w:ascii="宋体" w:hAnsi="宋体" w:eastAsia="宋体" w:cs="宋体"/>
                <w:b w:val="0"/>
              </w:rPr>
              <w:t>1,092,783,501.67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5.期末基金份额净值</w:t>
            </w:r>
          </w:p>
        </w:tc>
        <w:tc>
          <w:tcPr>
            <w:tcW w:w="1500" w:type="pct"/>
            <w:vAlign w:val="center"/>
          </w:tcPr>
          <w:p>
            <w:pPr>
              <w:spacing w:line="240" w:lineRule="auto"/>
              <w:jc w:val="right"/>
            </w:pPr>
            <w:r>
              <w:rPr>
                <w:rFonts w:ascii="宋体" w:hAnsi="宋体" w:eastAsia="宋体" w:cs="宋体"/>
                <w:b w:val="0"/>
              </w:rPr>
              <w:t>1.7898</w:t>
            </w:r>
          </w:p>
        </w:tc>
        <w:tc>
          <w:tcPr>
            <w:tcW w:w="1500" w:type="pct"/>
            <w:vAlign w:val="center"/>
          </w:tcPr>
          <w:p>
            <w:pPr>
              <w:spacing w:line="240" w:lineRule="auto"/>
              <w:jc w:val="right"/>
            </w:pPr>
            <w:r>
              <w:rPr>
                <w:rFonts w:ascii="宋体" w:hAnsi="宋体" w:eastAsia="宋体" w:cs="宋体"/>
                <w:b w:val="0"/>
              </w:rPr>
              <w:t>1.7805</w:t>
            </w:r>
          </w:p>
        </w:tc>
      </w:tr>
    </w:tbl>
    <w:p>
      <w:r>
        <w:rPr>
          <w:rFonts w:ascii="宋体" w:hAnsi="宋体" w:eastAsia="宋体" w:cs="宋体"/>
          <w:b w:val="0"/>
        </w:rPr>
        <w:t>注：1、本期已实现收益指基金本期利息收入、投资收益、其他收入(不含公允价值变动收益)扣除相关费用后的余额，本期利润为本期已实现收益加上本期公允价值变动收益。</w:t>
      </w:r>
      <w:r>
        <w:rPr>
          <w:rFonts w:ascii="宋体" w:hAnsi="宋体" w:eastAsia="宋体" w:cs="宋体"/>
          <w:b w:val="0"/>
        </w:rPr>
        <w:br w:type="textWrapping"/>
      </w:r>
      <w:r>
        <w:rPr>
          <w:rFonts w:ascii="宋体" w:hAnsi="宋体" w:eastAsia="宋体" w:cs="宋体"/>
          <w:b w:val="0"/>
        </w:rPr>
        <w:t>2、所述基金业绩指标不包括持有人认购或交易基金的各项费用，计入费用后实际收益水平要低于所列数字。</w:t>
      </w:r>
    </w:p>
    <w:p/>
    <w:p>
      <w:pPr>
        <w:pStyle w:val="3"/>
        <w:jc w:val="left"/>
      </w:pPr>
      <w:r>
        <w:rPr>
          <w:rFonts w:ascii="宋体" w:hAnsi="宋体" w:eastAsia="宋体" w:cs="宋体"/>
        </w:rPr>
        <w:t>3.2 基金净值表现</w:t>
      </w:r>
    </w:p>
    <w:p>
      <w:pPr>
        <w:pStyle w:val="58"/>
      </w:pPr>
      <w:r>
        <w:rPr>
          <w:rStyle w:val="30"/>
          <w:rFonts w:ascii="宋体" w:hAnsi="宋体" w:eastAsia="宋体" w:cs="宋体"/>
          <w:b/>
        </w:rPr>
        <w:t>3.2.1 基金份额净值增长率及其与同期业绩比较基准收益率的比较</w:t>
      </w:r>
    </w:p>
    <w:p>
      <w:pPr>
        <w:jc w:val="left"/>
      </w:pPr>
      <w:r>
        <w:rPr>
          <w:rFonts w:ascii="宋体" w:hAnsi="宋体" w:eastAsia="宋体" w:cs="宋体"/>
          <w:b/>
        </w:rPr>
        <w:t>东方阿尔法科技优选混合发起A净值表现</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1"/>
        <w:gridCol w:w="1285"/>
        <w:gridCol w:w="1286"/>
        <w:gridCol w:w="1286"/>
        <w:gridCol w:w="1286"/>
        <w:gridCol w:w="1286"/>
        <w:gridCol w:w="12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pct"/>
            <w:shd w:val="clear" w:color="auto" w:fill="D9D9D9"/>
            <w:vAlign w:val="center"/>
          </w:tcPr>
          <w:p>
            <w:pPr>
              <w:spacing w:line="240" w:lineRule="auto"/>
              <w:jc w:val="center"/>
            </w:pPr>
            <w:r>
              <w:rPr>
                <w:rFonts w:ascii="宋体" w:hAnsi="宋体" w:eastAsia="宋体" w:cs="宋体"/>
                <w:b w:val="0"/>
              </w:rPr>
              <w:t>阶段</w:t>
            </w:r>
          </w:p>
        </w:tc>
        <w:tc>
          <w:tcPr>
            <w:tcW w:w="692" w:type="pct"/>
            <w:shd w:val="clear" w:color="auto" w:fill="D9D9D9"/>
            <w:vAlign w:val="center"/>
          </w:tcPr>
          <w:p>
            <w:pPr>
              <w:spacing w:line="240" w:lineRule="auto"/>
              <w:jc w:val="center"/>
            </w:pPr>
            <w:r>
              <w:rPr>
                <w:rFonts w:ascii="宋体" w:hAnsi="宋体" w:eastAsia="宋体" w:cs="宋体"/>
                <w:b w:val="0"/>
              </w:rPr>
              <w:t>净值增长率①</w:t>
            </w:r>
          </w:p>
        </w:tc>
        <w:tc>
          <w:tcPr>
            <w:tcW w:w="692" w:type="pct"/>
            <w:shd w:val="clear" w:color="auto" w:fill="D9D9D9"/>
            <w:vAlign w:val="center"/>
          </w:tcPr>
          <w:p>
            <w:pPr>
              <w:spacing w:line="240" w:lineRule="auto"/>
              <w:jc w:val="center"/>
            </w:pPr>
            <w:r>
              <w:rPr>
                <w:rFonts w:ascii="宋体" w:hAnsi="宋体" w:eastAsia="宋体" w:cs="宋体"/>
                <w:b w:val="0"/>
              </w:rPr>
              <w:t>净值增长率标准差②</w:t>
            </w:r>
          </w:p>
        </w:tc>
        <w:tc>
          <w:tcPr>
            <w:tcW w:w="692" w:type="pct"/>
            <w:shd w:val="clear" w:color="auto" w:fill="D9D9D9"/>
            <w:vAlign w:val="center"/>
          </w:tcPr>
          <w:p>
            <w:pPr>
              <w:spacing w:line="240" w:lineRule="auto"/>
              <w:jc w:val="center"/>
            </w:pPr>
            <w:r>
              <w:rPr>
                <w:rFonts w:ascii="宋体" w:hAnsi="宋体" w:eastAsia="宋体" w:cs="宋体"/>
                <w:b w:val="0"/>
              </w:rPr>
              <w:t>业绩比较基准收益率③</w:t>
            </w:r>
          </w:p>
        </w:tc>
        <w:tc>
          <w:tcPr>
            <w:tcW w:w="692" w:type="pct"/>
            <w:shd w:val="clear" w:color="auto" w:fill="D9D9D9"/>
            <w:vAlign w:val="center"/>
          </w:tcPr>
          <w:p>
            <w:pPr>
              <w:spacing w:line="240" w:lineRule="auto"/>
              <w:jc w:val="center"/>
            </w:pPr>
            <w:r>
              <w:rPr>
                <w:rFonts w:ascii="宋体" w:hAnsi="宋体" w:eastAsia="宋体" w:cs="宋体"/>
                <w:b w:val="0"/>
              </w:rPr>
              <w:t>业绩比较基准收益率标准差④</w:t>
            </w:r>
          </w:p>
        </w:tc>
        <w:tc>
          <w:tcPr>
            <w:tcW w:w="692" w:type="pct"/>
            <w:shd w:val="clear" w:color="auto" w:fill="D9D9D9"/>
            <w:vAlign w:val="center"/>
          </w:tcPr>
          <w:p>
            <w:pPr>
              <w:spacing w:line="240" w:lineRule="auto"/>
              <w:jc w:val="center"/>
            </w:pPr>
            <w:r>
              <w:rPr>
                <w:rFonts w:ascii="宋体" w:hAnsi="宋体" w:eastAsia="宋体" w:cs="宋体"/>
                <w:b w:val="0"/>
              </w:rPr>
              <w:t>①-③</w:t>
            </w:r>
          </w:p>
        </w:tc>
        <w:tc>
          <w:tcPr>
            <w:tcW w:w="692" w:type="pct"/>
            <w:shd w:val="clear" w:color="auto" w:fill="D9D9D9"/>
            <w:vAlign w:val="center"/>
          </w:tcPr>
          <w:p>
            <w:pPr>
              <w:spacing w:line="240" w:lineRule="auto"/>
              <w:jc w:val="center"/>
            </w:pPr>
            <w:r>
              <w:rPr>
                <w:rFonts w:ascii="宋体" w:hAnsi="宋体" w:eastAsia="宋体" w:cs="宋体"/>
                <w:b w:val="0"/>
              </w:rPr>
              <w:t>②-④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过去三个月</w:t>
            </w:r>
          </w:p>
        </w:tc>
        <w:tc>
          <w:tcPr>
            <w:tcW w:w="0" w:type="dxa"/>
            <w:vAlign w:val="center"/>
          </w:tcPr>
          <w:p>
            <w:pPr>
              <w:spacing w:line="240" w:lineRule="auto"/>
              <w:jc w:val="right"/>
            </w:pPr>
            <w:r>
              <w:rPr>
                <w:rFonts w:ascii="宋体" w:hAnsi="宋体" w:eastAsia="宋体" w:cs="宋体"/>
                <w:b w:val="0"/>
              </w:rPr>
              <w:t>-27.18%</w:t>
            </w:r>
          </w:p>
        </w:tc>
        <w:tc>
          <w:tcPr>
            <w:tcW w:w="0" w:type="dxa"/>
            <w:vAlign w:val="center"/>
          </w:tcPr>
          <w:p>
            <w:pPr>
              <w:spacing w:line="240" w:lineRule="auto"/>
              <w:jc w:val="right"/>
            </w:pPr>
            <w:r>
              <w:rPr>
                <w:rFonts w:ascii="宋体" w:hAnsi="宋体" w:eastAsia="宋体" w:cs="宋体"/>
                <w:b w:val="0"/>
              </w:rPr>
              <w:t>4.72%</w:t>
            </w:r>
          </w:p>
        </w:tc>
        <w:tc>
          <w:tcPr>
            <w:tcW w:w="0" w:type="dxa"/>
            <w:vAlign w:val="center"/>
          </w:tcPr>
          <w:p>
            <w:pPr>
              <w:spacing w:line="240" w:lineRule="auto"/>
              <w:jc w:val="right"/>
            </w:pPr>
            <w:r>
              <w:rPr>
                <w:rFonts w:ascii="宋体" w:hAnsi="宋体" w:eastAsia="宋体" w:cs="宋体"/>
                <w:b w:val="0"/>
              </w:rPr>
              <w:t>-21.67%</w:t>
            </w:r>
          </w:p>
        </w:tc>
        <w:tc>
          <w:tcPr>
            <w:tcW w:w="0" w:type="dxa"/>
            <w:vAlign w:val="center"/>
          </w:tcPr>
          <w:p>
            <w:pPr>
              <w:spacing w:line="240" w:lineRule="auto"/>
              <w:jc w:val="right"/>
            </w:pPr>
            <w:r>
              <w:rPr>
                <w:rFonts w:ascii="宋体" w:hAnsi="宋体" w:eastAsia="宋体" w:cs="宋体"/>
                <w:b w:val="0"/>
              </w:rPr>
              <w:t>2.23%</w:t>
            </w:r>
          </w:p>
        </w:tc>
        <w:tc>
          <w:tcPr>
            <w:tcW w:w="0" w:type="dxa"/>
            <w:vAlign w:val="center"/>
          </w:tcPr>
          <w:p>
            <w:pPr>
              <w:spacing w:line="240" w:lineRule="auto"/>
              <w:jc w:val="right"/>
            </w:pPr>
            <w:r>
              <w:rPr>
                <w:rFonts w:ascii="宋体" w:hAnsi="宋体" w:eastAsia="宋体" w:cs="宋体"/>
                <w:b w:val="0"/>
              </w:rPr>
              <w:t>-5.51%</w:t>
            </w:r>
          </w:p>
        </w:tc>
        <w:tc>
          <w:tcPr>
            <w:tcW w:w="0" w:type="dxa"/>
            <w:vAlign w:val="center"/>
          </w:tcPr>
          <w:p>
            <w:pPr>
              <w:spacing w:line="240" w:lineRule="auto"/>
              <w:jc w:val="right"/>
            </w:pPr>
            <w:r>
              <w:rPr>
                <w:rFonts w:ascii="宋体" w:hAnsi="宋体" w:eastAsia="宋体" w:cs="宋体"/>
                <w:b w:val="0"/>
              </w:rPr>
              <w:t>2.49%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过去六个月</w:t>
            </w:r>
          </w:p>
        </w:tc>
        <w:tc>
          <w:tcPr>
            <w:tcW w:w="0" w:type="dxa"/>
            <w:vAlign w:val="center"/>
          </w:tcPr>
          <w:p>
            <w:pPr>
              <w:spacing w:line="240" w:lineRule="auto"/>
              <w:jc w:val="right"/>
            </w:pPr>
            <w:r>
              <w:rPr>
                <w:rFonts w:ascii="宋体" w:hAnsi="宋体" w:eastAsia="宋体" w:cs="宋体"/>
                <w:b w:val="0"/>
              </w:rPr>
              <w:t>71.54%</w:t>
            </w:r>
          </w:p>
        </w:tc>
        <w:tc>
          <w:tcPr>
            <w:tcW w:w="0" w:type="dxa"/>
            <w:vAlign w:val="center"/>
          </w:tcPr>
          <w:p>
            <w:pPr>
              <w:spacing w:line="240" w:lineRule="auto"/>
              <w:jc w:val="right"/>
            </w:pPr>
            <w:r>
              <w:rPr>
                <w:rFonts w:ascii="宋体" w:hAnsi="宋体" w:eastAsia="宋体" w:cs="宋体"/>
                <w:b w:val="0"/>
              </w:rPr>
              <w:t>4.27%</w:t>
            </w:r>
          </w:p>
        </w:tc>
        <w:tc>
          <w:tcPr>
            <w:tcW w:w="0" w:type="dxa"/>
            <w:vAlign w:val="center"/>
          </w:tcPr>
          <w:p>
            <w:pPr>
              <w:spacing w:line="240" w:lineRule="auto"/>
              <w:jc w:val="right"/>
            </w:pPr>
            <w:r>
              <w:rPr>
                <w:rFonts w:ascii="宋体" w:hAnsi="宋体" w:eastAsia="宋体" w:cs="宋体"/>
                <w:b w:val="0"/>
              </w:rPr>
              <w:t>9.97%</w:t>
            </w:r>
          </w:p>
        </w:tc>
        <w:tc>
          <w:tcPr>
            <w:tcW w:w="0" w:type="dxa"/>
            <w:vAlign w:val="center"/>
          </w:tcPr>
          <w:p>
            <w:pPr>
              <w:spacing w:line="240" w:lineRule="auto"/>
              <w:jc w:val="right"/>
            </w:pPr>
            <w:r>
              <w:rPr>
                <w:rFonts w:ascii="宋体" w:hAnsi="宋体" w:eastAsia="宋体" w:cs="宋体"/>
                <w:b w:val="0"/>
              </w:rPr>
              <w:t>2.08%</w:t>
            </w:r>
          </w:p>
        </w:tc>
        <w:tc>
          <w:tcPr>
            <w:tcW w:w="0" w:type="dxa"/>
            <w:vAlign w:val="center"/>
          </w:tcPr>
          <w:p>
            <w:pPr>
              <w:spacing w:line="240" w:lineRule="auto"/>
              <w:jc w:val="right"/>
            </w:pPr>
            <w:r>
              <w:rPr>
                <w:rFonts w:ascii="宋体" w:hAnsi="宋体" w:eastAsia="宋体" w:cs="宋体"/>
                <w:b w:val="0"/>
              </w:rPr>
              <w:t>61.57%</w:t>
            </w:r>
          </w:p>
        </w:tc>
        <w:tc>
          <w:tcPr>
            <w:tcW w:w="0" w:type="dxa"/>
            <w:vAlign w:val="center"/>
          </w:tcPr>
          <w:p>
            <w:pPr>
              <w:spacing w:line="240" w:lineRule="auto"/>
              <w:jc w:val="right"/>
            </w:pPr>
            <w:r>
              <w:rPr>
                <w:rFonts w:ascii="宋体" w:hAnsi="宋体" w:eastAsia="宋体" w:cs="宋体"/>
                <w:b w:val="0"/>
              </w:rPr>
              <w:t>2.19%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过去一年</w:t>
            </w:r>
          </w:p>
        </w:tc>
        <w:tc>
          <w:tcPr>
            <w:tcW w:w="0" w:type="dxa"/>
            <w:vAlign w:val="center"/>
          </w:tcPr>
          <w:p>
            <w:pPr>
              <w:spacing w:line="240" w:lineRule="auto"/>
              <w:jc w:val="right"/>
            </w:pPr>
            <w:r>
              <w:rPr>
                <w:rFonts w:ascii="宋体" w:hAnsi="宋体" w:eastAsia="宋体" w:cs="宋体"/>
                <w:b w:val="0"/>
              </w:rPr>
              <w:t>71.83%</w:t>
            </w:r>
          </w:p>
        </w:tc>
        <w:tc>
          <w:tcPr>
            <w:tcW w:w="0" w:type="dxa"/>
            <w:vAlign w:val="center"/>
          </w:tcPr>
          <w:p>
            <w:pPr>
              <w:spacing w:line="240" w:lineRule="auto"/>
              <w:jc w:val="right"/>
            </w:pPr>
            <w:r>
              <w:rPr>
                <w:rFonts w:ascii="宋体" w:hAnsi="宋体" w:eastAsia="宋体" w:cs="宋体"/>
                <w:b w:val="0"/>
              </w:rPr>
              <w:t>3.57%</w:t>
            </w:r>
          </w:p>
        </w:tc>
        <w:tc>
          <w:tcPr>
            <w:tcW w:w="0" w:type="dxa"/>
            <w:vAlign w:val="center"/>
          </w:tcPr>
          <w:p>
            <w:pPr>
              <w:spacing w:line="240" w:lineRule="auto"/>
              <w:jc w:val="right"/>
            </w:pPr>
            <w:r>
              <w:rPr>
                <w:rFonts w:ascii="宋体" w:hAnsi="宋体" w:eastAsia="宋体" w:cs="宋体"/>
                <w:b w:val="0"/>
              </w:rPr>
              <w:t>2.49%</w:t>
            </w:r>
          </w:p>
        </w:tc>
        <w:tc>
          <w:tcPr>
            <w:tcW w:w="0" w:type="dxa"/>
            <w:vAlign w:val="center"/>
          </w:tcPr>
          <w:p>
            <w:pPr>
              <w:spacing w:line="240" w:lineRule="auto"/>
              <w:jc w:val="right"/>
            </w:pPr>
            <w:r>
              <w:rPr>
                <w:rFonts w:ascii="宋体" w:hAnsi="宋体" w:eastAsia="宋体" w:cs="宋体"/>
                <w:b w:val="0"/>
              </w:rPr>
              <w:t>1.77%</w:t>
            </w:r>
          </w:p>
        </w:tc>
        <w:tc>
          <w:tcPr>
            <w:tcW w:w="0" w:type="dxa"/>
            <w:vAlign w:val="center"/>
          </w:tcPr>
          <w:p>
            <w:pPr>
              <w:spacing w:line="240" w:lineRule="auto"/>
              <w:jc w:val="right"/>
            </w:pPr>
            <w:r>
              <w:rPr>
                <w:rFonts w:ascii="宋体" w:hAnsi="宋体" w:eastAsia="宋体" w:cs="宋体"/>
                <w:b w:val="0"/>
              </w:rPr>
              <w:t>69.34%</w:t>
            </w:r>
          </w:p>
        </w:tc>
        <w:tc>
          <w:tcPr>
            <w:tcW w:w="0" w:type="dxa"/>
            <w:vAlign w:val="center"/>
          </w:tcPr>
          <w:p>
            <w:pPr>
              <w:spacing w:line="240" w:lineRule="auto"/>
              <w:jc w:val="right"/>
            </w:pPr>
            <w:r>
              <w:rPr>
                <w:rFonts w:ascii="宋体" w:hAnsi="宋体" w:eastAsia="宋体" w:cs="宋体"/>
                <w:b w:val="0"/>
              </w:rPr>
              <w:t>1.80%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自基金合同生效起至今</w:t>
            </w:r>
          </w:p>
        </w:tc>
        <w:tc>
          <w:tcPr>
            <w:tcW w:w="0" w:type="dxa"/>
            <w:vAlign w:val="center"/>
          </w:tcPr>
          <w:p>
            <w:pPr>
              <w:spacing w:line="240" w:lineRule="auto"/>
              <w:jc w:val="right"/>
            </w:pPr>
            <w:r>
              <w:rPr>
                <w:rFonts w:ascii="宋体" w:hAnsi="宋体" w:eastAsia="宋体" w:cs="宋体"/>
                <w:b w:val="0"/>
              </w:rPr>
              <w:t>78.98%</w:t>
            </w:r>
          </w:p>
        </w:tc>
        <w:tc>
          <w:tcPr>
            <w:tcW w:w="0" w:type="dxa"/>
            <w:vAlign w:val="center"/>
          </w:tcPr>
          <w:p>
            <w:pPr>
              <w:spacing w:line="240" w:lineRule="auto"/>
              <w:jc w:val="right"/>
            </w:pPr>
            <w:r>
              <w:rPr>
                <w:rFonts w:ascii="宋体" w:hAnsi="宋体" w:eastAsia="宋体" w:cs="宋体"/>
                <w:b w:val="0"/>
              </w:rPr>
              <w:t>3.17%</w:t>
            </w:r>
          </w:p>
        </w:tc>
        <w:tc>
          <w:tcPr>
            <w:tcW w:w="0" w:type="dxa"/>
            <w:vAlign w:val="center"/>
          </w:tcPr>
          <w:p>
            <w:pPr>
              <w:spacing w:line="240" w:lineRule="auto"/>
              <w:jc w:val="right"/>
            </w:pPr>
            <w:r>
              <w:rPr>
                <w:rFonts w:ascii="宋体" w:hAnsi="宋体" w:eastAsia="宋体" w:cs="宋体"/>
                <w:b w:val="0"/>
              </w:rPr>
              <w:t>45.13%</w:t>
            </w:r>
          </w:p>
        </w:tc>
        <w:tc>
          <w:tcPr>
            <w:tcW w:w="0" w:type="dxa"/>
            <w:vAlign w:val="center"/>
          </w:tcPr>
          <w:p>
            <w:pPr>
              <w:spacing w:line="240" w:lineRule="auto"/>
              <w:jc w:val="right"/>
            </w:pPr>
            <w:r>
              <w:rPr>
                <w:rFonts w:ascii="宋体" w:hAnsi="宋体" w:eastAsia="宋体" w:cs="宋体"/>
                <w:b w:val="0"/>
              </w:rPr>
              <w:t>1.68%</w:t>
            </w:r>
          </w:p>
        </w:tc>
        <w:tc>
          <w:tcPr>
            <w:tcW w:w="0" w:type="dxa"/>
            <w:vAlign w:val="center"/>
          </w:tcPr>
          <w:p>
            <w:pPr>
              <w:spacing w:line="240" w:lineRule="auto"/>
              <w:jc w:val="right"/>
            </w:pPr>
            <w:r>
              <w:rPr>
                <w:rFonts w:ascii="宋体" w:hAnsi="宋体" w:eastAsia="宋体" w:cs="宋体"/>
                <w:b w:val="0"/>
              </w:rPr>
              <w:t>33.85%</w:t>
            </w:r>
          </w:p>
        </w:tc>
        <w:tc>
          <w:tcPr>
            <w:tcW w:w="0" w:type="dxa"/>
            <w:vAlign w:val="center"/>
          </w:tcPr>
          <w:p>
            <w:pPr>
              <w:spacing w:line="240" w:lineRule="auto"/>
              <w:jc w:val="right"/>
            </w:pPr>
            <w:r>
              <w:rPr>
                <w:rFonts w:ascii="宋体" w:hAnsi="宋体" w:eastAsia="宋体" w:cs="宋体"/>
                <w:b w:val="0"/>
              </w:rPr>
              <w:t>1.49%</w:t>
            </w:r>
          </w:p>
        </w:tc>
      </w:tr>
    </w:tbl>
    <w:p>
      <w:pPr>
        <w:jc w:val="left"/>
      </w:pPr>
      <w:r>
        <w:rPr>
          <w:rFonts w:ascii="宋体" w:hAnsi="宋体" w:eastAsia="宋体" w:cs="宋体"/>
          <w:b/>
        </w:rPr>
        <w:t>东方阿尔法科技优选混合发起C净值表现</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1"/>
        <w:gridCol w:w="1285"/>
        <w:gridCol w:w="1286"/>
        <w:gridCol w:w="1286"/>
        <w:gridCol w:w="1286"/>
        <w:gridCol w:w="1286"/>
        <w:gridCol w:w="12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pct"/>
            <w:shd w:val="clear" w:color="auto" w:fill="D9D9D9"/>
            <w:vAlign w:val="center"/>
          </w:tcPr>
          <w:p>
            <w:pPr>
              <w:spacing w:line="240" w:lineRule="auto"/>
              <w:jc w:val="center"/>
            </w:pPr>
            <w:r>
              <w:rPr>
                <w:rFonts w:ascii="宋体" w:hAnsi="宋体" w:eastAsia="宋体" w:cs="宋体"/>
                <w:b w:val="0"/>
              </w:rPr>
              <w:t>阶段</w:t>
            </w:r>
          </w:p>
        </w:tc>
        <w:tc>
          <w:tcPr>
            <w:tcW w:w="692" w:type="pct"/>
            <w:shd w:val="clear" w:color="auto" w:fill="D9D9D9"/>
            <w:vAlign w:val="center"/>
          </w:tcPr>
          <w:p>
            <w:pPr>
              <w:spacing w:line="240" w:lineRule="auto"/>
              <w:jc w:val="center"/>
            </w:pPr>
            <w:r>
              <w:rPr>
                <w:rFonts w:ascii="宋体" w:hAnsi="宋体" w:eastAsia="宋体" w:cs="宋体"/>
                <w:b w:val="0"/>
              </w:rPr>
              <w:t>净值增长率①</w:t>
            </w:r>
          </w:p>
        </w:tc>
        <w:tc>
          <w:tcPr>
            <w:tcW w:w="692" w:type="pct"/>
            <w:shd w:val="clear" w:color="auto" w:fill="D9D9D9"/>
            <w:vAlign w:val="center"/>
          </w:tcPr>
          <w:p>
            <w:pPr>
              <w:spacing w:line="240" w:lineRule="auto"/>
              <w:jc w:val="center"/>
            </w:pPr>
            <w:r>
              <w:rPr>
                <w:rFonts w:ascii="宋体" w:hAnsi="宋体" w:eastAsia="宋体" w:cs="宋体"/>
                <w:b w:val="0"/>
              </w:rPr>
              <w:t>净值增长率标准差②</w:t>
            </w:r>
          </w:p>
        </w:tc>
        <w:tc>
          <w:tcPr>
            <w:tcW w:w="692" w:type="pct"/>
            <w:shd w:val="clear" w:color="auto" w:fill="D9D9D9"/>
            <w:vAlign w:val="center"/>
          </w:tcPr>
          <w:p>
            <w:pPr>
              <w:spacing w:line="240" w:lineRule="auto"/>
              <w:jc w:val="center"/>
            </w:pPr>
            <w:r>
              <w:rPr>
                <w:rFonts w:ascii="宋体" w:hAnsi="宋体" w:eastAsia="宋体" w:cs="宋体"/>
                <w:b w:val="0"/>
              </w:rPr>
              <w:t>业绩比较基准收益率③</w:t>
            </w:r>
          </w:p>
        </w:tc>
        <w:tc>
          <w:tcPr>
            <w:tcW w:w="692" w:type="pct"/>
            <w:shd w:val="clear" w:color="auto" w:fill="D9D9D9"/>
            <w:vAlign w:val="center"/>
          </w:tcPr>
          <w:p>
            <w:pPr>
              <w:spacing w:line="240" w:lineRule="auto"/>
              <w:jc w:val="center"/>
            </w:pPr>
            <w:r>
              <w:rPr>
                <w:rFonts w:ascii="宋体" w:hAnsi="宋体" w:eastAsia="宋体" w:cs="宋体"/>
                <w:b w:val="0"/>
              </w:rPr>
              <w:t>业绩比较基准收益率标准差④</w:t>
            </w:r>
          </w:p>
        </w:tc>
        <w:tc>
          <w:tcPr>
            <w:tcW w:w="692" w:type="pct"/>
            <w:shd w:val="clear" w:color="auto" w:fill="D9D9D9"/>
            <w:vAlign w:val="center"/>
          </w:tcPr>
          <w:p>
            <w:pPr>
              <w:spacing w:line="240" w:lineRule="auto"/>
              <w:jc w:val="center"/>
            </w:pPr>
            <w:r>
              <w:rPr>
                <w:rFonts w:ascii="宋体" w:hAnsi="宋体" w:eastAsia="宋体" w:cs="宋体"/>
                <w:b w:val="0"/>
              </w:rPr>
              <w:t>①-③</w:t>
            </w:r>
          </w:p>
        </w:tc>
        <w:tc>
          <w:tcPr>
            <w:tcW w:w="692" w:type="pct"/>
            <w:shd w:val="clear" w:color="auto" w:fill="D9D9D9"/>
            <w:vAlign w:val="center"/>
          </w:tcPr>
          <w:p>
            <w:pPr>
              <w:spacing w:line="240" w:lineRule="auto"/>
              <w:jc w:val="center"/>
            </w:pPr>
            <w:r>
              <w:rPr>
                <w:rFonts w:ascii="宋体" w:hAnsi="宋体" w:eastAsia="宋体" w:cs="宋体"/>
                <w:b w:val="0"/>
              </w:rPr>
              <w:t>②-④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过去三个月</w:t>
            </w:r>
          </w:p>
        </w:tc>
        <w:tc>
          <w:tcPr>
            <w:tcW w:w="0" w:type="dxa"/>
            <w:vAlign w:val="center"/>
          </w:tcPr>
          <w:p>
            <w:pPr>
              <w:spacing w:line="240" w:lineRule="auto"/>
              <w:jc w:val="right"/>
            </w:pPr>
            <w:r>
              <w:rPr>
                <w:rFonts w:ascii="宋体" w:hAnsi="宋体" w:eastAsia="宋体" w:cs="宋体"/>
                <w:b w:val="0"/>
              </w:rPr>
              <w:t>-27.26%</w:t>
            </w:r>
          </w:p>
        </w:tc>
        <w:tc>
          <w:tcPr>
            <w:tcW w:w="0" w:type="dxa"/>
            <w:vAlign w:val="center"/>
          </w:tcPr>
          <w:p>
            <w:pPr>
              <w:spacing w:line="240" w:lineRule="auto"/>
              <w:jc w:val="right"/>
            </w:pPr>
            <w:r>
              <w:rPr>
                <w:rFonts w:ascii="宋体" w:hAnsi="宋体" w:eastAsia="宋体" w:cs="宋体"/>
                <w:b w:val="0"/>
              </w:rPr>
              <w:t>4.72%</w:t>
            </w:r>
          </w:p>
        </w:tc>
        <w:tc>
          <w:tcPr>
            <w:tcW w:w="0" w:type="dxa"/>
            <w:vAlign w:val="center"/>
          </w:tcPr>
          <w:p>
            <w:pPr>
              <w:spacing w:line="240" w:lineRule="auto"/>
              <w:jc w:val="right"/>
            </w:pPr>
            <w:r>
              <w:rPr>
                <w:rFonts w:ascii="宋体" w:hAnsi="宋体" w:eastAsia="宋体" w:cs="宋体"/>
                <w:b w:val="0"/>
              </w:rPr>
              <w:t>-21.67%</w:t>
            </w:r>
          </w:p>
        </w:tc>
        <w:tc>
          <w:tcPr>
            <w:tcW w:w="0" w:type="dxa"/>
            <w:vAlign w:val="center"/>
          </w:tcPr>
          <w:p>
            <w:pPr>
              <w:spacing w:line="240" w:lineRule="auto"/>
              <w:jc w:val="right"/>
            </w:pPr>
            <w:r>
              <w:rPr>
                <w:rFonts w:ascii="宋体" w:hAnsi="宋体" w:eastAsia="宋体" w:cs="宋体"/>
                <w:b w:val="0"/>
              </w:rPr>
              <w:t>2.23%</w:t>
            </w:r>
          </w:p>
        </w:tc>
        <w:tc>
          <w:tcPr>
            <w:tcW w:w="0" w:type="dxa"/>
            <w:vAlign w:val="center"/>
          </w:tcPr>
          <w:p>
            <w:pPr>
              <w:spacing w:line="240" w:lineRule="auto"/>
              <w:jc w:val="right"/>
            </w:pPr>
            <w:r>
              <w:rPr>
                <w:rFonts w:ascii="宋体" w:hAnsi="宋体" w:eastAsia="宋体" w:cs="宋体"/>
                <w:b w:val="0"/>
              </w:rPr>
              <w:t>-5.59%</w:t>
            </w:r>
          </w:p>
        </w:tc>
        <w:tc>
          <w:tcPr>
            <w:tcW w:w="0" w:type="dxa"/>
            <w:vAlign w:val="center"/>
          </w:tcPr>
          <w:p>
            <w:pPr>
              <w:spacing w:line="240" w:lineRule="auto"/>
              <w:jc w:val="right"/>
            </w:pPr>
            <w:r>
              <w:rPr>
                <w:rFonts w:ascii="宋体" w:hAnsi="宋体" w:eastAsia="宋体" w:cs="宋体"/>
                <w:b w:val="0"/>
              </w:rPr>
              <w:t>2.49%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过去六个月</w:t>
            </w:r>
          </w:p>
        </w:tc>
        <w:tc>
          <w:tcPr>
            <w:tcW w:w="0" w:type="dxa"/>
            <w:vAlign w:val="center"/>
          </w:tcPr>
          <w:p>
            <w:pPr>
              <w:spacing w:line="240" w:lineRule="auto"/>
              <w:jc w:val="right"/>
            </w:pPr>
            <w:r>
              <w:rPr>
                <w:rFonts w:ascii="宋体" w:hAnsi="宋体" w:eastAsia="宋体" w:cs="宋体"/>
                <w:b w:val="0"/>
              </w:rPr>
              <w:t>71.20%</w:t>
            </w:r>
          </w:p>
        </w:tc>
        <w:tc>
          <w:tcPr>
            <w:tcW w:w="0" w:type="dxa"/>
            <w:vAlign w:val="center"/>
          </w:tcPr>
          <w:p>
            <w:pPr>
              <w:spacing w:line="240" w:lineRule="auto"/>
              <w:jc w:val="right"/>
            </w:pPr>
            <w:r>
              <w:rPr>
                <w:rFonts w:ascii="宋体" w:hAnsi="宋体" w:eastAsia="宋体" w:cs="宋体"/>
                <w:b w:val="0"/>
              </w:rPr>
              <w:t>4.27%</w:t>
            </w:r>
          </w:p>
        </w:tc>
        <w:tc>
          <w:tcPr>
            <w:tcW w:w="0" w:type="dxa"/>
            <w:vAlign w:val="center"/>
          </w:tcPr>
          <w:p>
            <w:pPr>
              <w:spacing w:line="240" w:lineRule="auto"/>
              <w:jc w:val="right"/>
            </w:pPr>
            <w:r>
              <w:rPr>
                <w:rFonts w:ascii="宋体" w:hAnsi="宋体" w:eastAsia="宋体" w:cs="宋体"/>
                <w:b w:val="0"/>
              </w:rPr>
              <w:t>9.97%</w:t>
            </w:r>
          </w:p>
        </w:tc>
        <w:tc>
          <w:tcPr>
            <w:tcW w:w="0" w:type="dxa"/>
            <w:vAlign w:val="center"/>
          </w:tcPr>
          <w:p>
            <w:pPr>
              <w:spacing w:line="240" w:lineRule="auto"/>
              <w:jc w:val="right"/>
            </w:pPr>
            <w:r>
              <w:rPr>
                <w:rFonts w:ascii="宋体" w:hAnsi="宋体" w:eastAsia="宋体" w:cs="宋体"/>
                <w:b w:val="0"/>
              </w:rPr>
              <w:t>2.08%</w:t>
            </w:r>
          </w:p>
        </w:tc>
        <w:tc>
          <w:tcPr>
            <w:tcW w:w="0" w:type="dxa"/>
            <w:vAlign w:val="center"/>
          </w:tcPr>
          <w:p>
            <w:pPr>
              <w:spacing w:line="240" w:lineRule="auto"/>
              <w:jc w:val="right"/>
            </w:pPr>
            <w:r>
              <w:rPr>
                <w:rFonts w:ascii="宋体" w:hAnsi="宋体" w:eastAsia="宋体" w:cs="宋体"/>
                <w:b w:val="0"/>
              </w:rPr>
              <w:t>61.23%</w:t>
            </w:r>
          </w:p>
        </w:tc>
        <w:tc>
          <w:tcPr>
            <w:tcW w:w="0" w:type="dxa"/>
            <w:vAlign w:val="center"/>
          </w:tcPr>
          <w:p>
            <w:pPr>
              <w:spacing w:line="240" w:lineRule="auto"/>
              <w:jc w:val="right"/>
            </w:pPr>
            <w:r>
              <w:rPr>
                <w:rFonts w:ascii="宋体" w:hAnsi="宋体" w:eastAsia="宋体" w:cs="宋体"/>
                <w:b w:val="0"/>
              </w:rPr>
              <w:t>2.19%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过去一年</w:t>
            </w:r>
          </w:p>
        </w:tc>
        <w:tc>
          <w:tcPr>
            <w:tcW w:w="0" w:type="dxa"/>
            <w:vAlign w:val="center"/>
          </w:tcPr>
          <w:p>
            <w:pPr>
              <w:spacing w:line="240" w:lineRule="auto"/>
              <w:jc w:val="right"/>
            </w:pPr>
            <w:r>
              <w:rPr>
                <w:rFonts w:ascii="宋体" w:hAnsi="宋体" w:eastAsia="宋体" w:cs="宋体"/>
                <w:b w:val="0"/>
              </w:rPr>
              <w:t>71.14%</w:t>
            </w:r>
          </w:p>
        </w:tc>
        <w:tc>
          <w:tcPr>
            <w:tcW w:w="0" w:type="dxa"/>
            <w:vAlign w:val="center"/>
          </w:tcPr>
          <w:p>
            <w:pPr>
              <w:spacing w:line="240" w:lineRule="auto"/>
              <w:jc w:val="right"/>
            </w:pPr>
            <w:r>
              <w:rPr>
                <w:rFonts w:ascii="宋体" w:hAnsi="宋体" w:eastAsia="宋体" w:cs="宋体"/>
                <w:b w:val="0"/>
              </w:rPr>
              <w:t>3.57%</w:t>
            </w:r>
          </w:p>
        </w:tc>
        <w:tc>
          <w:tcPr>
            <w:tcW w:w="0" w:type="dxa"/>
            <w:vAlign w:val="center"/>
          </w:tcPr>
          <w:p>
            <w:pPr>
              <w:spacing w:line="240" w:lineRule="auto"/>
              <w:jc w:val="right"/>
            </w:pPr>
            <w:r>
              <w:rPr>
                <w:rFonts w:ascii="宋体" w:hAnsi="宋体" w:eastAsia="宋体" w:cs="宋体"/>
                <w:b w:val="0"/>
              </w:rPr>
              <w:t>2.49%</w:t>
            </w:r>
          </w:p>
        </w:tc>
        <w:tc>
          <w:tcPr>
            <w:tcW w:w="0" w:type="dxa"/>
            <w:vAlign w:val="center"/>
          </w:tcPr>
          <w:p>
            <w:pPr>
              <w:spacing w:line="240" w:lineRule="auto"/>
              <w:jc w:val="right"/>
            </w:pPr>
            <w:r>
              <w:rPr>
                <w:rFonts w:ascii="宋体" w:hAnsi="宋体" w:eastAsia="宋体" w:cs="宋体"/>
                <w:b w:val="0"/>
              </w:rPr>
              <w:t>1.77%</w:t>
            </w:r>
          </w:p>
        </w:tc>
        <w:tc>
          <w:tcPr>
            <w:tcW w:w="0" w:type="dxa"/>
            <w:vAlign w:val="center"/>
          </w:tcPr>
          <w:p>
            <w:pPr>
              <w:spacing w:line="240" w:lineRule="auto"/>
              <w:jc w:val="right"/>
            </w:pPr>
            <w:r>
              <w:rPr>
                <w:rFonts w:ascii="宋体" w:hAnsi="宋体" w:eastAsia="宋体" w:cs="宋体"/>
                <w:b w:val="0"/>
              </w:rPr>
              <w:t>68.65%</w:t>
            </w:r>
          </w:p>
        </w:tc>
        <w:tc>
          <w:tcPr>
            <w:tcW w:w="0" w:type="dxa"/>
            <w:vAlign w:val="center"/>
          </w:tcPr>
          <w:p>
            <w:pPr>
              <w:spacing w:line="240" w:lineRule="auto"/>
              <w:jc w:val="right"/>
            </w:pPr>
            <w:r>
              <w:rPr>
                <w:rFonts w:ascii="宋体" w:hAnsi="宋体" w:eastAsia="宋体" w:cs="宋体"/>
                <w:b w:val="0"/>
              </w:rPr>
              <w:t>1.80%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自基金合同生效起至今</w:t>
            </w:r>
          </w:p>
        </w:tc>
        <w:tc>
          <w:tcPr>
            <w:tcW w:w="0" w:type="dxa"/>
            <w:vAlign w:val="center"/>
          </w:tcPr>
          <w:p>
            <w:pPr>
              <w:spacing w:line="240" w:lineRule="auto"/>
              <w:jc w:val="right"/>
            </w:pPr>
            <w:r>
              <w:rPr>
                <w:rFonts w:ascii="宋体" w:hAnsi="宋体" w:eastAsia="宋体" w:cs="宋体"/>
                <w:b w:val="0"/>
              </w:rPr>
              <w:t>78.05%</w:t>
            </w:r>
          </w:p>
        </w:tc>
        <w:tc>
          <w:tcPr>
            <w:tcW w:w="0" w:type="dxa"/>
            <w:vAlign w:val="center"/>
          </w:tcPr>
          <w:p>
            <w:pPr>
              <w:spacing w:line="240" w:lineRule="auto"/>
              <w:jc w:val="right"/>
            </w:pPr>
            <w:r>
              <w:rPr>
                <w:rFonts w:ascii="宋体" w:hAnsi="宋体" w:eastAsia="宋体" w:cs="宋体"/>
                <w:b w:val="0"/>
              </w:rPr>
              <w:t>3.17%</w:t>
            </w:r>
          </w:p>
        </w:tc>
        <w:tc>
          <w:tcPr>
            <w:tcW w:w="0" w:type="dxa"/>
            <w:vAlign w:val="center"/>
          </w:tcPr>
          <w:p>
            <w:pPr>
              <w:spacing w:line="240" w:lineRule="auto"/>
              <w:jc w:val="right"/>
            </w:pPr>
            <w:r>
              <w:rPr>
                <w:rFonts w:ascii="宋体" w:hAnsi="宋体" w:eastAsia="宋体" w:cs="宋体"/>
                <w:b w:val="0"/>
              </w:rPr>
              <w:t>45.13%</w:t>
            </w:r>
          </w:p>
        </w:tc>
        <w:tc>
          <w:tcPr>
            <w:tcW w:w="0" w:type="dxa"/>
            <w:vAlign w:val="center"/>
          </w:tcPr>
          <w:p>
            <w:pPr>
              <w:spacing w:line="240" w:lineRule="auto"/>
              <w:jc w:val="right"/>
            </w:pPr>
            <w:r>
              <w:rPr>
                <w:rFonts w:ascii="宋体" w:hAnsi="宋体" w:eastAsia="宋体" w:cs="宋体"/>
                <w:b w:val="0"/>
              </w:rPr>
              <w:t>1.68%</w:t>
            </w:r>
          </w:p>
        </w:tc>
        <w:tc>
          <w:tcPr>
            <w:tcW w:w="0" w:type="dxa"/>
            <w:vAlign w:val="center"/>
          </w:tcPr>
          <w:p>
            <w:pPr>
              <w:spacing w:line="240" w:lineRule="auto"/>
              <w:jc w:val="right"/>
            </w:pPr>
            <w:r>
              <w:rPr>
                <w:rFonts w:ascii="宋体" w:hAnsi="宋体" w:eastAsia="宋体" w:cs="宋体"/>
                <w:b w:val="0"/>
              </w:rPr>
              <w:t>32.92%</w:t>
            </w:r>
          </w:p>
        </w:tc>
        <w:tc>
          <w:tcPr>
            <w:tcW w:w="0" w:type="dxa"/>
            <w:vAlign w:val="center"/>
          </w:tcPr>
          <w:p>
            <w:pPr>
              <w:spacing w:line="240" w:lineRule="auto"/>
              <w:jc w:val="right"/>
            </w:pPr>
            <w:r>
              <w:rPr>
                <w:rFonts w:ascii="宋体" w:hAnsi="宋体" w:eastAsia="宋体" w:cs="宋体"/>
                <w:b w:val="0"/>
              </w:rPr>
              <w:t>1.49%</w:t>
            </w:r>
          </w:p>
        </w:tc>
      </w:tr>
    </w:tbl>
    <w:p>
      <w:r>
        <w:rPr>
          <w:rFonts w:ascii="宋体" w:hAnsi="宋体" w:eastAsia="宋体" w:cs="宋体"/>
          <w:b w:val="0"/>
        </w:rPr>
        <w:t>注：本基金业绩比较基准为：中国战略新兴产业成份指数收益率*70%+中债-综合指数(全价)收益率*20%+恒生科技指数收益率(按估值汇率折算)*10%</w:t>
      </w:r>
    </w:p>
    <w:p/>
    <w:p>
      <w:pPr>
        <w:pStyle w:val="58"/>
      </w:pPr>
      <w:r>
        <w:rPr>
          <w:rStyle w:val="30"/>
          <w:rFonts w:ascii="宋体" w:hAnsi="宋体" w:eastAsia="宋体" w:cs="宋体"/>
          <w:b/>
        </w:rPr>
        <w:t>3.2.2 自基金合同生效以来基金累计净值增长率变动及其与同期业绩比较基准收益率变动的比较</w:t>
      </w:r>
    </w:p>
    <w:p>
      <w:r>
        <w:drawing>
          <wp:inline distT="0" distB="0" distL="0" distR="0">
            <wp:extent cx="5715000" cy="3048000"/>
            <wp:effectExtent l="0" t="0" r="0" b="0"/>
            <wp:docPr id="1" name="Drawing 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wing 1" descr="Generated"/>
                    <pic:cNvPicPr>
                      <a:picLocks noChangeAspect="1"/>
                    </pic:cNvPicPr>
                  </pic:nvPicPr>
                  <pic:blipFill>
                    <a:blip r:embed="rId10"/>
                    <a:stretch>
                      <a:fillRect/>
                    </a:stretch>
                  </pic:blipFill>
                  <pic:spPr>
                    <a:xfrm>
                      <a:off x="0" y="0"/>
                      <a:ext cx="5715000" cy="3048000"/>
                    </a:xfrm>
                    <a:prstGeom prst="rect">
                      <a:avLst/>
                    </a:prstGeom>
                  </pic:spPr>
                </pic:pic>
              </a:graphicData>
            </a:graphic>
          </wp:inline>
        </w:drawing>
      </w:r>
    </w:p>
    <w:p>
      <w:r>
        <w:drawing>
          <wp:inline distT="0" distB="0" distL="0" distR="0">
            <wp:extent cx="5715000" cy="304800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11"/>
                    <a:stretch>
                      <a:fillRect/>
                    </a:stretch>
                  </pic:blipFill>
                  <pic:spPr>
                    <a:xfrm>
                      <a:off x="0" y="0"/>
                      <a:ext cx="5715000" cy="3048000"/>
                    </a:xfrm>
                    <a:prstGeom prst="rect">
                      <a:avLst/>
                    </a:prstGeom>
                  </pic:spPr>
                </pic:pic>
              </a:graphicData>
            </a:graphic>
          </wp:inline>
        </w:drawing>
      </w:r>
    </w:p>
    <w:p>
      <w:pPr>
        <w:pStyle w:val="2"/>
        <w:jc w:val="center"/>
      </w:pPr>
      <w:r>
        <w:rPr>
          <w:rFonts w:ascii="宋体" w:hAnsi="宋体" w:eastAsia="宋体" w:cs="宋体"/>
        </w:rPr>
        <w:t>§4 管理人报告</w:t>
      </w:r>
    </w:p>
    <w:p>
      <w:pPr>
        <w:pStyle w:val="3"/>
        <w:jc w:val="left"/>
      </w:pPr>
      <w:r>
        <w:rPr>
          <w:rFonts w:ascii="宋体" w:hAnsi="宋体" w:eastAsia="宋体" w:cs="宋体"/>
        </w:rPr>
        <w:t>4.1 基金经理（或基金经理小组）简介</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29"/>
        <w:gridCol w:w="1229"/>
        <w:gridCol w:w="1501"/>
        <w:gridCol w:w="1501"/>
        <w:gridCol w:w="800"/>
        <w:gridCol w:w="30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2" w:type="pct"/>
            <w:vMerge w:val="restart"/>
            <w:shd w:val="clear" w:color="auto" w:fill="D9D9D9"/>
            <w:vAlign w:val="center"/>
          </w:tcPr>
          <w:p>
            <w:pPr>
              <w:spacing w:line="240" w:lineRule="auto"/>
              <w:jc w:val="center"/>
            </w:pPr>
            <w:r>
              <w:rPr>
                <w:rFonts w:ascii="宋体" w:hAnsi="宋体" w:eastAsia="宋体" w:cs="宋体"/>
                <w:b w:val="0"/>
              </w:rPr>
              <w:t>姓名</w:t>
            </w:r>
          </w:p>
        </w:tc>
        <w:tc>
          <w:tcPr>
            <w:tcW w:w="662" w:type="pct"/>
            <w:vMerge w:val="restart"/>
            <w:shd w:val="clear" w:color="auto" w:fill="D9D9D9"/>
            <w:vAlign w:val="center"/>
          </w:tcPr>
          <w:p>
            <w:pPr>
              <w:spacing w:line="240" w:lineRule="auto"/>
              <w:jc w:val="center"/>
            </w:pPr>
            <w:r>
              <w:rPr>
                <w:rFonts w:ascii="宋体" w:hAnsi="宋体" w:eastAsia="宋体" w:cs="宋体"/>
                <w:b w:val="0"/>
              </w:rPr>
              <w:t>职务</w:t>
            </w:r>
          </w:p>
        </w:tc>
        <w:tc>
          <w:tcPr>
            <w:tcW w:w="1615" w:type="pct"/>
            <w:gridSpan w:val="2"/>
            <w:shd w:val="clear" w:color="auto" w:fill="D9D9D9"/>
            <w:vAlign w:val="center"/>
          </w:tcPr>
          <w:p>
            <w:pPr>
              <w:spacing w:line="240" w:lineRule="auto"/>
              <w:jc w:val="center"/>
            </w:pPr>
            <w:r>
              <w:rPr>
                <w:rFonts w:ascii="宋体" w:hAnsi="宋体" w:eastAsia="宋体" w:cs="宋体"/>
                <w:b w:val="0"/>
              </w:rPr>
              <w:t>任本基金的基金经理期限</w:t>
            </w:r>
          </w:p>
        </w:tc>
        <w:tc>
          <w:tcPr>
            <w:tcW w:w="431" w:type="pct"/>
            <w:vMerge w:val="restart"/>
            <w:shd w:val="clear" w:color="auto" w:fill="D9D9D9"/>
            <w:vAlign w:val="center"/>
          </w:tcPr>
          <w:p>
            <w:pPr>
              <w:spacing w:line="240" w:lineRule="auto"/>
              <w:jc w:val="center"/>
            </w:pPr>
            <w:r>
              <w:rPr>
                <w:rFonts w:ascii="宋体" w:hAnsi="宋体" w:eastAsia="宋体" w:cs="宋体"/>
                <w:b w:val="0"/>
              </w:rPr>
              <w:t>证券从业年限</w:t>
            </w:r>
          </w:p>
        </w:tc>
        <w:tc>
          <w:tcPr>
            <w:tcW w:w="1631" w:type="pct"/>
            <w:vMerge w:val="restart"/>
            <w:shd w:val="clear" w:color="auto" w:fill="D9D9D9"/>
            <w:vAlign w:val="center"/>
          </w:tcPr>
          <w:p>
            <w:pPr>
              <w:spacing w:line="240" w:lineRule="auto"/>
              <w:jc w:val="center"/>
            </w:pPr>
            <w:r>
              <w:rPr>
                <w:rFonts w:ascii="宋体" w:hAnsi="宋体" w:eastAsia="宋体" w:cs="宋体"/>
                <w:b w:val="0"/>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tc>
        <w:tc>
          <w:tcPr>
            <w:vMerge w:val="continue"/>
          </w:tcPr>
          <w:p/>
        </w:tc>
        <w:tc>
          <w:tcPr>
            <w:tcW w:w="808" w:type="pct"/>
            <w:shd w:val="clear" w:color="auto" w:fill="D9D9D9"/>
            <w:vAlign w:val="center"/>
          </w:tcPr>
          <w:p>
            <w:pPr>
              <w:spacing w:line="240" w:lineRule="auto"/>
              <w:jc w:val="center"/>
            </w:pPr>
            <w:r>
              <w:rPr>
                <w:rFonts w:ascii="宋体" w:hAnsi="宋体" w:eastAsia="宋体" w:cs="宋体"/>
                <w:b w:val="0"/>
              </w:rPr>
              <w:t>任职日期</w:t>
            </w:r>
          </w:p>
        </w:tc>
        <w:tc>
          <w:tcPr>
            <w:tcW w:w="808" w:type="pct"/>
            <w:shd w:val="clear" w:color="auto" w:fill="D9D9D9"/>
            <w:vAlign w:val="center"/>
          </w:tcPr>
          <w:p>
            <w:pPr>
              <w:spacing w:line="240" w:lineRule="auto"/>
              <w:jc w:val="center"/>
            </w:pPr>
            <w:r>
              <w:rPr>
                <w:rFonts w:ascii="宋体" w:hAnsi="宋体" w:eastAsia="宋体" w:cs="宋体"/>
                <w:b w:val="0"/>
              </w:rPr>
              <w:t>离任日期</w:t>
            </w:r>
          </w:p>
        </w:tc>
        <w:tc>
          <w:tcPr>
            <w:vMerge w:val="continue"/>
          </w:tcPr>
          <w:p/>
        </w:tc>
        <w:tc>
          <w:tcPr>
            <w:vMerge w:val="continue"/>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周谧</w:t>
            </w:r>
          </w:p>
        </w:tc>
        <w:tc>
          <w:tcPr>
            <w:tcW w:w="0" w:type="dxa"/>
            <w:vAlign w:val="center"/>
          </w:tcPr>
          <w:p>
            <w:pPr>
              <w:spacing w:line="240" w:lineRule="auto"/>
              <w:jc w:val="left"/>
            </w:pPr>
            <w:r>
              <w:rPr>
                <w:rFonts w:ascii="宋体" w:hAnsi="宋体" w:eastAsia="宋体" w:cs="宋体"/>
                <w:b w:val="0"/>
              </w:rPr>
              <w:t>基金经理</w:t>
            </w:r>
          </w:p>
        </w:tc>
        <w:tc>
          <w:tcPr>
            <w:tcW w:w="0" w:type="dxa"/>
            <w:vAlign w:val="center"/>
          </w:tcPr>
          <w:p>
            <w:pPr>
              <w:spacing w:line="240" w:lineRule="auto"/>
              <w:jc w:val="center"/>
            </w:pPr>
            <w:r>
              <w:rPr>
                <w:rFonts w:ascii="宋体" w:hAnsi="宋体" w:eastAsia="宋体" w:cs="宋体"/>
                <w:b w:val="0"/>
              </w:rPr>
              <w:t>2025-06-12</w:t>
            </w:r>
          </w:p>
        </w:tc>
        <w:tc>
          <w:tcPr>
            <w:tcW w:w="0" w:type="dxa"/>
            <w:vAlign w:val="center"/>
          </w:tcPr>
          <w:p>
            <w:pPr>
              <w:spacing w:line="240" w:lineRule="auto"/>
              <w:jc w:val="center"/>
            </w:pPr>
            <w:r>
              <w:rPr>
                <w:rFonts w:ascii="宋体" w:hAnsi="宋体" w:eastAsia="宋体" w:cs="宋体"/>
                <w:b w:val="0"/>
              </w:rPr>
              <w:t>-</w:t>
            </w:r>
          </w:p>
        </w:tc>
        <w:tc>
          <w:tcPr>
            <w:tcW w:w="0" w:type="dxa"/>
            <w:vAlign w:val="center"/>
          </w:tcPr>
          <w:p>
            <w:pPr>
              <w:spacing w:line="240" w:lineRule="auto"/>
              <w:jc w:val="center"/>
            </w:pPr>
            <w:r>
              <w:rPr>
                <w:rFonts w:ascii="宋体" w:hAnsi="宋体" w:eastAsia="宋体" w:cs="宋体"/>
                <w:b w:val="0"/>
              </w:rPr>
              <w:t>16年</w:t>
            </w:r>
          </w:p>
        </w:tc>
        <w:tc>
          <w:tcPr>
            <w:tcW w:w="0" w:type="dxa"/>
            <w:vAlign w:val="center"/>
          </w:tcPr>
          <w:p>
            <w:pPr>
              <w:spacing w:line="240" w:lineRule="auto"/>
              <w:jc w:val="left"/>
            </w:pPr>
            <w:r>
              <w:rPr>
                <w:rFonts w:ascii="宋体" w:hAnsi="宋体" w:eastAsia="宋体" w:cs="宋体"/>
                <w:b w:val="0"/>
              </w:rPr>
              <w:t>周谧先生，中国人民大学应用数学硕士。2008年9月起历任中再资产管理股份有限公司金融工程分析师、平安证券有限责任公司高级量化分析师、国金创新投资有限公司投资经理、深圳铸成投资有限公司投资部副总监、财信证券有限责任公司投资经理、金信基金管理有限公司基金经理。2022年10月加入东方阿尔法基金管理有限公司，现任东方阿尔法基金管理有限公司基金经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梁少文</w:t>
            </w:r>
          </w:p>
        </w:tc>
        <w:tc>
          <w:tcPr>
            <w:tcW w:w="0" w:type="dxa"/>
            <w:vAlign w:val="center"/>
          </w:tcPr>
          <w:p>
            <w:pPr>
              <w:spacing w:line="240" w:lineRule="auto"/>
              <w:jc w:val="left"/>
            </w:pPr>
            <w:r>
              <w:rPr>
                <w:rFonts w:ascii="宋体" w:hAnsi="宋体" w:eastAsia="宋体" w:cs="宋体"/>
                <w:b w:val="0"/>
              </w:rPr>
              <w:t>基金经理</w:t>
            </w:r>
          </w:p>
        </w:tc>
        <w:tc>
          <w:tcPr>
            <w:tcW w:w="0" w:type="dxa"/>
            <w:vAlign w:val="center"/>
          </w:tcPr>
          <w:p>
            <w:pPr>
              <w:spacing w:line="240" w:lineRule="auto"/>
              <w:jc w:val="center"/>
            </w:pPr>
            <w:r>
              <w:rPr>
                <w:rFonts w:ascii="宋体" w:hAnsi="宋体" w:eastAsia="宋体" w:cs="宋体"/>
                <w:b w:val="0"/>
              </w:rPr>
              <w:t>2025-12-01</w:t>
            </w:r>
          </w:p>
        </w:tc>
        <w:tc>
          <w:tcPr>
            <w:tcW w:w="0" w:type="dxa"/>
            <w:vAlign w:val="center"/>
          </w:tcPr>
          <w:p>
            <w:pPr>
              <w:spacing w:line="240" w:lineRule="auto"/>
              <w:jc w:val="center"/>
            </w:pPr>
            <w:r>
              <w:rPr>
                <w:rFonts w:ascii="宋体" w:hAnsi="宋体" w:eastAsia="宋体" w:cs="宋体"/>
                <w:b w:val="0"/>
              </w:rPr>
              <w:t>-</w:t>
            </w:r>
          </w:p>
        </w:tc>
        <w:tc>
          <w:tcPr>
            <w:tcW w:w="0" w:type="dxa"/>
            <w:vAlign w:val="center"/>
          </w:tcPr>
          <w:p>
            <w:pPr>
              <w:spacing w:line="240" w:lineRule="auto"/>
              <w:jc w:val="center"/>
            </w:pPr>
            <w:r>
              <w:rPr>
                <w:rFonts w:ascii="宋体" w:hAnsi="宋体" w:eastAsia="宋体" w:cs="宋体"/>
                <w:b w:val="0"/>
              </w:rPr>
              <w:t>5年</w:t>
            </w:r>
          </w:p>
        </w:tc>
        <w:tc>
          <w:tcPr>
            <w:tcW w:w="0" w:type="dxa"/>
            <w:vAlign w:val="center"/>
          </w:tcPr>
          <w:p>
            <w:pPr>
              <w:spacing w:line="240" w:lineRule="auto"/>
              <w:jc w:val="left"/>
            </w:pPr>
            <w:r>
              <w:rPr>
                <w:rFonts w:ascii="宋体" w:hAnsi="宋体" w:eastAsia="宋体" w:cs="宋体"/>
                <w:b w:val="0"/>
              </w:rPr>
              <w:t>梁少文先生，华中科技大学工学学士，华中科技大学金融硕士，于2021年11月入职东方阿尔法基金管理有限公司，历任研究员、基金经理助理。现任东方阿尔法基金管理有限公司基金经理。</w:t>
            </w:r>
          </w:p>
        </w:tc>
      </w:tr>
    </w:tbl>
    <w:p>
      <w:r>
        <w:rPr>
          <w:rFonts w:ascii="宋体" w:hAnsi="宋体" w:eastAsia="宋体" w:cs="宋体"/>
          <w:b w:val="0"/>
        </w:rPr>
        <w:t>注：1.对基金的首任基金经理，其"任职日期"为基金合同生效日，"离任日期"为根据公告确定的解聘日期；对此后的非首任基金经理，"任职日期"和"离任日期"分别指公告确定的任职日期和离任日期。</w:t>
      </w:r>
      <w:r>
        <w:rPr>
          <w:rFonts w:ascii="宋体" w:hAnsi="宋体" w:eastAsia="宋体" w:cs="宋体"/>
          <w:b w:val="0"/>
        </w:rPr>
        <w:br w:type="textWrapping"/>
      </w:r>
      <w:r>
        <w:rPr>
          <w:rFonts w:ascii="宋体" w:hAnsi="宋体" w:eastAsia="宋体" w:cs="宋体"/>
          <w:b w:val="0"/>
        </w:rPr>
        <w:t>2.证券从业的含义遵从《证券基金经营机构董事、监事、高级管理人员及从业人员监督管理办法》的相关规定。</w:t>
      </w:r>
    </w:p>
    <w:p/>
    <w:p>
      <w:pPr>
        <w:pStyle w:val="58"/>
      </w:pPr>
      <w:r>
        <w:rPr>
          <w:rStyle w:val="30"/>
          <w:rFonts w:ascii="宋体" w:hAnsi="宋体" w:eastAsia="宋体" w:cs="宋体"/>
          <w:b/>
        </w:rPr>
        <w:t>4.1.1 期末兼任私募资产管理计划投资经理的基金经理同时管理的产品情况</w:t>
      </w:r>
    </w:p>
    <w:p>
      <w:r>
        <w:rPr>
          <w:rFonts w:ascii="宋体" w:hAnsi="宋体" w:eastAsia="宋体" w:cs="宋体"/>
          <w:b w:val="0"/>
        </w:rPr>
        <w:t xml:space="preserve">    本基金基金经理不存在兼任私募资产管理计划的投资经理的情况。</w:t>
      </w:r>
    </w:p>
    <w:p/>
    <w:p>
      <w:pPr>
        <w:pStyle w:val="3"/>
        <w:jc w:val="left"/>
      </w:pPr>
      <w:r>
        <w:rPr>
          <w:rFonts w:ascii="宋体" w:hAnsi="宋体" w:eastAsia="宋体" w:cs="宋体"/>
        </w:rPr>
        <w:t>4.2 管理人对报告期内本基金运作遵规守信情况的说明</w:t>
      </w:r>
    </w:p>
    <w:p>
      <w:r>
        <w:rPr>
          <w:rFonts w:ascii="宋体" w:hAnsi="宋体" w:eastAsia="宋体" w:cs="宋体"/>
          <w:b w:val="0"/>
        </w:rPr>
        <w:t xml:space="preserve">    本报告期内，本基金管理人严格遵守《中华人民共和国证券投资基金法》及其各项实施细则等有关法律法规、本基金《基金合同》和其他有关法律法规的规定，本着诚实信用、勤勉尽责的原则管理和运用基金资产，在严格控制风险的基础上，为基金份额持有人谋求最大利益。本报告期内，基金运作整体合法合规，无损害基金份额持有人利益的行为。</w:t>
      </w:r>
    </w:p>
    <w:p/>
    <w:p>
      <w:pPr>
        <w:pStyle w:val="3"/>
        <w:jc w:val="left"/>
      </w:pPr>
      <w:r>
        <w:rPr>
          <w:rFonts w:ascii="宋体" w:hAnsi="宋体" w:eastAsia="宋体" w:cs="宋体"/>
        </w:rPr>
        <w:t>4.3 公平交易专项说明</w:t>
      </w:r>
    </w:p>
    <w:p>
      <w:pPr>
        <w:pStyle w:val="58"/>
      </w:pPr>
      <w:r>
        <w:rPr>
          <w:rStyle w:val="30"/>
          <w:rFonts w:ascii="宋体" w:hAnsi="宋体" w:eastAsia="宋体" w:cs="宋体"/>
          <w:b/>
        </w:rPr>
        <w:t>4.3.1 公平交易制度的执行情况</w:t>
      </w:r>
    </w:p>
    <w:p>
      <w:r>
        <w:rPr>
          <w:rFonts w:ascii="宋体" w:hAnsi="宋体" w:eastAsia="宋体" w:cs="宋体"/>
          <w:b w:val="0"/>
        </w:rPr>
        <w:t xml:space="preserve">    本报告期内，本基金管理人严格执行《证券投资基金管理公司公平交易制度指导意见》，完善相应制度及流程，通过系统和人工等各种方式在各业务环节严格控制交易公平执行，公平对待旗下管理的所有基金和投资组合。</w:t>
      </w:r>
      <w:r>
        <w:rPr>
          <w:rFonts w:ascii="宋体" w:hAnsi="宋体" w:eastAsia="宋体" w:cs="宋体"/>
          <w:b w:val="0"/>
        </w:rPr>
        <w:br w:type="textWrapping"/>
      </w:r>
      <w:r>
        <w:rPr>
          <w:rFonts w:ascii="宋体" w:hAnsi="宋体" w:eastAsia="宋体" w:cs="宋体"/>
          <w:b w:val="0"/>
        </w:rPr>
        <w:t xml:space="preserve">    本报告期内，本基金管理人利用统计分析的方法和工具，按照不同的时间窗（包括当日内、3日内、5日内）对基金管理人管理的不同投资组合反向交易和同向交易的交易价差监控进行分析，未发现违反公平交易制度的异常行为。</w:t>
      </w:r>
    </w:p>
    <w:p/>
    <w:p>
      <w:pPr>
        <w:pStyle w:val="58"/>
      </w:pPr>
      <w:r>
        <w:rPr>
          <w:rStyle w:val="30"/>
          <w:rFonts w:ascii="宋体" w:hAnsi="宋体" w:eastAsia="宋体" w:cs="宋体"/>
          <w:b/>
        </w:rPr>
        <w:t>4.3.2 异常交易行为的专项说明</w:t>
      </w:r>
    </w:p>
    <w:p>
      <w:r>
        <w:rPr>
          <w:rFonts w:ascii="宋体" w:hAnsi="宋体" w:eastAsia="宋体" w:cs="宋体"/>
          <w:b w:val="0"/>
        </w:rPr>
        <w:t xml:space="preserve">    报告期内，本基金不存在参与交易所公开竞价同日反向交易成交较少的单边交易量超过该证券当日成交量的5%的情况，且不存在其他可能导致非公平交易和利益输送的异常交易行为。</w:t>
      </w:r>
    </w:p>
    <w:p/>
    <w:p>
      <w:pPr>
        <w:pStyle w:val="3"/>
        <w:jc w:val="left"/>
      </w:pPr>
      <w:r>
        <w:rPr>
          <w:rFonts w:ascii="宋体" w:hAnsi="宋体" w:eastAsia="宋体" w:cs="宋体"/>
        </w:rPr>
        <w:t>4.4 报告期内基金的投资策略和运作分析</w:t>
      </w:r>
    </w:p>
    <w:p>
      <w:r>
        <w:rPr>
          <w:rFonts w:ascii="宋体" w:hAnsi="宋体" w:eastAsia="宋体" w:cs="宋体"/>
          <w:b w:val="0"/>
        </w:rPr>
        <w:t xml:space="preserve">    2026年三季度，中东地区地缘政治冲突出现反复，海外投资人对AI发展速度的讨论也越发激烈，带来三季度科技板块的显著波动。</w:t>
      </w:r>
      <w:r>
        <w:rPr>
          <w:rFonts w:ascii="宋体" w:hAnsi="宋体" w:eastAsia="宋体" w:cs="宋体"/>
          <w:b w:val="0"/>
        </w:rPr>
        <w:br w:type="textWrapping"/>
      </w:r>
      <w:r>
        <w:rPr>
          <w:rFonts w:ascii="宋体" w:hAnsi="宋体" w:eastAsia="宋体" w:cs="宋体"/>
          <w:b w:val="0"/>
        </w:rPr>
        <w:t xml:space="preserve">    半导体行业作为我国大力扶持发展的行业，其中半导体设备和材料更是摆脱美国卡脖子的关键领域，同时伴随着AI数据中心建设对存储芯片和逻辑芯片的拉动，带动国内晶圆厂进入扩产的大周期，行业景气度进入加速阶段，因此具备良好的投资机会。</w:t>
      </w:r>
      <w:r>
        <w:rPr>
          <w:rFonts w:ascii="宋体" w:hAnsi="宋体" w:eastAsia="宋体" w:cs="宋体"/>
          <w:b w:val="0"/>
        </w:rPr>
        <w:br w:type="textWrapping"/>
      </w:r>
      <w:r>
        <w:rPr>
          <w:rFonts w:ascii="宋体" w:hAnsi="宋体" w:eastAsia="宋体" w:cs="宋体"/>
          <w:b w:val="0"/>
        </w:rPr>
        <w:t xml:space="preserve">    展望2026年四季度，我们认为半导体设备材料行业仍有良好的投资机会。一方面，全球晶圆厂和封装厂景气度高，受益于AI算力建设需求持续旺盛，资本投入进入加速区间，带动供应链公司订单和业绩加速释放；另一方面，国产化率快速提升，部分公司完成0到1的突破后，正式开始进入1到10的放量期。</w:t>
      </w:r>
      <w:r>
        <w:rPr>
          <w:rFonts w:ascii="宋体" w:hAnsi="宋体" w:eastAsia="宋体" w:cs="宋体"/>
          <w:b w:val="0"/>
        </w:rPr>
        <w:br w:type="textWrapping"/>
      </w:r>
      <w:r>
        <w:rPr>
          <w:rFonts w:ascii="宋体" w:hAnsi="宋体" w:eastAsia="宋体" w:cs="宋体"/>
          <w:b w:val="0"/>
        </w:rPr>
        <w:t xml:space="preserve">    基于以上分析，本基金持续关注AI算力产业链的投资机会，侧重配置半导体设备材料产业链，重点聚焦国产化率提升、先进制程扩产等相关领域，同时也会积极寻找海外和国内算力建设相关的其他环节，比如GPU、存储、光模块等环节的投资机会。</w:t>
      </w:r>
    </w:p>
    <w:p/>
    <w:p>
      <w:pPr>
        <w:pStyle w:val="3"/>
        <w:jc w:val="left"/>
      </w:pPr>
      <w:r>
        <w:rPr>
          <w:rFonts w:ascii="宋体" w:hAnsi="宋体" w:eastAsia="宋体" w:cs="宋体"/>
        </w:rPr>
        <w:t>4.5 报告期内基金的业绩表现</w:t>
      </w:r>
    </w:p>
    <w:p>
      <w:r>
        <w:rPr>
          <w:rFonts w:ascii="宋体" w:hAnsi="宋体" w:eastAsia="宋体" w:cs="宋体"/>
          <w:b w:val="0"/>
        </w:rPr>
        <w:t xml:space="preserve">    截至报告期末东方阿尔法科技优选混合发起A基金份额净值为1.7898元，本报告期内，该类基金份额净值增长率为-27.18%，同期业绩比较基准收益率为-21.67%；截至报告期末东方阿尔法科技优选混合发起C基金份额净值为1.7805元，本报告期内，该类基金份额净值增长率为-27.26%，同期业绩比较基准收益率为-21.67%。</w:t>
      </w:r>
    </w:p>
    <w:p/>
    <w:p>
      <w:pPr>
        <w:pStyle w:val="3"/>
        <w:jc w:val="left"/>
      </w:pPr>
      <w:r>
        <w:rPr>
          <w:rFonts w:ascii="宋体" w:hAnsi="宋体" w:eastAsia="宋体" w:cs="宋体"/>
        </w:rPr>
        <w:t>4.6 报告期内基金持有人数或基金资产净值预警说明</w:t>
      </w:r>
    </w:p>
    <w:p>
      <w:r>
        <w:rPr>
          <w:rFonts w:ascii="宋体" w:hAnsi="宋体" w:eastAsia="宋体" w:cs="宋体"/>
          <w:b w:val="0"/>
        </w:rPr>
        <w:t xml:space="preserve">    本基金为发起式基金，且截至本报告期末，本基金基金合同生效未满3年，暂不适用《公开募集证券投资基金运作管理办法》第四十一条第一款的规定。</w:t>
      </w:r>
    </w:p>
    <w:p>
      <w:pPr>
        <w:pStyle w:val="2"/>
        <w:jc w:val="center"/>
      </w:pPr>
      <w:r>
        <w:rPr>
          <w:rFonts w:ascii="宋体" w:hAnsi="宋体" w:eastAsia="宋体" w:cs="宋体"/>
        </w:rPr>
        <w:t>§5 投资组合报告</w:t>
      </w:r>
    </w:p>
    <w:p>
      <w:pPr>
        <w:pStyle w:val="3"/>
        <w:jc w:val="left"/>
      </w:pPr>
      <w:r>
        <w:rPr>
          <w:rFonts w:ascii="宋体" w:hAnsi="宋体" w:eastAsia="宋体" w:cs="宋体"/>
        </w:rPr>
        <w:t>5.1 报告期末基金资产组合情况</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8"/>
        <w:gridCol w:w="2856"/>
        <w:gridCol w:w="2856"/>
        <w:gridCol w:w="27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2" w:type="pct"/>
            <w:shd w:val="clear" w:color="auto" w:fill="D9D9D9"/>
            <w:vAlign w:val="center"/>
          </w:tcPr>
          <w:p>
            <w:pPr>
              <w:spacing w:line="240" w:lineRule="auto"/>
              <w:jc w:val="center"/>
            </w:pPr>
            <w:r>
              <w:rPr>
                <w:rFonts w:ascii="宋体" w:hAnsi="宋体" w:eastAsia="宋体" w:cs="宋体"/>
                <w:b w:val="0"/>
              </w:rPr>
              <w:t>序号</w:t>
            </w:r>
          </w:p>
        </w:tc>
        <w:tc>
          <w:tcPr>
            <w:tcW w:w="1538" w:type="pct"/>
            <w:shd w:val="clear" w:color="auto" w:fill="D9D9D9"/>
            <w:vAlign w:val="center"/>
          </w:tcPr>
          <w:p>
            <w:pPr>
              <w:spacing w:line="240" w:lineRule="auto"/>
              <w:jc w:val="center"/>
            </w:pPr>
            <w:r>
              <w:rPr>
                <w:rFonts w:ascii="宋体" w:hAnsi="宋体" w:eastAsia="宋体" w:cs="宋体"/>
                <w:b w:val="0"/>
              </w:rPr>
              <w:t>项目</w:t>
            </w:r>
          </w:p>
        </w:tc>
        <w:tc>
          <w:tcPr>
            <w:tcW w:w="1538" w:type="pct"/>
            <w:shd w:val="clear" w:color="auto" w:fill="D9D9D9"/>
            <w:vAlign w:val="center"/>
          </w:tcPr>
          <w:p>
            <w:pPr>
              <w:spacing w:line="240" w:lineRule="auto"/>
              <w:jc w:val="center"/>
            </w:pPr>
            <w:r>
              <w:rPr>
                <w:rFonts w:ascii="宋体" w:hAnsi="宋体" w:eastAsia="宋体" w:cs="宋体"/>
                <w:b w:val="0"/>
              </w:rPr>
              <w:t>金额(元)</w:t>
            </w:r>
          </w:p>
        </w:tc>
        <w:tc>
          <w:tcPr>
            <w:tcW w:w="1538" w:type="pct"/>
            <w:shd w:val="clear" w:color="auto" w:fill="D9D9D9"/>
            <w:vAlign w:val="center"/>
          </w:tcPr>
          <w:p>
            <w:pPr>
              <w:spacing w:line="240" w:lineRule="auto"/>
              <w:jc w:val="center"/>
            </w:pPr>
            <w:r>
              <w:rPr>
                <w:rFonts w:ascii="宋体" w:hAnsi="宋体" w:eastAsia="宋体" w:cs="宋体"/>
                <w:b w:val="0"/>
              </w:rPr>
              <w:t>占基金总资产的比例（%）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w:t>
            </w:r>
          </w:p>
        </w:tc>
        <w:tc>
          <w:tcPr>
            <w:tcW w:w="0" w:type="dxa"/>
            <w:vAlign w:val="center"/>
          </w:tcPr>
          <w:p>
            <w:pPr>
              <w:spacing w:line="240" w:lineRule="auto"/>
              <w:jc w:val="left"/>
            </w:pPr>
            <w:r>
              <w:rPr>
                <w:rFonts w:ascii="宋体" w:hAnsi="宋体" w:eastAsia="宋体" w:cs="宋体"/>
                <w:b w:val="0"/>
              </w:rPr>
              <w:t>权益投资</w:t>
            </w:r>
          </w:p>
        </w:tc>
        <w:tc>
          <w:tcPr>
            <w:tcW w:w="0" w:type="dxa"/>
            <w:vAlign w:val="center"/>
          </w:tcPr>
          <w:p>
            <w:pPr>
              <w:spacing w:line="240" w:lineRule="auto"/>
              <w:jc w:val="right"/>
            </w:pPr>
            <w:r>
              <w:rPr>
                <w:rFonts w:ascii="宋体" w:hAnsi="宋体" w:eastAsia="宋体" w:cs="宋体"/>
                <w:b w:val="0"/>
              </w:rPr>
              <w:t>1,098,745,685.79</w:t>
            </w:r>
          </w:p>
        </w:tc>
        <w:tc>
          <w:tcPr>
            <w:tcW w:w="0" w:type="dxa"/>
            <w:vAlign w:val="center"/>
          </w:tcPr>
          <w:p>
            <w:pPr>
              <w:spacing w:line="240" w:lineRule="auto"/>
              <w:jc w:val="right"/>
            </w:pPr>
            <w:r>
              <w:rPr>
                <w:rFonts w:ascii="宋体" w:hAnsi="宋体" w:eastAsia="宋体" w:cs="宋体"/>
                <w:b w:val="0"/>
              </w:rPr>
              <w:t>91.81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p>
        </w:tc>
        <w:tc>
          <w:tcPr>
            <w:tcW w:w="0" w:type="dxa"/>
            <w:vAlign w:val="center"/>
          </w:tcPr>
          <w:p>
            <w:pPr>
              <w:spacing w:line="240" w:lineRule="auto"/>
              <w:jc w:val="left"/>
            </w:pPr>
            <w:r>
              <w:rPr>
                <w:rFonts w:ascii="宋体" w:hAnsi="宋体" w:eastAsia="宋体" w:cs="宋体"/>
                <w:b w:val="0"/>
              </w:rPr>
              <w:t>其中：股票</w:t>
            </w:r>
          </w:p>
        </w:tc>
        <w:tc>
          <w:tcPr>
            <w:tcW w:w="0" w:type="dxa"/>
            <w:vAlign w:val="center"/>
          </w:tcPr>
          <w:p>
            <w:pPr>
              <w:spacing w:line="240" w:lineRule="auto"/>
              <w:jc w:val="right"/>
            </w:pPr>
            <w:r>
              <w:rPr>
                <w:rFonts w:ascii="宋体" w:hAnsi="宋体" w:eastAsia="宋体" w:cs="宋体"/>
                <w:b w:val="0"/>
              </w:rPr>
              <w:t>1,098,745,685.79</w:t>
            </w:r>
          </w:p>
        </w:tc>
        <w:tc>
          <w:tcPr>
            <w:tcW w:w="0" w:type="dxa"/>
            <w:vAlign w:val="center"/>
          </w:tcPr>
          <w:p>
            <w:pPr>
              <w:spacing w:line="240" w:lineRule="auto"/>
              <w:jc w:val="right"/>
            </w:pPr>
            <w:r>
              <w:rPr>
                <w:rFonts w:ascii="宋体" w:hAnsi="宋体" w:eastAsia="宋体" w:cs="宋体"/>
                <w:b w:val="0"/>
              </w:rPr>
              <w:t>91.81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2</w:t>
            </w:r>
          </w:p>
        </w:tc>
        <w:tc>
          <w:tcPr>
            <w:tcW w:w="0" w:type="dxa"/>
            <w:vAlign w:val="center"/>
          </w:tcPr>
          <w:p>
            <w:pPr>
              <w:spacing w:line="240" w:lineRule="auto"/>
              <w:jc w:val="left"/>
            </w:pPr>
            <w:r>
              <w:rPr>
                <w:rFonts w:ascii="宋体" w:hAnsi="宋体" w:eastAsia="宋体" w:cs="宋体"/>
                <w:b w:val="0"/>
              </w:rPr>
              <w:t>基金投资</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3</w:t>
            </w:r>
          </w:p>
        </w:tc>
        <w:tc>
          <w:tcPr>
            <w:tcW w:w="0" w:type="dxa"/>
            <w:vAlign w:val="center"/>
          </w:tcPr>
          <w:p>
            <w:pPr>
              <w:spacing w:line="240" w:lineRule="auto"/>
              <w:jc w:val="left"/>
            </w:pPr>
            <w:r>
              <w:rPr>
                <w:rFonts w:ascii="宋体" w:hAnsi="宋体" w:eastAsia="宋体" w:cs="宋体"/>
                <w:b w:val="0"/>
              </w:rPr>
              <w:t>固定收益投资</w:t>
            </w:r>
          </w:p>
        </w:tc>
        <w:tc>
          <w:tcPr>
            <w:tcW w:w="0" w:type="dxa"/>
            <w:vAlign w:val="center"/>
          </w:tcPr>
          <w:p>
            <w:pPr>
              <w:spacing w:line="240" w:lineRule="auto"/>
              <w:jc w:val="right"/>
            </w:pPr>
            <w:r>
              <w:rPr>
                <w:rFonts w:ascii="宋体" w:hAnsi="宋体" w:eastAsia="宋体" w:cs="宋体"/>
                <w:b w:val="0"/>
              </w:rPr>
              <w:t>70,366,835.67</w:t>
            </w:r>
          </w:p>
        </w:tc>
        <w:tc>
          <w:tcPr>
            <w:tcW w:w="0" w:type="dxa"/>
            <w:vAlign w:val="center"/>
          </w:tcPr>
          <w:p>
            <w:pPr>
              <w:spacing w:line="240" w:lineRule="auto"/>
              <w:jc w:val="right"/>
            </w:pPr>
            <w:r>
              <w:rPr>
                <w:rFonts w:ascii="宋体" w:hAnsi="宋体" w:eastAsia="宋体" w:cs="宋体"/>
                <w:b w:val="0"/>
              </w:rPr>
              <w:t>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p>
        </w:tc>
        <w:tc>
          <w:tcPr>
            <w:tcW w:w="0" w:type="dxa"/>
            <w:vAlign w:val="center"/>
          </w:tcPr>
          <w:p>
            <w:pPr>
              <w:spacing w:line="240" w:lineRule="auto"/>
              <w:jc w:val="left"/>
            </w:pPr>
            <w:r>
              <w:rPr>
                <w:rFonts w:ascii="宋体" w:hAnsi="宋体" w:eastAsia="宋体" w:cs="宋体"/>
                <w:b w:val="0"/>
              </w:rPr>
              <w:t>其中：债券</w:t>
            </w:r>
          </w:p>
        </w:tc>
        <w:tc>
          <w:tcPr>
            <w:tcW w:w="0" w:type="dxa"/>
            <w:vAlign w:val="center"/>
          </w:tcPr>
          <w:p>
            <w:pPr>
              <w:spacing w:line="240" w:lineRule="auto"/>
              <w:jc w:val="right"/>
            </w:pPr>
            <w:r>
              <w:rPr>
                <w:rFonts w:ascii="宋体" w:hAnsi="宋体" w:eastAsia="宋体" w:cs="宋体"/>
                <w:b w:val="0"/>
              </w:rPr>
              <w:t>70,366,835.67</w:t>
            </w:r>
          </w:p>
        </w:tc>
        <w:tc>
          <w:tcPr>
            <w:tcW w:w="0" w:type="dxa"/>
            <w:vAlign w:val="center"/>
          </w:tcPr>
          <w:p>
            <w:pPr>
              <w:spacing w:line="240" w:lineRule="auto"/>
              <w:jc w:val="right"/>
            </w:pPr>
            <w:r>
              <w:rPr>
                <w:rFonts w:ascii="宋体" w:hAnsi="宋体" w:eastAsia="宋体" w:cs="宋体"/>
                <w:b w:val="0"/>
              </w:rPr>
              <w:t>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p>
        </w:tc>
        <w:tc>
          <w:tcPr>
            <w:tcW w:w="0" w:type="dxa"/>
            <w:vAlign w:val="center"/>
          </w:tcPr>
          <w:p>
            <w:pPr>
              <w:spacing w:line="240" w:lineRule="auto"/>
              <w:jc w:val="left"/>
            </w:pPr>
            <w:r>
              <w:rPr>
                <w:rFonts w:ascii="宋体" w:hAnsi="宋体" w:eastAsia="宋体" w:cs="宋体"/>
                <w:b w:val="0"/>
              </w:rPr>
              <w:t xml:space="preserve">      资产支持证券</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4</w:t>
            </w:r>
          </w:p>
        </w:tc>
        <w:tc>
          <w:tcPr>
            <w:tcW w:w="0" w:type="dxa"/>
            <w:vAlign w:val="center"/>
          </w:tcPr>
          <w:p>
            <w:pPr>
              <w:spacing w:line="240" w:lineRule="auto"/>
            </w:pPr>
            <w:r>
              <w:rPr>
                <w:rFonts w:ascii="宋体" w:hAnsi="宋体" w:eastAsia="宋体" w:cs="宋体"/>
                <w:b w:val="0"/>
              </w:rPr>
              <w:t>贵金属投资</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5</w:t>
            </w:r>
          </w:p>
        </w:tc>
        <w:tc>
          <w:tcPr>
            <w:tcW w:w="0" w:type="dxa"/>
            <w:vAlign w:val="center"/>
          </w:tcPr>
          <w:p>
            <w:pPr>
              <w:spacing w:line="240" w:lineRule="auto"/>
              <w:jc w:val="left"/>
            </w:pPr>
            <w:r>
              <w:rPr>
                <w:rFonts w:ascii="宋体" w:hAnsi="宋体" w:eastAsia="宋体" w:cs="宋体"/>
                <w:b w:val="0"/>
              </w:rPr>
              <w:t>金融衍生品投资</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6</w:t>
            </w:r>
          </w:p>
        </w:tc>
        <w:tc>
          <w:tcPr>
            <w:tcW w:w="0" w:type="dxa"/>
            <w:vAlign w:val="center"/>
          </w:tcPr>
          <w:p>
            <w:pPr>
              <w:spacing w:line="240" w:lineRule="auto"/>
              <w:jc w:val="left"/>
            </w:pPr>
            <w:r>
              <w:rPr>
                <w:rFonts w:ascii="宋体" w:hAnsi="宋体" w:eastAsia="宋体" w:cs="宋体"/>
                <w:b w:val="0"/>
              </w:rPr>
              <w:t>买入返售金融资产</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p>
        </w:tc>
        <w:tc>
          <w:tcPr>
            <w:tcW w:w="0" w:type="dxa"/>
            <w:vAlign w:val="center"/>
          </w:tcPr>
          <w:p>
            <w:pPr>
              <w:spacing w:line="240" w:lineRule="auto"/>
              <w:jc w:val="left"/>
            </w:pPr>
            <w:r>
              <w:rPr>
                <w:rFonts w:ascii="宋体" w:hAnsi="宋体" w:eastAsia="宋体" w:cs="宋体"/>
                <w:b w:val="0"/>
              </w:rPr>
              <w:t>其中：买断式回购的买入返售金融资产</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7</w:t>
            </w:r>
          </w:p>
        </w:tc>
        <w:tc>
          <w:tcPr>
            <w:tcW w:w="0" w:type="dxa"/>
            <w:vAlign w:val="center"/>
          </w:tcPr>
          <w:p>
            <w:pPr>
              <w:spacing w:line="240" w:lineRule="auto"/>
              <w:jc w:val="left"/>
            </w:pPr>
            <w:r>
              <w:rPr>
                <w:rFonts w:ascii="宋体" w:hAnsi="宋体" w:eastAsia="宋体" w:cs="宋体"/>
                <w:b w:val="0"/>
              </w:rPr>
              <w:t>银行存款和结算备付金合计</w:t>
            </w:r>
          </w:p>
        </w:tc>
        <w:tc>
          <w:tcPr>
            <w:tcW w:w="0" w:type="dxa"/>
            <w:vAlign w:val="center"/>
          </w:tcPr>
          <w:p>
            <w:pPr>
              <w:spacing w:line="240" w:lineRule="auto"/>
              <w:jc w:val="right"/>
            </w:pPr>
            <w:r>
              <w:rPr>
                <w:rFonts w:ascii="宋体" w:hAnsi="宋体" w:eastAsia="宋体" w:cs="宋体"/>
                <w:b w:val="0"/>
              </w:rPr>
              <w:t>10,310,422.65</w:t>
            </w:r>
          </w:p>
        </w:tc>
        <w:tc>
          <w:tcPr>
            <w:tcW w:w="0" w:type="dxa"/>
            <w:vAlign w:val="center"/>
          </w:tcPr>
          <w:p>
            <w:pPr>
              <w:spacing w:line="240" w:lineRule="auto"/>
              <w:jc w:val="right"/>
            </w:pPr>
            <w:r>
              <w:rPr>
                <w:rFonts w:ascii="宋体" w:hAnsi="宋体" w:eastAsia="宋体" w:cs="宋体"/>
                <w:b w:val="0"/>
              </w:rPr>
              <w:t>0.86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8</w:t>
            </w:r>
          </w:p>
        </w:tc>
        <w:tc>
          <w:tcPr>
            <w:tcW w:w="0" w:type="dxa"/>
            <w:vAlign w:val="center"/>
          </w:tcPr>
          <w:p>
            <w:pPr>
              <w:spacing w:line="240" w:lineRule="auto"/>
              <w:jc w:val="left"/>
            </w:pPr>
            <w:r>
              <w:rPr>
                <w:rFonts w:ascii="宋体" w:hAnsi="宋体" w:eastAsia="宋体" w:cs="宋体"/>
                <w:b w:val="0"/>
              </w:rPr>
              <w:t>其他资产</w:t>
            </w:r>
          </w:p>
        </w:tc>
        <w:tc>
          <w:tcPr>
            <w:tcW w:w="0" w:type="dxa"/>
            <w:vAlign w:val="center"/>
          </w:tcPr>
          <w:p>
            <w:pPr>
              <w:spacing w:line="240" w:lineRule="auto"/>
              <w:jc w:val="right"/>
            </w:pPr>
            <w:r>
              <w:rPr>
                <w:rFonts w:ascii="宋体" w:hAnsi="宋体" w:eastAsia="宋体" w:cs="宋体"/>
                <w:b w:val="0"/>
              </w:rPr>
              <w:t>17,356,523.49</w:t>
            </w:r>
          </w:p>
        </w:tc>
        <w:tc>
          <w:tcPr>
            <w:tcW w:w="0" w:type="dxa"/>
            <w:vAlign w:val="center"/>
          </w:tcPr>
          <w:p>
            <w:pPr>
              <w:spacing w:line="240" w:lineRule="auto"/>
              <w:jc w:val="right"/>
            </w:pPr>
            <w:r>
              <w:rPr>
                <w:rFonts w:ascii="宋体" w:hAnsi="宋体" w:eastAsia="宋体" w:cs="宋体"/>
                <w:b w:val="0"/>
              </w:rPr>
              <w:t>1.45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9</w:t>
            </w:r>
          </w:p>
        </w:tc>
        <w:tc>
          <w:tcPr>
            <w:tcW w:w="0" w:type="dxa"/>
            <w:vAlign w:val="center"/>
          </w:tcPr>
          <w:p>
            <w:pPr>
              <w:spacing w:line="240" w:lineRule="auto"/>
              <w:jc w:val="left"/>
            </w:pPr>
            <w:r>
              <w:rPr>
                <w:rFonts w:ascii="宋体" w:hAnsi="宋体" w:eastAsia="宋体" w:cs="宋体"/>
                <w:b w:val="0"/>
              </w:rPr>
              <w:t>合计</w:t>
            </w:r>
          </w:p>
        </w:tc>
        <w:tc>
          <w:tcPr>
            <w:tcW w:w="0" w:type="dxa"/>
            <w:vAlign w:val="center"/>
          </w:tcPr>
          <w:p>
            <w:pPr>
              <w:spacing w:line="240" w:lineRule="auto"/>
              <w:jc w:val="right"/>
            </w:pPr>
            <w:r>
              <w:rPr>
                <w:rFonts w:ascii="宋体" w:hAnsi="宋体" w:eastAsia="宋体" w:cs="宋体"/>
                <w:b w:val="0"/>
              </w:rPr>
              <w:t>1,196,779,467.60</w:t>
            </w:r>
          </w:p>
        </w:tc>
        <w:tc>
          <w:tcPr>
            <w:tcW w:w="0" w:type="dxa"/>
            <w:vAlign w:val="center"/>
          </w:tcPr>
          <w:p>
            <w:pPr>
              <w:spacing w:line="240" w:lineRule="auto"/>
              <w:jc w:val="right"/>
            </w:pPr>
            <w:r>
              <w:rPr>
                <w:rFonts w:ascii="宋体" w:hAnsi="宋体" w:eastAsia="宋体" w:cs="宋体"/>
                <w:b w:val="0"/>
              </w:rPr>
              <w:t>100.00</w:t>
            </w:r>
          </w:p>
        </w:tc>
      </w:tr>
    </w:tbl>
    <w:p/>
    <w:p>
      <w:pPr>
        <w:pStyle w:val="3"/>
        <w:jc w:val="left"/>
      </w:pPr>
      <w:r>
        <w:rPr>
          <w:rFonts w:ascii="宋体" w:hAnsi="宋体" w:eastAsia="宋体" w:cs="宋体"/>
        </w:rPr>
        <w:t>5.2 报告期末按行业分类的股票投资组合</w:t>
      </w:r>
    </w:p>
    <w:p>
      <w:pPr>
        <w:pStyle w:val="58"/>
      </w:pPr>
      <w:r>
        <w:rPr>
          <w:rStyle w:val="30"/>
          <w:rFonts w:ascii="宋体" w:hAnsi="宋体" w:eastAsia="宋体" w:cs="宋体"/>
          <w:b/>
        </w:rPr>
        <w:t>5.2.1 报告期末按行业分类的境内股票投资组合</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25"/>
        <w:gridCol w:w="3082"/>
        <w:gridCol w:w="1896"/>
        <w:gridCol w:w="30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5" w:type="pct"/>
            <w:shd w:val="clear" w:color="auto" w:fill="D9D9D9"/>
            <w:vAlign w:val="center"/>
          </w:tcPr>
          <w:p>
            <w:pPr>
              <w:spacing w:line="240" w:lineRule="auto"/>
              <w:jc w:val="center"/>
            </w:pPr>
            <w:r>
              <w:rPr>
                <w:rFonts w:ascii="宋体" w:hAnsi="宋体" w:eastAsia="宋体" w:cs="宋体"/>
                <w:b w:val="0"/>
              </w:rPr>
              <w:t>代码</w:t>
            </w:r>
          </w:p>
        </w:tc>
        <w:tc>
          <w:tcPr>
            <w:tcW w:w="1538" w:type="pct"/>
            <w:shd w:val="clear" w:color="auto" w:fill="D9D9D9"/>
            <w:vAlign w:val="center"/>
          </w:tcPr>
          <w:p>
            <w:pPr>
              <w:spacing w:line="240" w:lineRule="auto"/>
              <w:jc w:val="center"/>
            </w:pPr>
            <w:r>
              <w:rPr>
                <w:rFonts w:ascii="宋体" w:hAnsi="宋体" w:eastAsia="宋体" w:cs="宋体"/>
                <w:b w:val="0"/>
              </w:rPr>
              <w:t>行业类别</w:t>
            </w:r>
          </w:p>
        </w:tc>
        <w:tc>
          <w:tcPr>
            <w:tcW w:w="923" w:type="pct"/>
            <w:shd w:val="clear" w:color="auto" w:fill="D9D9D9"/>
            <w:vAlign w:val="center"/>
          </w:tcPr>
          <w:p>
            <w:pPr>
              <w:spacing w:line="240" w:lineRule="auto"/>
              <w:jc w:val="center"/>
            </w:pPr>
            <w:r>
              <w:rPr>
                <w:rFonts w:ascii="宋体" w:hAnsi="宋体" w:eastAsia="宋体" w:cs="宋体"/>
                <w:b w:val="0"/>
              </w:rPr>
              <w:t>公允价值(元)</w:t>
            </w:r>
          </w:p>
        </w:tc>
        <w:tc>
          <w:tcPr>
            <w:tcW w:w="1538" w:type="pct"/>
            <w:shd w:val="clear" w:color="auto" w:fill="D9D9D9"/>
            <w:vAlign w:val="center"/>
          </w:tcPr>
          <w:p>
            <w:pPr>
              <w:spacing w:line="240" w:lineRule="auto"/>
              <w:jc w:val="center"/>
            </w:pPr>
            <w:r>
              <w:rPr>
                <w:rFonts w:ascii="宋体" w:hAnsi="宋体" w:eastAsia="宋体" w:cs="宋体"/>
                <w:b w:val="0"/>
              </w:rPr>
              <w:t>占基金资产净值比例（%）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A</w:t>
            </w:r>
          </w:p>
        </w:tc>
        <w:tc>
          <w:tcPr>
            <w:tcW w:w="0" w:type="dxa"/>
            <w:vAlign w:val="center"/>
          </w:tcPr>
          <w:p>
            <w:pPr>
              <w:spacing w:line="240" w:lineRule="auto"/>
              <w:jc w:val="left"/>
            </w:pPr>
            <w:r>
              <w:rPr>
                <w:rFonts w:ascii="宋体" w:hAnsi="宋体" w:eastAsia="宋体" w:cs="宋体"/>
                <w:b w:val="0"/>
              </w:rPr>
              <w:t>农、林、牧、渔业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B</w:t>
            </w:r>
          </w:p>
        </w:tc>
        <w:tc>
          <w:tcPr>
            <w:tcW w:w="0" w:type="dxa"/>
            <w:vAlign w:val="center"/>
          </w:tcPr>
          <w:p>
            <w:pPr>
              <w:spacing w:line="240" w:lineRule="auto"/>
              <w:jc w:val="left"/>
            </w:pPr>
            <w:r>
              <w:rPr>
                <w:rFonts w:ascii="宋体" w:hAnsi="宋体" w:eastAsia="宋体" w:cs="宋体"/>
                <w:b w:val="0"/>
              </w:rPr>
              <w:t>采矿业</w:t>
            </w:r>
          </w:p>
        </w:tc>
        <w:tc>
          <w:tcPr>
            <w:tcW w:w="0" w:type="dxa"/>
            <w:vAlign w:val="center"/>
          </w:tcPr>
          <w:p>
            <w:pPr>
              <w:spacing w:line="240" w:lineRule="auto"/>
              <w:jc w:val="right"/>
            </w:pPr>
            <w:r>
              <w:rPr>
                <w:rFonts w:ascii="宋体" w:hAnsi="宋体" w:eastAsia="宋体" w:cs="宋体"/>
                <w:b w:val="0"/>
              </w:rPr>
              <w:t>9,543.71</w:t>
            </w:r>
          </w:p>
        </w:tc>
        <w:tc>
          <w:tcPr>
            <w:tcW w:w="0" w:type="dxa"/>
            <w:vAlign w:val="center"/>
          </w:tcPr>
          <w:p>
            <w:pPr>
              <w:spacing w:line="240" w:lineRule="auto"/>
              <w:jc w:val="right"/>
            </w:pPr>
            <w:r>
              <w:rPr>
                <w:rFonts w:ascii="宋体" w:hAnsi="宋体" w:eastAsia="宋体" w:cs="宋体"/>
                <w:b w:val="0"/>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C</w:t>
            </w:r>
          </w:p>
        </w:tc>
        <w:tc>
          <w:tcPr>
            <w:tcW w:w="0" w:type="dxa"/>
            <w:vAlign w:val="center"/>
          </w:tcPr>
          <w:p>
            <w:pPr>
              <w:spacing w:line="240" w:lineRule="auto"/>
              <w:jc w:val="left"/>
            </w:pPr>
            <w:r>
              <w:rPr>
                <w:rFonts w:ascii="宋体" w:hAnsi="宋体" w:eastAsia="宋体" w:cs="宋体"/>
                <w:b w:val="0"/>
              </w:rPr>
              <w:t>制造业</w:t>
            </w:r>
          </w:p>
        </w:tc>
        <w:tc>
          <w:tcPr>
            <w:tcW w:w="0" w:type="dxa"/>
            <w:vAlign w:val="center"/>
          </w:tcPr>
          <w:p>
            <w:pPr>
              <w:spacing w:line="240" w:lineRule="auto"/>
              <w:jc w:val="right"/>
            </w:pPr>
            <w:r>
              <w:rPr>
                <w:rFonts w:ascii="宋体" w:hAnsi="宋体" w:eastAsia="宋体" w:cs="宋体"/>
                <w:b w:val="0"/>
              </w:rPr>
              <w:t>1,097,909,283.20</w:t>
            </w:r>
          </w:p>
        </w:tc>
        <w:tc>
          <w:tcPr>
            <w:tcW w:w="0" w:type="dxa"/>
            <w:vAlign w:val="center"/>
          </w:tcPr>
          <w:p>
            <w:pPr>
              <w:spacing w:line="240" w:lineRule="auto"/>
              <w:jc w:val="right"/>
            </w:pPr>
            <w:r>
              <w:rPr>
                <w:rFonts w:ascii="宋体" w:hAnsi="宋体" w:eastAsia="宋体" w:cs="宋体"/>
                <w:b w:val="0"/>
              </w:rPr>
              <w:t>92.66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D</w:t>
            </w:r>
          </w:p>
        </w:tc>
        <w:tc>
          <w:tcPr>
            <w:tcW w:w="0" w:type="dxa"/>
            <w:vAlign w:val="center"/>
          </w:tcPr>
          <w:p>
            <w:pPr>
              <w:spacing w:line="240" w:lineRule="auto"/>
              <w:jc w:val="left"/>
            </w:pPr>
            <w:r>
              <w:rPr>
                <w:rFonts w:ascii="宋体" w:hAnsi="宋体" w:eastAsia="宋体" w:cs="宋体"/>
                <w:b w:val="0"/>
              </w:rPr>
              <w:t>电力、热力、燃气及水生产和供应业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E</w:t>
            </w:r>
          </w:p>
        </w:tc>
        <w:tc>
          <w:tcPr>
            <w:tcW w:w="0" w:type="dxa"/>
            <w:vAlign w:val="center"/>
          </w:tcPr>
          <w:p>
            <w:pPr>
              <w:spacing w:line="240" w:lineRule="auto"/>
              <w:jc w:val="left"/>
            </w:pPr>
            <w:r>
              <w:rPr>
                <w:rFonts w:ascii="宋体" w:hAnsi="宋体" w:eastAsia="宋体" w:cs="宋体"/>
                <w:b w:val="0"/>
              </w:rPr>
              <w:t>建筑业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F</w:t>
            </w:r>
          </w:p>
        </w:tc>
        <w:tc>
          <w:tcPr>
            <w:tcW w:w="0" w:type="dxa"/>
            <w:vAlign w:val="center"/>
          </w:tcPr>
          <w:p>
            <w:pPr>
              <w:spacing w:line="240" w:lineRule="auto"/>
              <w:jc w:val="left"/>
            </w:pPr>
            <w:r>
              <w:rPr>
                <w:rFonts w:ascii="宋体" w:hAnsi="宋体" w:eastAsia="宋体" w:cs="宋体"/>
                <w:b w:val="0"/>
              </w:rPr>
              <w:t>批发和零售业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G</w:t>
            </w:r>
          </w:p>
        </w:tc>
        <w:tc>
          <w:tcPr>
            <w:tcW w:w="0" w:type="dxa"/>
            <w:vAlign w:val="center"/>
          </w:tcPr>
          <w:p>
            <w:pPr>
              <w:spacing w:line="240" w:lineRule="auto"/>
              <w:jc w:val="left"/>
            </w:pPr>
            <w:r>
              <w:rPr>
                <w:rFonts w:ascii="宋体" w:hAnsi="宋体" w:eastAsia="宋体" w:cs="宋体"/>
                <w:b w:val="0"/>
              </w:rPr>
              <w:t>交通运输、仓储和邮政业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H</w:t>
            </w:r>
          </w:p>
        </w:tc>
        <w:tc>
          <w:tcPr>
            <w:tcW w:w="0" w:type="dxa"/>
            <w:vAlign w:val="center"/>
          </w:tcPr>
          <w:p>
            <w:pPr>
              <w:spacing w:line="240" w:lineRule="auto"/>
              <w:jc w:val="left"/>
            </w:pPr>
            <w:r>
              <w:rPr>
                <w:rFonts w:ascii="宋体" w:hAnsi="宋体" w:eastAsia="宋体" w:cs="宋体"/>
                <w:b w:val="0"/>
              </w:rPr>
              <w:t>住宿和餐饮业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I</w:t>
            </w:r>
          </w:p>
        </w:tc>
        <w:tc>
          <w:tcPr>
            <w:tcW w:w="0" w:type="dxa"/>
            <w:vAlign w:val="center"/>
          </w:tcPr>
          <w:p>
            <w:pPr>
              <w:spacing w:line="240" w:lineRule="auto"/>
              <w:jc w:val="left"/>
            </w:pPr>
            <w:r>
              <w:rPr>
                <w:rFonts w:ascii="宋体" w:hAnsi="宋体" w:eastAsia="宋体" w:cs="宋体"/>
                <w:b w:val="0"/>
              </w:rPr>
              <w:t>信息传输、软件和信息技术服务业</w:t>
            </w:r>
          </w:p>
        </w:tc>
        <w:tc>
          <w:tcPr>
            <w:tcW w:w="0" w:type="dxa"/>
            <w:vAlign w:val="center"/>
          </w:tcPr>
          <w:p>
            <w:pPr>
              <w:spacing w:line="240" w:lineRule="auto"/>
              <w:jc w:val="right"/>
            </w:pPr>
            <w:r>
              <w:rPr>
                <w:rFonts w:ascii="宋体" w:hAnsi="宋体" w:eastAsia="宋体" w:cs="宋体"/>
                <w:b w:val="0"/>
              </w:rPr>
              <w:t>826,858.88</w:t>
            </w:r>
          </w:p>
        </w:tc>
        <w:tc>
          <w:tcPr>
            <w:tcW w:w="0" w:type="dxa"/>
            <w:vAlign w:val="center"/>
          </w:tcPr>
          <w:p>
            <w:pPr>
              <w:spacing w:line="240" w:lineRule="auto"/>
              <w:jc w:val="right"/>
            </w:pPr>
            <w:r>
              <w:rPr>
                <w:rFonts w:ascii="宋体" w:hAnsi="宋体" w:eastAsia="宋体" w:cs="宋体"/>
                <w:b w:val="0"/>
              </w:rPr>
              <w:t>0.07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J</w:t>
            </w:r>
          </w:p>
        </w:tc>
        <w:tc>
          <w:tcPr>
            <w:tcW w:w="0" w:type="dxa"/>
            <w:vAlign w:val="center"/>
          </w:tcPr>
          <w:p>
            <w:pPr>
              <w:spacing w:line="240" w:lineRule="auto"/>
              <w:jc w:val="left"/>
            </w:pPr>
            <w:r>
              <w:rPr>
                <w:rFonts w:ascii="宋体" w:hAnsi="宋体" w:eastAsia="宋体" w:cs="宋体"/>
                <w:b w:val="0"/>
              </w:rPr>
              <w:t>金融业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K</w:t>
            </w:r>
          </w:p>
        </w:tc>
        <w:tc>
          <w:tcPr>
            <w:tcW w:w="0" w:type="dxa"/>
            <w:vAlign w:val="center"/>
          </w:tcPr>
          <w:p>
            <w:pPr>
              <w:spacing w:line="240" w:lineRule="auto"/>
              <w:jc w:val="left"/>
            </w:pPr>
            <w:r>
              <w:rPr>
                <w:rFonts w:ascii="宋体" w:hAnsi="宋体" w:eastAsia="宋体" w:cs="宋体"/>
                <w:b w:val="0"/>
              </w:rPr>
              <w:t>房地产业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L</w:t>
            </w:r>
          </w:p>
        </w:tc>
        <w:tc>
          <w:tcPr>
            <w:tcW w:w="0" w:type="dxa"/>
            <w:vAlign w:val="center"/>
          </w:tcPr>
          <w:p>
            <w:pPr>
              <w:spacing w:line="240" w:lineRule="auto"/>
              <w:jc w:val="left"/>
            </w:pPr>
            <w:r>
              <w:rPr>
                <w:rFonts w:ascii="宋体" w:hAnsi="宋体" w:eastAsia="宋体" w:cs="宋体"/>
                <w:b w:val="0"/>
              </w:rPr>
              <w:t>租赁和商务服务业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M</w:t>
            </w:r>
          </w:p>
        </w:tc>
        <w:tc>
          <w:tcPr>
            <w:tcW w:w="0" w:type="dxa"/>
            <w:vAlign w:val="center"/>
          </w:tcPr>
          <w:p>
            <w:pPr>
              <w:spacing w:line="240" w:lineRule="auto"/>
              <w:jc w:val="left"/>
            </w:pPr>
            <w:r>
              <w:rPr>
                <w:rFonts w:ascii="宋体" w:hAnsi="宋体" w:eastAsia="宋体" w:cs="宋体"/>
                <w:b w:val="0"/>
              </w:rPr>
              <w:t>科学研究和技术服务业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N</w:t>
            </w:r>
          </w:p>
        </w:tc>
        <w:tc>
          <w:tcPr>
            <w:tcW w:w="0" w:type="dxa"/>
            <w:vAlign w:val="center"/>
          </w:tcPr>
          <w:p>
            <w:pPr>
              <w:spacing w:line="240" w:lineRule="auto"/>
              <w:jc w:val="left"/>
            </w:pPr>
            <w:r>
              <w:rPr>
                <w:rFonts w:ascii="宋体" w:hAnsi="宋体" w:eastAsia="宋体" w:cs="宋体"/>
                <w:b w:val="0"/>
              </w:rPr>
              <w:t>水利、环境和公共设施管理业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O</w:t>
            </w:r>
          </w:p>
        </w:tc>
        <w:tc>
          <w:tcPr>
            <w:tcW w:w="0" w:type="dxa"/>
            <w:vAlign w:val="center"/>
          </w:tcPr>
          <w:p>
            <w:pPr>
              <w:spacing w:line="240" w:lineRule="auto"/>
              <w:jc w:val="left"/>
            </w:pPr>
            <w:r>
              <w:rPr>
                <w:rFonts w:ascii="宋体" w:hAnsi="宋体" w:eastAsia="宋体" w:cs="宋体"/>
                <w:b w:val="0"/>
              </w:rPr>
              <w:t>居民服务、修理和其他服务业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P</w:t>
            </w:r>
          </w:p>
        </w:tc>
        <w:tc>
          <w:tcPr>
            <w:tcW w:w="0" w:type="dxa"/>
            <w:vAlign w:val="center"/>
          </w:tcPr>
          <w:p>
            <w:pPr>
              <w:spacing w:line="240" w:lineRule="auto"/>
              <w:jc w:val="left"/>
            </w:pPr>
            <w:r>
              <w:rPr>
                <w:rFonts w:ascii="宋体" w:hAnsi="宋体" w:eastAsia="宋体" w:cs="宋体"/>
                <w:b w:val="0"/>
              </w:rPr>
              <w:t>教育</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Q</w:t>
            </w:r>
          </w:p>
        </w:tc>
        <w:tc>
          <w:tcPr>
            <w:tcW w:w="0" w:type="dxa"/>
            <w:vAlign w:val="center"/>
          </w:tcPr>
          <w:p>
            <w:pPr>
              <w:spacing w:line="240" w:lineRule="auto"/>
              <w:jc w:val="left"/>
            </w:pPr>
            <w:r>
              <w:rPr>
                <w:rFonts w:ascii="宋体" w:hAnsi="宋体" w:eastAsia="宋体" w:cs="宋体"/>
                <w:b w:val="0"/>
              </w:rPr>
              <w:t>卫生和社会工作</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R</w:t>
            </w:r>
          </w:p>
        </w:tc>
        <w:tc>
          <w:tcPr>
            <w:tcW w:w="0" w:type="dxa"/>
            <w:vAlign w:val="center"/>
          </w:tcPr>
          <w:p>
            <w:pPr>
              <w:spacing w:line="240" w:lineRule="auto"/>
              <w:jc w:val="left"/>
            </w:pPr>
            <w:r>
              <w:rPr>
                <w:rFonts w:ascii="宋体" w:hAnsi="宋体" w:eastAsia="宋体" w:cs="宋体"/>
                <w:b w:val="0"/>
              </w:rPr>
              <w:t>文化、体育和娱乐业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S</w:t>
            </w:r>
          </w:p>
        </w:tc>
        <w:tc>
          <w:tcPr>
            <w:tcW w:w="0" w:type="dxa"/>
            <w:vAlign w:val="center"/>
          </w:tcPr>
          <w:p>
            <w:pPr>
              <w:spacing w:line="240" w:lineRule="auto"/>
              <w:jc w:val="left"/>
            </w:pPr>
            <w:r>
              <w:rPr>
                <w:rFonts w:ascii="宋体" w:hAnsi="宋体" w:eastAsia="宋体" w:cs="宋体"/>
                <w:b w:val="0"/>
              </w:rPr>
              <w:t>综合</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p>
        </w:tc>
        <w:tc>
          <w:tcPr>
            <w:tcW w:w="0" w:type="dxa"/>
            <w:vAlign w:val="center"/>
          </w:tcPr>
          <w:p>
            <w:pPr>
              <w:spacing w:line="240" w:lineRule="auto"/>
              <w:jc w:val="left"/>
            </w:pPr>
            <w:r>
              <w:rPr>
                <w:rFonts w:ascii="宋体" w:hAnsi="宋体" w:eastAsia="宋体" w:cs="宋体"/>
                <w:b w:val="0"/>
              </w:rPr>
              <w:t>合计</w:t>
            </w:r>
          </w:p>
        </w:tc>
        <w:tc>
          <w:tcPr>
            <w:tcW w:w="0" w:type="dxa"/>
            <w:vAlign w:val="center"/>
          </w:tcPr>
          <w:p>
            <w:pPr>
              <w:spacing w:line="240" w:lineRule="auto"/>
              <w:jc w:val="right"/>
            </w:pPr>
            <w:r>
              <w:rPr>
                <w:rFonts w:ascii="宋体" w:hAnsi="宋体" w:eastAsia="宋体" w:cs="宋体"/>
                <w:b w:val="0"/>
              </w:rPr>
              <w:t>1,098,745,685.79</w:t>
            </w:r>
          </w:p>
        </w:tc>
        <w:tc>
          <w:tcPr>
            <w:tcW w:w="0" w:type="dxa"/>
            <w:vAlign w:val="center"/>
          </w:tcPr>
          <w:p>
            <w:pPr>
              <w:spacing w:line="240" w:lineRule="auto"/>
              <w:jc w:val="right"/>
            </w:pPr>
            <w:r>
              <w:rPr>
                <w:rFonts w:ascii="宋体" w:hAnsi="宋体" w:eastAsia="宋体" w:cs="宋体"/>
                <w:b w:val="0"/>
              </w:rPr>
              <w:t>92.73</w:t>
            </w:r>
          </w:p>
        </w:tc>
      </w:tr>
    </w:tbl>
    <w:p/>
    <w:p>
      <w:pPr>
        <w:pStyle w:val="58"/>
      </w:pPr>
      <w:r>
        <w:rPr>
          <w:rStyle w:val="30"/>
          <w:rFonts w:ascii="宋体" w:hAnsi="宋体" w:eastAsia="宋体" w:cs="宋体"/>
          <w:b/>
        </w:rPr>
        <w:t>5.2.2 报告期末按行业分类的港股通投资股票投资组合</w:t>
      </w:r>
    </w:p>
    <w:p>
      <w:r>
        <w:rPr>
          <w:rFonts w:ascii="宋体" w:hAnsi="宋体" w:eastAsia="宋体" w:cs="宋体"/>
          <w:b w:val="0"/>
        </w:rPr>
        <w:t xml:space="preserve">    本基金本报告期末未持有港股通投资股票投资组合。</w:t>
      </w:r>
    </w:p>
    <w:p/>
    <w:p>
      <w:pPr>
        <w:pStyle w:val="3"/>
        <w:jc w:val="left"/>
      </w:pPr>
      <w:r>
        <w:rPr>
          <w:rFonts w:ascii="宋体" w:hAnsi="宋体" w:eastAsia="宋体" w:cs="宋体"/>
        </w:rPr>
        <w:t>5.3 报告期末按公允价值占基金资产净值比例大小排序的前十名股票投资明细</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7"/>
        <w:gridCol w:w="1547"/>
        <w:gridCol w:w="1548"/>
        <w:gridCol w:w="1238"/>
        <w:gridCol w:w="1858"/>
        <w:gridCol w:w="18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5" w:type="pct"/>
            <w:shd w:val="clear" w:color="auto" w:fill="D9D9D9"/>
            <w:vAlign w:val="center"/>
          </w:tcPr>
          <w:p>
            <w:pPr>
              <w:spacing w:line="240" w:lineRule="auto"/>
              <w:jc w:val="center"/>
            </w:pPr>
            <w:r>
              <w:rPr>
                <w:rFonts w:ascii="宋体" w:hAnsi="宋体" w:eastAsia="宋体" w:cs="宋体"/>
                <w:b w:val="0"/>
              </w:rPr>
              <w:t>序号</w:t>
            </w:r>
          </w:p>
        </w:tc>
        <w:tc>
          <w:tcPr>
            <w:tcW w:w="769" w:type="pct"/>
            <w:shd w:val="clear" w:color="auto" w:fill="D9D9D9"/>
            <w:vAlign w:val="center"/>
          </w:tcPr>
          <w:p>
            <w:pPr>
              <w:spacing w:line="240" w:lineRule="auto"/>
              <w:jc w:val="center"/>
            </w:pPr>
            <w:r>
              <w:rPr>
                <w:rFonts w:ascii="宋体" w:hAnsi="宋体" w:eastAsia="宋体" w:cs="宋体"/>
                <w:b w:val="0"/>
              </w:rPr>
              <w:t>股票代码</w:t>
            </w:r>
          </w:p>
        </w:tc>
        <w:tc>
          <w:tcPr>
            <w:tcW w:w="769" w:type="pct"/>
            <w:shd w:val="clear" w:color="auto" w:fill="D9D9D9"/>
            <w:vAlign w:val="center"/>
          </w:tcPr>
          <w:p>
            <w:pPr>
              <w:spacing w:line="240" w:lineRule="auto"/>
              <w:jc w:val="center"/>
            </w:pPr>
            <w:r>
              <w:rPr>
                <w:rFonts w:ascii="宋体" w:hAnsi="宋体" w:eastAsia="宋体" w:cs="宋体"/>
                <w:b w:val="0"/>
              </w:rPr>
              <w:t>股票名称</w:t>
            </w:r>
          </w:p>
        </w:tc>
        <w:tc>
          <w:tcPr>
            <w:tcW w:w="615" w:type="pct"/>
            <w:shd w:val="clear" w:color="auto" w:fill="D9D9D9"/>
            <w:vAlign w:val="center"/>
          </w:tcPr>
          <w:p>
            <w:pPr>
              <w:spacing w:line="240" w:lineRule="auto"/>
              <w:jc w:val="center"/>
            </w:pPr>
            <w:r>
              <w:rPr>
                <w:rFonts w:ascii="宋体" w:hAnsi="宋体" w:eastAsia="宋体" w:cs="宋体"/>
                <w:b w:val="0"/>
              </w:rPr>
              <w:t>数量(股)</w:t>
            </w:r>
          </w:p>
        </w:tc>
        <w:tc>
          <w:tcPr>
            <w:tcW w:w="923" w:type="pct"/>
            <w:shd w:val="clear" w:color="auto" w:fill="D9D9D9"/>
            <w:vAlign w:val="center"/>
          </w:tcPr>
          <w:p>
            <w:pPr>
              <w:spacing w:line="240" w:lineRule="auto"/>
              <w:jc w:val="center"/>
            </w:pPr>
            <w:r>
              <w:rPr>
                <w:rFonts w:ascii="宋体" w:hAnsi="宋体" w:eastAsia="宋体" w:cs="宋体"/>
                <w:b w:val="0"/>
              </w:rPr>
              <w:t>公允价值(元)</w:t>
            </w:r>
          </w:p>
        </w:tc>
        <w:tc>
          <w:tcPr>
            <w:tcW w:w="923" w:type="pct"/>
            <w:shd w:val="clear" w:color="auto" w:fill="D9D9D9"/>
            <w:vAlign w:val="center"/>
          </w:tcPr>
          <w:p>
            <w:pPr>
              <w:spacing w:line="240" w:lineRule="auto"/>
              <w:jc w:val="center"/>
            </w:pPr>
            <w:r>
              <w:rPr>
                <w:rFonts w:ascii="宋体" w:hAnsi="宋体" w:eastAsia="宋体" w:cs="宋体"/>
                <w:b w:val="0"/>
              </w:rPr>
              <w:t>占基金资产净值比例(%)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w:t>
            </w:r>
          </w:p>
        </w:tc>
        <w:tc>
          <w:tcPr>
            <w:tcW w:w="0" w:type="dxa"/>
            <w:vAlign w:val="center"/>
          </w:tcPr>
          <w:p>
            <w:pPr>
              <w:spacing w:line="240" w:lineRule="auto"/>
              <w:jc w:val="left"/>
            </w:pPr>
            <w:r>
              <w:rPr>
                <w:rFonts w:ascii="宋体" w:hAnsi="宋体" w:eastAsia="宋体" w:cs="宋体"/>
                <w:b w:val="0"/>
              </w:rPr>
              <w:t>688361</w:t>
            </w:r>
          </w:p>
        </w:tc>
        <w:tc>
          <w:tcPr>
            <w:tcW w:w="0" w:type="dxa"/>
            <w:vAlign w:val="center"/>
          </w:tcPr>
          <w:p>
            <w:pPr>
              <w:spacing w:line="240" w:lineRule="auto"/>
              <w:jc w:val="left"/>
            </w:pPr>
            <w:r>
              <w:rPr>
                <w:rFonts w:ascii="宋体" w:hAnsi="宋体" w:eastAsia="宋体" w:cs="宋体"/>
                <w:b w:val="0"/>
              </w:rPr>
              <w:t>中科飞测</w:t>
            </w:r>
          </w:p>
        </w:tc>
        <w:tc>
          <w:tcPr>
            <w:tcW w:w="0" w:type="dxa"/>
            <w:vAlign w:val="center"/>
          </w:tcPr>
          <w:p>
            <w:pPr>
              <w:spacing w:line="240" w:lineRule="auto"/>
              <w:jc w:val="right"/>
            </w:pPr>
            <w:r>
              <w:rPr>
                <w:rFonts w:ascii="宋体" w:hAnsi="宋体" w:eastAsia="宋体" w:cs="宋体"/>
                <w:b w:val="0"/>
              </w:rPr>
              <w:t>291,097</w:t>
            </w:r>
          </w:p>
        </w:tc>
        <w:tc>
          <w:tcPr>
            <w:tcW w:w="0" w:type="dxa"/>
            <w:vAlign w:val="center"/>
          </w:tcPr>
          <w:p>
            <w:pPr>
              <w:spacing w:line="240" w:lineRule="auto"/>
              <w:jc w:val="right"/>
            </w:pPr>
            <w:r>
              <w:rPr>
                <w:rFonts w:ascii="宋体" w:hAnsi="宋体" w:eastAsia="宋体" w:cs="宋体"/>
                <w:b w:val="0"/>
              </w:rPr>
              <w:t>101,619,051.73</w:t>
            </w:r>
          </w:p>
        </w:tc>
        <w:tc>
          <w:tcPr>
            <w:tcW w:w="0" w:type="dxa"/>
            <w:vAlign w:val="center"/>
          </w:tcPr>
          <w:p>
            <w:pPr>
              <w:spacing w:line="240" w:lineRule="auto"/>
              <w:jc w:val="right"/>
            </w:pPr>
            <w:r>
              <w:rPr>
                <w:rFonts w:ascii="宋体" w:hAnsi="宋体" w:eastAsia="宋体" w:cs="宋体"/>
                <w:b w:val="0"/>
              </w:rPr>
              <w:t>8.58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2</w:t>
            </w:r>
          </w:p>
        </w:tc>
        <w:tc>
          <w:tcPr>
            <w:tcW w:w="0" w:type="dxa"/>
            <w:vAlign w:val="center"/>
          </w:tcPr>
          <w:p>
            <w:pPr>
              <w:spacing w:line="240" w:lineRule="auto"/>
              <w:jc w:val="left"/>
            </w:pPr>
            <w:r>
              <w:rPr>
                <w:rFonts w:ascii="宋体" w:hAnsi="宋体" w:eastAsia="宋体" w:cs="宋体"/>
                <w:b w:val="0"/>
              </w:rPr>
              <w:t>688037</w:t>
            </w:r>
          </w:p>
        </w:tc>
        <w:tc>
          <w:tcPr>
            <w:tcW w:w="0" w:type="dxa"/>
            <w:vAlign w:val="center"/>
          </w:tcPr>
          <w:p>
            <w:pPr>
              <w:spacing w:line="240" w:lineRule="auto"/>
              <w:jc w:val="left"/>
            </w:pPr>
            <w:r>
              <w:rPr>
                <w:rFonts w:ascii="宋体" w:hAnsi="宋体" w:eastAsia="宋体" w:cs="宋体"/>
                <w:b w:val="0"/>
              </w:rPr>
              <w:t>芯源微</w:t>
            </w:r>
          </w:p>
        </w:tc>
        <w:tc>
          <w:tcPr>
            <w:tcW w:w="0" w:type="dxa"/>
            <w:vAlign w:val="center"/>
          </w:tcPr>
          <w:p>
            <w:pPr>
              <w:spacing w:line="240" w:lineRule="auto"/>
              <w:jc w:val="right"/>
            </w:pPr>
            <w:r>
              <w:rPr>
                <w:rFonts w:ascii="宋体" w:hAnsi="宋体" w:eastAsia="宋体" w:cs="宋体"/>
                <w:b w:val="0"/>
              </w:rPr>
              <w:t>304,656</w:t>
            </w:r>
          </w:p>
        </w:tc>
        <w:tc>
          <w:tcPr>
            <w:tcW w:w="0" w:type="dxa"/>
            <w:vAlign w:val="center"/>
          </w:tcPr>
          <w:p>
            <w:pPr>
              <w:spacing w:line="240" w:lineRule="auto"/>
              <w:jc w:val="right"/>
            </w:pPr>
            <w:r>
              <w:rPr>
                <w:rFonts w:ascii="宋体" w:hAnsi="宋体" w:eastAsia="宋体" w:cs="宋体"/>
                <w:b w:val="0"/>
              </w:rPr>
              <w:t>99,704,769.12</w:t>
            </w:r>
          </w:p>
        </w:tc>
        <w:tc>
          <w:tcPr>
            <w:tcW w:w="0" w:type="dxa"/>
            <w:vAlign w:val="center"/>
          </w:tcPr>
          <w:p>
            <w:pPr>
              <w:spacing w:line="240" w:lineRule="auto"/>
              <w:jc w:val="right"/>
            </w:pPr>
            <w:r>
              <w:rPr>
                <w:rFonts w:ascii="宋体" w:hAnsi="宋体" w:eastAsia="宋体" w:cs="宋体"/>
                <w:b w:val="0"/>
              </w:rPr>
              <w:t>8.41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3</w:t>
            </w:r>
          </w:p>
        </w:tc>
        <w:tc>
          <w:tcPr>
            <w:tcW w:w="0" w:type="dxa"/>
            <w:vAlign w:val="center"/>
          </w:tcPr>
          <w:p>
            <w:pPr>
              <w:spacing w:line="240" w:lineRule="auto"/>
              <w:jc w:val="left"/>
            </w:pPr>
            <w:r>
              <w:rPr>
                <w:rFonts w:ascii="宋体" w:hAnsi="宋体" w:eastAsia="宋体" w:cs="宋体"/>
                <w:b w:val="0"/>
              </w:rPr>
              <w:t>300567</w:t>
            </w:r>
          </w:p>
        </w:tc>
        <w:tc>
          <w:tcPr>
            <w:tcW w:w="0" w:type="dxa"/>
            <w:vAlign w:val="center"/>
          </w:tcPr>
          <w:p>
            <w:pPr>
              <w:spacing w:line="240" w:lineRule="auto"/>
              <w:jc w:val="left"/>
            </w:pPr>
            <w:r>
              <w:rPr>
                <w:rFonts w:ascii="宋体" w:hAnsi="宋体" w:eastAsia="宋体" w:cs="宋体"/>
                <w:b w:val="0"/>
              </w:rPr>
              <w:t>精测电子</w:t>
            </w:r>
          </w:p>
        </w:tc>
        <w:tc>
          <w:tcPr>
            <w:tcW w:w="0" w:type="dxa"/>
            <w:vAlign w:val="center"/>
          </w:tcPr>
          <w:p>
            <w:pPr>
              <w:spacing w:line="240" w:lineRule="auto"/>
              <w:jc w:val="right"/>
            </w:pPr>
            <w:r>
              <w:rPr>
                <w:rFonts w:ascii="宋体" w:hAnsi="宋体" w:eastAsia="宋体" w:cs="宋体"/>
                <w:b w:val="0"/>
              </w:rPr>
              <w:t>528,900</w:t>
            </w:r>
          </w:p>
        </w:tc>
        <w:tc>
          <w:tcPr>
            <w:tcW w:w="0" w:type="dxa"/>
            <w:vAlign w:val="center"/>
          </w:tcPr>
          <w:p>
            <w:pPr>
              <w:spacing w:line="240" w:lineRule="auto"/>
              <w:jc w:val="right"/>
            </w:pPr>
            <w:r>
              <w:rPr>
                <w:rFonts w:ascii="宋体" w:hAnsi="宋体" w:eastAsia="宋体" w:cs="宋体"/>
                <w:b w:val="0"/>
              </w:rPr>
              <w:t>97,333,467.00</w:t>
            </w:r>
          </w:p>
        </w:tc>
        <w:tc>
          <w:tcPr>
            <w:tcW w:w="0" w:type="dxa"/>
            <w:vAlign w:val="center"/>
          </w:tcPr>
          <w:p>
            <w:pPr>
              <w:spacing w:line="240" w:lineRule="auto"/>
              <w:jc w:val="right"/>
            </w:pPr>
            <w:r>
              <w:rPr>
                <w:rFonts w:ascii="宋体" w:hAnsi="宋体" w:eastAsia="宋体" w:cs="宋体"/>
                <w:b w:val="0"/>
              </w:rPr>
              <w:t>8.21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4</w:t>
            </w:r>
          </w:p>
        </w:tc>
        <w:tc>
          <w:tcPr>
            <w:tcW w:w="0" w:type="dxa"/>
            <w:vAlign w:val="center"/>
          </w:tcPr>
          <w:p>
            <w:pPr>
              <w:spacing w:line="240" w:lineRule="auto"/>
              <w:jc w:val="left"/>
            </w:pPr>
            <w:r>
              <w:rPr>
                <w:rFonts w:ascii="宋体" w:hAnsi="宋体" w:eastAsia="宋体" w:cs="宋体"/>
                <w:b w:val="0"/>
              </w:rPr>
              <w:t>688072</w:t>
            </w:r>
          </w:p>
        </w:tc>
        <w:tc>
          <w:tcPr>
            <w:tcW w:w="0" w:type="dxa"/>
            <w:vAlign w:val="center"/>
          </w:tcPr>
          <w:p>
            <w:pPr>
              <w:spacing w:line="240" w:lineRule="auto"/>
              <w:jc w:val="left"/>
            </w:pPr>
            <w:r>
              <w:rPr>
                <w:rFonts w:ascii="宋体" w:hAnsi="宋体" w:eastAsia="宋体" w:cs="宋体"/>
                <w:b w:val="0"/>
              </w:rPr>
              <w:t>拓荆科技</w:t>
            </w:r>
          </w:p>
        </w:tc>
        <w:tc>
          <w:tcPr>
            <w:tcW w:w="0" w:type="dxa"/>
            <w:vAlign w:val="center"/>
          </w:tcPr>
          <w:p>
            <w:pPr>
              <w:spacing w:line="240" w:lineRule="auto"/>
              <w:jc w:val="right"/>
            </w:pPr>
            <w:r>
              <w:rPr>
                <w:rFonts w:ascii="宋体" w:hAnsi="宋体" w:eastAsia="宋体" w:cs="宋体"/>
                <w:b w:val="0"/>
              </w:rPr>
              <w:t>148,691</w:t>
            </w:r>
          </w:p>
        </w:tc>
        <w:tc>
          <w:tcPr>
            <w:tcW w:w="0" w:type="dxa"/>
            <w:vAlign w:val="center"/>
          </w:tcPr>
          <w:p>
            <w:pPr>
              <w:spacing w:line="240" w:lineRule="auto"/>
              <w:jc w:val="right"/>
            </w:pPr>
            <w:r>
              <w:rPr>
                <w:rFonts w:ascii="宋体" w:hAnsi="宋体" w:eastAsia="宋体" w:cs="宋体"/>
                <w:b w:val="0"/>
              </w:rPr>
              <w:t>95,162,240.00</w:t>
            </w:r>
          </w:p>
        </w:tc>
        <w:tc>
          <w:tcPr>
            <w:tcW w:w="0" w:type="dxa"/>
            <w:vAlign w:val="center"/>
          </w:tcPr>
          <w:p>
            <w:pPr>
              <w:spacing w:line="240" w:lineRule="auto"/>
              <w:jc w:val="right"/>
            </w:pPr>
            <w:r>
              <w:rPr>
                <w:rFonts w:ascii="宋体" w:hAnsi="宋体" w:eastAsia="宋体" w:cs="宋体"/>
                <w:b w:val="0"/>
              </w:rPr>
              <w:t>8.03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5</w:t>
            </w:r>
          </w:p>
        </w:tc>
        <w:tc>
          <w:tcPr>
            <w:tcW w:w="0" w:type="dxa"/>
            <w:vAlign w:val="center"/>
          </w:tcPr>
          <w:p>
            <w:pPr>
              <w:spacing w:line="240" w:lineRule="auto"/>
              <w:jc w:val="left"/>
            </w:pPr>
            <w:r>
              <w:rPr>
                <w:rFonts w:ascii="宋体" w:hAnsi="宋体" w:eastAsia="宋体" w:cs="宋体"/>
                <w:b w:val="0"/>
              </w:rPr>
              <w:t>688012</w:t>
            </w:r>
          </w:p>
        </w:tc>
        <w:tc>
          <w:tcPr>
            <w:tcW w:w="0" w:type="dxa"/>
            <w:vAlign w:val="center"/>
          </w:tcPr>
          <w:p>
            <w:pPr>
              <w:spacing w:line="240" w:lineRule="auto"/>
              <w:jc w:val="left"/>
            </w:pPr>
            <w:r>
              <w:rPr>
                <w:rFonts w:ascii="宋体" w:hAnsi="宋体" w:eastAsia="宋体" w:cs="宋体"/>
                <w:b w:val="0"/>
              </w:rPr>
              <w:t>中微公司</w:t>
            </w:r>
          </w:p>
        </w:tc>
        <w:tc>
          <w:tcPr>
            <w:tcW w:w="0" w:type="dxa"/>
            <w:vAlign w:val="center"/>
          </w:tcPr>
          <w:p>
            <w:pPr>
              <w:spacing w:line="240" w:lineRule="auto"/>
              <w:jc w:val="right"/>
            </w:pPr>
            <w:r>
              <w:rPr>
                <w:rFonts w:ascii="宋体" w:hAnsi="宋体" w:eastAsia="宋体" w:cs="宋体"/>
                <w:b w:val="0"/>
              </w:rPr>
              <w:t>274,767</w:t>
            </w:r>
          </w:p>
        </w:tc>
        <w:tc>
          <w:tcPr>
            <w:tcW w:w="0" w:type="dxa"/>
            <w:vAlign w:val="center"/>
          </w:tcPr>
          <w:p>
            <w:pPr>
              <w:spacing w:line="240" w:lineRule="auto"/>
              <w:jc w:val="right"/>
            </w:pPr>
            <w:r>
              <w:rPr>
                <w:rFonts w:ascii="宋体" w:hAnsi="宋体" w:eastAsia="宋体" w:cs="宋体"/>
                <w:b w:val="0"/>
              </w:rPr>
              <w:t>87,527,027.85</w:t>
            </w:r>
          </w:p>
        </w:tc>
        <w:tc>
          <w:tcPr>
            <w:tcW w:w="0" w:type="dxa"/>
            <w:vAlign w:val="center"/>
          </w:tcPr>
          <w:p>
            <w:pPr>
              <w:spacing w:line="240" w:lineRule="auto"/>
              <w:jc w:val="right"/>
            </w:pPr>
            <w:r>
              <w:rPr>
                <w:rFonts w:ascii="宋体" w:hAnsi="宋体" w:eastAsia="宋体" w:cs="宋体"/>
                <w:b w:val="0"/>
              </w:rPr>
              <w:t>7.39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6</w:t>
            </w:r>
          </w:p>
        </w:tc>
        <w:tc>
          <w:tcPr>
            <w:tcW w:w="0" w:type="dxa"/>
            <w:vAlign w:val="center"/>
          </w:tcPr>
          <w:p>
            <w:pPr>
              <w:spacing w:line="240" w:lineRule="auto"/>
              <w:jc w:val="left"/>
            </w:pPr>
            <w:r>
              <w:rPr>
                <w:rFonts w:ascii="宋体" w:hAnsi="宋体" w:eastAsia="宋体" w:cs="宋体"/>
                <w:b w:val="0"/>
              </w:rPr>
              <w:t>688409</w:t>
            </w:r>
          </w:p>
        </w:tc>
        <w:tc>
          <w:tcPr>
            <w:tcW w:w="0" w:type="dxa"/>
            <w:vAlign w:val="center"/>
          </w:tcPr>
          <w:p>
            <w:pPr>
              <w:spacing w:line="240" w:lineRule="auto"/>
              <w:jc w:val="left"/>
            </w:pPr>
            <w:r>
              <w:rPr>
                <w:rFonts w:ascii="宋体" w:hAnsi="宋体" w:eastAsia="宋体" w:cs="宋体"/>
                <w:b w:val="0"/>
              </w:rPr>
              <w:t>富创精密</w:t>
            </w:r>
          </w:p>
        </w:tc>
        <w:tc>
          <w:tcPr>
            <w:tcW w:w="0" w:type="dxa"/>
            <w:vAlign w:val="center"/>
          </w:tcPr>
          <w:p>
            <w:pPr>
              <w:spacing w:line="240" w:lineRule="auto"/>
              <w:jc w:val="right"/>
            </w:pPr>
            <w:r>
              <w:rPr>
                <w:rFonts w:ascii="宋体" w:hAnsi="宋体" w:eastAsia="宋体" w:cs="宋体"/>
                <w:b w:val="0"/>
              </w:rPr>
              <w:t>451,130</w:t>
            </w:r>
          </w:p>
        </w:tc>
        <w:tc>
          <w:tcPr>
            <w:tcW w:w="0" w:type="dxa"/>
            <w:vAlign w:val="center"/>
          </w:tcPr>
          <w:p>
            <w:pPr>
              <w:spacing w:line="240" w:lineRule="auto"/>
              <w:jc w:val="right"/>
            </w:pPr>
            <w:r>
              <w:rPr>
                <w:rFonts w:ascii="宋体" w:hAnsi="宋体" w:eastAsia="宋体" w:cs="宋体"/>
                <w:b w:val="0"/>
              </w:rPr>
              <w:t>76,737,213.00</w:t>
            </w:r>
          </w:p>
        </w:tc>
        <w:tc>
          <w:tcPr>
            <w:tcW w:w="0" w:type="dxa"/>
            <w:vAlign w:val="center"/>
          </w:tcPr>
          <w:p>
            <w:pPr>
              <w:spacing w:line="240" w:lineRule="auto"/>
              <w:jc w:val="right"/>
            </w:pPr>
            <w:r>
              <w:rPr>
                <w:rFonts w:ascii="宋体" w:hAnsi="宋体" w:eastAsia="宋体" w:cs="宋体"/>
                <w:b w:val="0"/>
              </w:rPr>
              <w:t>6.48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7</w:t>
            </w:r>
          </w:p>
        </w:tc>
        <w:tc>
          <w:tcPr>
            <w:tcW w:w="0" w:type="dxa"/>
            <w:vAlign w:val="center"/>
          </w:tcPr>
          <w:p>
            <w:pPr>
              <w:spacing w:line="240" w:lineRule="auto"/>
              <w:jc w:val="left"/>
            </w:pPr>
            <w:r>
              <w:rPr>
                <w:rFonts w:ascii="宋体" w:hAnsi="宋体" w:eastAsia="宋体" w:cs="宋体"/>
                <w:b w:val="0"/>
              </w:rPr>
              <w:t>688627</w:t>
            </w:r>
          </w:p>
        </w:tc>
        <w:tc>
          <w:tcPr>
            <w:tcW w:w="0" w:type="dxa"/>
            <w:vAlign w:val="center"/>
          </w:tcPr>
          <w:p>
            <w:pPr>
              <w:spacing w:line="240" w:lineRule="auto"/>
              <w:jc w:val="left"/>
            </w:pPr>
            <w:r>
              <w:rPr>
                <w:rFonts w:ascii="宋体" w:hAnsi="宋体" w:eastAsia="宋体" w:cs="宋体"/>
                <w:b w:val="0"/>
              </w:rPr>
              <w:t>精智达</w:t>
            </w:r>
          </w:p>
        </w:tc>
        <w:tc>
          <w:tcPr>
            <w:tcW w:w="0" w:type="dxa"/>
            <w:vAlign w:val="center"/>
          </w:tcPr>
          <w:p>
            <w:pPr>
              <w:spacing w:line="240" w:lineRule="auto"/>
              <w:jc w:val="right"/>
            </w:pPr>
            <w:r>
              <w:rPr>
                <w:rFonts w:ascii="宋体" w:hAnsi="宋体" w:eastAsia="宋体" w:cs="宋体"/>
                <w:b w:val="0"/>
              </w:rPr>
              <w:t>150,330</w:t>
            </w:r>
          </w:p>
        </w:tc>
        <w:tc>
          <w:tcPr>
            <w:tcW w:w="0" w:type="dxa"/>
            <w:vAlign w:val="center"/>
          </w:tcPr>
          <w:p>
            <w:pPr>
              <w:spacing w:line="240" w:lineRule="auto"/>
              <w:jc w:val="right"/>
            </w:pPr>
            <w:r>
              <w:rPr>
                <w:rFonts w:ascii="宋体" w:hAnsi="宋体" w:eastAsia="宋体" w:cs="宋体"/>
                <w:b w:val="0"/>
              </w:rPr>
              <w:t>63,559,524.00</w:t>
            </w:r>
          </w:p>
        </w:tc>
        <w:tc>
          <w:tcPr>
            <w:tcW w:w="0" w:type="dxa"/>
            <w:vAlign w:val="center"/>
          </w:tcPr>
          <w:p>
            <w:pPr>
              <w:spacing w:line="240" w:lineRule="auto"/>
              <w:jc w:val="right"/>
            </w:pPr>
            <w:r>
              <w:rPr>
                <w:rFonts w:ascii="宋体" w:hAnsi="宋体" w:eastAsia="宋体" w:cs="宋体"/>
                <w:b w:val="0"/>
              </w:rPr>
              <w:t>5.36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8</w:t>
            </w:r>
          </w:p>
        </w:tc>
        <w:tc>
          <w:tcPr>
            <w:tcW w:w="0" w:type="dxa"/>
            <w:vAlign w:val="center"/>
          </w:tcPr>
          <w:p>
            <w:pPr>
              <w:spacing w:line="240" w:lineRule="auto"/>
              <w:jc w:val="left"/>
            </w:pPr>
            <w:r>
              <w:rPr>
                <w:rFonts w:ascii="宋体" w:hAnsi="宋体" w:eastAsia="宋体" w:cs="宋体"/>
                <w:b w:val="0"/>
              </w:rPr>
              <w:t>688082</w:t>
            </w:r>
          </w:p>
        </w:tc>
        <w:tc>
          <w:tcPr>
            <w:tcW w:w="0" w:type="dxa"/>
            <w:vAlign w:val="center"/>
          </w:tcPr>
          <w:p>
            <w:pPr>
              <w:spacing w:line="240" w:lineRule="auto"/>
              <w:jc w:val="left"/>
            </w:pPr>
            <w:r>
              <w:rPr>
                <w:rFonts w:ascii="宋体" w:hAnsi="宋体" w:eastAsia="宋体" w:cs="宋体"/>
                <w:b w:val="0"/>
              </w:rPr>
              <w:t>盛美上海</w:t>
            </w:r>
          </w:p>
        </w:tc>
        <w:tc>
          <w:tcPr>
            <w:tcW w:w="0" w:type="dxa"/>
            <w:vAlign w:val="center"/>
          </w:tcPr>
          <w:p>
            <w:pPr>
              <w:spacing w:line="240" w:lineRule="auto"/>
              <w:jc w:val="right"/>
            </w:pPr>
            <w:r>
              <w:rPr>
                <w:rFonts w:ascii="宋体" w:hAnsi="宋体" w:eastAsia="宋体" w:cs="宋体"/>
                <w:b w:val="0"/>
              </w:rPr>
              <w:t>213,095</w:t>
            </w:r>
          </w:p>
        </w:tc>
        <w:tc>
          <w:tcPr>
            <w:tcW w:w="0" w:type="dxa"/>
            <w:vAlign w:val="center"/>
          </w:tcPr>
          <w:p>
            <w:pPr>
              <w:spacing w:line="240" w:lineRule="auto"/>
              <w:jc w:val="right"/>
            </w:pPr>
            <w:r>
              <w:rPr>
                <w:rFonts w:ascii="宋体" w:hAnsi="宋体" w:eastAsia="宋体" w:cs="宋体"/>
                <w:b w:val="0"/>
              </w:rPr>
              <w:t>62,709,596.60</w:t>
            </w:r>
          </w:p>
        </w:tc>
        <w:tc>
          <w:tcPr>
            <w:tcW w:w="0" w:type="dxa"/>
            <w:vAlign w:val="center"/>
          </w:tcPr>
          <w:p>
            <w:pPr>
              <w:spacing w:line="240" w:lineRule="auto"/>
              <w:jc w:val="right"/>
            </w:pPr>
            <w:r>
              <w:rPr>
                <w:rFonts w:ascii="宋体" w:hAnsi="宋体" w:eastAsia="宋体" w:cs="宋体"/>
                <w:b w:val="0"/>
              </w:rPr>
              <w:t>5.29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9</w:t>
            </w:r>
          </w:p>
        </w:tc>
        <w:tc>
          <w:tcPr>
            <w:tcW w:w="0" w:type="dxa"/>
            <w:vAlign w:val="center"/>
          </w:tcPr>
          <w:p>
            <w:pPr>
              <w:spacing w:line="240" w:lineRule="auto"/>
              <w:jc w:val="left"/>
            </w:pPr>
            <w:r>
              <w:rPr>
                <w:rFonts w:ascii="宋体" w:hAnsi="宋体" w:eastAsia="宋体" w:cs="宋体"/>
                <w:b w:val="0"/>
              </w:rPr>
              <w:t>688200</w:t>
            </w:r>
          </w:p>
        </w:tc>
        <w:tc>
          <w:tcPr>
            <w:tcW w:w="0" w:type="dxa"/>
            <w:vAlign w:val="center"/>
          </w:tcPr>
          <w:p>
            <w:pPr>
              <w:spacing w:line="240" w:lineRule="auto"/>
              <w:jc w:val="left"/>
            </w:pPr>
            <w:r>
              <w:rPr>
                <w:rFonts w:ascii="宋体" w:hAnsi="宋体" w:eastAsia="宋体" w:cs="宋体"/>
                <w:b w:val="0"/>
              </w:rPr>
              <w:t>华峰测控</w:t>
            </w:r>
          </w:p>
        </w:tc>
        <w:tc>
          <w:tcPr>
            <w:tcW w:w="0" w:type="dxa"/>
            <w:vAlign w:val="center"/>
          </w:tcPr>
          <w:p>
            <w:pPr>
              <w:spacing w:line="240" w:lineRule="auto"/>
              <w:jc w:val="right"/>
            </w:pPr>
            <w:r>
              <w:rPr>
                <w:rFonts w:ascii="宋体" w:hAnsi="宋体" w:eastAsia="宋体" w:cs="宋体"/>
                <w:b w:val="0"/>
              </w:rPr>
              <w:t>161,739</w:t>
            </w:r>
          </w:p>
        </w:tc>
        <w:tc>
          <w:tcPr>
            <w:tcW w:w="0" w:type="dxa"/>
            <w:vAlign w:val="center"/>
          </w:tcPr>
          <w:p>
            <w:pPr>
              <w:spacing w:line="240" w:lineRule="auto"/>
              <w:jc w:val="right"/>
            </w:pPr>
            <w:r>
              <w:rPr>
                <w:rFonts w:ascii="宋体" w:hAnsi="宋体" w:eastAsia="宋体" w:cs="宋体"/>
                <w:b w:val="0"/>
              </w:rPr>
              <w:t>60,490,386.00</w:t>
            </w:r>
          </w:p>
        </w:tc>
        <w:tc>
          <w:tcPr>
            <w:tcW w:w="0" w:type="dxa"/>
            <w:vAlign w:val="center"/>
          </w:tcPr>
          <w:p>
            <w:pPr>
              <w:spacing w:line="240" w:lineRule="auto"/>
              <w:jc w:val="right"/>
            </w:pPr>
            <w:r>
              <w:rPr>
                <w:rFonts w:ascii="宋体" w:hAnsi="宋体" w:eastAsia="宋体" w:cs="宋体"/>
                <w:b w:val="0"/>
              </w:rPr>
              <w:t>5.11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10</w:t>
            </w:r>
          </w:p>
        </w:tc>
        <w:tc>
          <w:tcPr>
            <w:tcW w:w="0" w:type="dxa"/>
            <w:vAlign w:val="center"/>
          </w:tcPr>
          <w:p>
            <w:pPr>
              <w:spacing w:line="240" w:lineRule="auto"/>
              <w:jc w:val="left"/>
            </w:pPr>
            <w:r>
              <w:rPr>
                <w:rFonts w:ascii="宋体" w:hAnsi="宋体" w:eastAsia="宋体" w:cs="宋体"/>
                <w:b w:val="0"/>
              </w:rPr>
              <w:t>688120</w:t>
            </w:r>
          </w:p>
        </w:tc>
        <w:tc>
          <w:tcPr>
            <w:tcW w:w="0" w:type="dxa"/>
            <w:vAlign w:val="center"/>
          </w:tcPr>
          <w:p>
            <w:pPr>
              <w:spacing w:line="240" w:lineRule="auto"/>
              <w:jc w:val="left"/>
            </w:pPr>
            <w:r>
              <w:rPr>
                <w:rFonts w:ascii="宋体" w:hAnsi="宋体" w:eastAsia="宋体" w:cs="宋体"/>
                <w:b w:val="0"/>
              </w:rPr>
              <w:t>华海清科</w:t>
            </w:r>
          </w:p>
        </w:tc>
        <w:tc>
          <w:tcPr>
            <w:tcW w:w="0" w:type="dxa"/>
            <w:vAlign w:val="center"/>
          </w:tcPr>
          <w:p>
            <w:pPr>
              <w:spacing w:line="240" w:lineRule="auto"/>
              <w:jc w:val="right"/>
            </w:pPr>
            <w:r>
              <w:rPr>
                <w:rFonts w:ascii="宋体" w:hAnsi="宋体" w:eastAsia="宋体" w:cs="宋体"/>
                <w:b w:val="0"/>
              </w:rPr>
              <w:t>262,892</w:t>
            </w:r>
          </w:p>
        </w:tc>
        <w:tc>
          <w:tcPr>
            <w:tcW w:w="0" w:type="dxa"/>
            <w:vAlign w:val="center"/>
          </w:tcPr>
          <w:p>
            <w:pPr>
              <w:spacing w:line="240" w:lineRule="auto"/>
              <w:jc w:val="right"/>
            </w:pPr>
            <w:r>
              <w:rPr>
                <w:rFonts w:ascii="宋体" w:hAnsi="宋体" w:eastAsia="宋体" w:cs="宋体"/>
                <w:b w:val="0"/>
              </w:rPr>
              <w:t>59,789,527.56</w:t>
            </w:r>
          </w:p>
        </w:tc>
        <w:tc>
          <w:tcPr>
            <w:tcW w:w="0" w:type="dxa"/>
            <w:vAlign w:val="center"/>
          </w:tcPr>
          <w:p>
            <w:pPr>
              <w:spacing w:line="240" w:lineRule="auto"/>
              <w:jc w:val="right"/>
            </w:pPr>
            <w:r>
              <w:rPr>
                <w:rFonts w:ascii="宋体" w:hAnsi="宋体" w:eastAsia="宋体" w:cs="宋体"/>
                <w:b w:val="0"/>
              </w:rPr>
              <w:t>5.05</w:t>
            </w:r>
          </w:p>
        </w:tc>
      </w:tr>
    </w:tbl>
    <w:p/>
    <w:p>
      <w:pPr>
        <w:pStyle w:val="3"/>
        <w:jc w:val="left"/>
      </w:pPr>
      <w:r>
        <w:rPr>
          <w:rFonts w:ascii="宋体" w:hAnsi="宋体" w:eastAsia="宋体" w:cs="宋体"/>
        </w:rPr>
        <w:t>5.4 报告期末按债券品种分类的债券投资组合</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8"/>
        <w:gridCol w:w="3571"/>
        <w:gridCol w:w="1786"/>
        <w:gridCol w:w="25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5" w:type="pct"/>
            <w:shd w:val="clear" w:color="auto" w:fill="D9D9D9"/>
            <w:vAlign w:val="center"/>
          </w:tcPr>
          <w:p>
            <w:pPr>
              <w:spacing w:line="240" w:lineRule="auto"/>
              <w:jc w:val="center"/>
            </w:pPr>
            <w:r>
              <w:rPr>
                <w:rFonts w:ascii="宋体" w:hAnsi="宋体" w:eastAsia="宋体" w:cs="宋体"/>
                <w:b w:val="0"/>
              </w:rPr>
              <w:t>序号</w:t>
            </w:r>
          </w:p>
        </w:tc>
        <w:tc>
          <w:tcPr>
            <w:tcW w:w="1538" w:type="pct"/>
            <w:shd w:val="clear" w:color="auto" w:fill="D9D9D9"/>
            <w:vAlign w:val="center"/>
          </w:tcPr>
          <w:p>
            <w:pPr>
              <w:spacing w:line="240" w:lineRule="auto"/>
              <w:jc w:val="center"/>
            </w:pPr>
            <w:r>
              <w:rPr>
                <w:rFonts w:ascii="宋体" w:hAnsi="宋体" w:eastAsia="宋体" w:cs="宋体"/>
                <w:b w:val="0"/>
              </w:rPr>
              <w:t>债券品种</w:t>
            </w:r>
          </w:p>
        </w:tc>
        <w:tc>
          <w:tcPr>
            <w:tcW w:w="769" w:type="pct"/>
            <w:shd w:val="clear" w:color="auto" w:fill="D9D9D9"/>
            <w:vAlign w:val="center"/>
          </w:tcPr>
          <w:p>
            <w:pPr>
              <w:spacing w:line="240" w:lineRule="auto"/>
              <w:jc w:val="center"/>
            </w:pPr>
            <w:r>
              <w:rPr>
                <w:rFonts w:ascii="宋体" w:hAnsi="宋体" w:eastAsia="宋体" w:cs="宋体"/>
                <w:b w:val="0"/>
              </w:rPr>
              <w:t>公允价值(元)</w:t>
            </w:r>
          </w:p>
        </w:tc>
        <w:tc>
          <w:tcPr>
            <w:tcW w:w="1077" w:type="pct"/>
            <w:shd w:val="clear" w:color="auto" w:fill="D9D9D9"/>
            <w:vAlign w:val="center"/>
          </w:tcPr>
          <w:p>
            <w:pPr>
              <w:spacing w:line="240" w:lineRule="auto"/>
              <w:jc w:val="center"/>
            </w:pPr>
            <w:r>
              <w:rPr>
                <w:rFonts w:ascii="宋体" w:hAnsi="宋体" w:eastAsia="宋体" w:cs="宋体"/>
                <w:b w:val="0"/>
              </w:rPr>
              <w:t>占基金资产净值比例(％)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w:t>
            </w:r>
          </w:p>
        </w:tc>
        <w:tc>
          <w:tcPr>
            <w:tcW w:w="0" w:type="dxa"/>
            <w:vAlign w:val="center"/>
          </w:tcPr>
          <w:p>
            <w:pPr>
              <w:spacing w:line="240" w:lineRule="auto"/>
              <w:jc w:val="left"/>
            </w:pPr>
            <w:r>
              <w:rPr>
                <w:rFonts w:ascii="宋体" w:hAnsi="宋体" w:eastAsia="宋体" w:cs="宋体"/>
                <w:b w:val="0"/>
              </w:rPr>
              <w:t>国家债券</w:t>
            </w:r>
          </w:p>
        </w:tc>
        <w:tc>
          <w:tcPr>
            <w:tcW w:w="0" w:type="dxa"/>
            <w:vAlign w:val="center"/>
          </w:tcPr>
          <w:p>
            <w:pPr>
              <w:spacing w:line="240" w:lineRule="auto"/>
              <w:jc w:val="right"/>
            </w:pPr>
            <w:r>
              <w:rPr>
                <w:rFonts w:ascii="宋体" w:hAnsi="宋体" w:eastAsia="宋体" w:cs="宋体"/>
                <w:b w:val="0"/>
              </w:rPr>
              <w:t>70,366,835.67</w:t>
            </w:r>
          </w:p>
        </w:tc>
        <w:tc>
          <w:tcPr>
            <w:tcW w:w="0" w:type="dxa"/>
            <w:vAlign w:val="center"/>
          </w:tcPr>
          <w:p>
            <w:pPr>
              <w:spacing w:line="240" w:lineRule="auto"/>
              <w:jc w:val="right"/>
            </w:pPr>
            <w:r>
              <w:rPr>
                <w:rFonts w:ascii="宋体" w:hAnsi="宋体" w:eastAsia="宋体" w:cs="宋体"/>
                <w:b w:val="0"/>
              </w:rPr>
              <w:t>5.94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2</w:t>
            </w:r>
          </w:p>
        </w:tc>
        <w:tc>
          <w:tcPr>
            <w:tcW w:w="0" w:type="dxa"/>
            <w:vAlign w:val="center"/>
          </w:tcPr>
          <w:p>
            <w:pPr>
              <w:spacing w:line="240" w:lineRule="auto"/>
              <w:jc w:val="left"/>
            </w:pPr>
            <w:r>
              <w:rPr>
                <w:rFonts w:ascii="宋体" w:hAnsi="宋体" w:eastAsia="宋体" w:cs="宋体"/>
                <w:b w:val="0"/>
              </w:rPr>
              <w:t>央行票据</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3</w:t>
            </w:r>
          </w:p>
        </w:tc>
        <w:tc>
          <w:tcPr>
            <w:tcW w:w="0" w:type="dxa"/>
            <w:vAlign w:val="center"/>
          </w:tcPr>
          <w:p>
            <w:pPr>
              <w:spacing w:line="240" w:lineRule="auto"/>
              <w:jc w:val="left"/>
            </w:pPr>
            <w:r>
              <w:rPr>
                <w:rFonts w:ascii="宋体" w:hAnsi="宋体" w:eastAsia="宋体" w:cs="宋体"/>
                <w:b w:val="0"/>
              </w:rPr>
              <w:t>金融债券</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p>
        </w:tc>
        <w:tc>
          <w:tcPr>
            <w:tcW w:w="0" w:type="dxa"/>
            <w:vAlign w:val="center"/>
          </w:tcPr>
          <w:p>
            <w:pPr>
              <w:spacing w:line="240" w:lineRule="auto"/>
              <w:jc w:val="left"/>
            </w:pPr>
            <w:r>
              <w:rPr>
                <w:rFonts w:ascii="宋体" w:hAnsi="宋体" w:eastAsia="宋体" w:cs="宋体"/>
                <w:b w:val="0"/>
              </w:rPr>
              <w:t>其中：政策性金融债</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4</w:t>
            </w:r>
          </w:p>
        </w:tc>
        <w:tc>
          <w:tcPr>
            <w:tcW w:w="0" w:type="dxa"/>
            <w:vAlign w:val="center"/>
          </w:tcPr>
          <w:p>
            <w:pPr>
              <w:spacing w:line="240" w:lineRule="auto"/>
              <w:jc w:val="left"/>
            </w:pPr>
            <w:r>
              <w:rPr>
                <w:rFonts w:ascii="宋体" w:hAnsi="宋体" w:eastAsia="宋体" w:cs="宋体"/>
                <w:b w:val="0"/>
              </w:rPr>
              <w:t>企业债券</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5</w:t>
            </w:r>
          </w:p>
        </w:tc>
        <w:tc>
          <w:tcPr>
            <w:tcW w:w="0" w:type="dxa"/>
            <w:vAlign w:val="center"/>
          </w:tcPr>
          <w:p>
            <w:pPr>
              <w:spacing w:line="240" w:lineRule="auto"/>
              <w:jc w:val="left"/>
            </w:pPr>
            <w:r>
              <w:rPr>
                <w:rFonts w:ascii="宋体" w:hAnsi="宋体" w:eastAsia="宋体" w:cs="宋体"/>
                <w:b w:val="0"/>
              </w:rPr>
              <w:t>企业短期融资券</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6</w:t>
            </w:r>
          </w:p>
        </w:tc>
        <w:tc>
          <w:tcPr>
            <w:tcW w:w="0" w:type="dxa"/>
            <w:vAlign w:val="center"/>
          </w:tcPr>
          <w:p>
            <w:pPr>
              <w:spacing w:line="240" w:lineRule="auto"/>
              <w:jc w:val="left"/>
            </w:pPr>
            <w:r>
              <w:rPr>
                <w:rFonts w:ascii="宋体" w:hAnsi="宋体" w:eastAsia="宋体" w:cs="宋体"/>
                <w:b w:val="0"/>
              </w:rPr>
              <w:t>中期票据</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7</w:t>
            </w:r>
          </w:p>
        </w:tc>
        <w:tc>
          <w:tcPr>
            <w:tcW w:w="0" w:type="dxa"/>
            <w:vAlign w:val="center"/>
          </w:tcPr>
          <w:p>
            <w:pPr>
              <w:spacing w:line="240" w:lineRule="auto"/>
              <w:jc w:val="left"/>
            </w:pPr>
            <w:r>
              <w:rPr>
                <w:rFonts w:ascii="宋体" w:hAnsi="宋体" w:eastAsia="宋体" w:cs="宋体"/>
                <w:b w:val="0"/>
              </w:rPr>
              <w:t>可转债（可交换债）</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8</w:t>
            </w:r>
          </w:p>
        </w:tc>
        <w:tc>
          <w:tcPr>
            <w:tcW w:w="0" w:type="dxa"/>
            <w:vAlign w:val="center"/>
          </w:tcPr>
          <w:p>
            <w:pPr>
              <w:spacing w:line="240" w:lineRule="auto"/>
              <w:jc w:val="left"/>
            </w:pPr>
            <w:r>
              <w:rPr>
                <w:rFonts w:ascii="宋体" w:hAnsi="宋体" w:eastAsia="宋体" w:cs="宋体"/>
                <w:b w:val="0"/>
              </w:rPr>
              <w:t>同业存单</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9</w:t>
            </w:r>
          </w:p>
        </w:tc>
        <w:tc>
          <w:tcPr>
            <w:tcW w:w="0" w:type="dxa"/>
            <w:vAlign w:val="center"/>
          </w:tcPr>
          <w:p>
            <w:pPr>
              <w:spacing w:line="240" w:lineRule="auto"/>
              <w:jc w:val="left"/>
            </w:pPr>
            <w:r>
              <w:rPr>
                <w:rFonts w:ascii="宋体" w:hAnsi="宋体" w:eastAsia="宋体" w:cs="宋体"/>
                <w:b w:val="0"/>
              </w:rPr>
              <w:t>其他</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10</w:t>
            </w:r>
          </w:p>
        </w:tc>
        <w:tc>
          <w:tcPr>
            <w:tcW w:w="0" w:type="dxa"/>
            <w:vAlign w:val="center"/>
          </w:tcPr>
          <w:p>
            <w:pPr>
              <w:spacing w:line="240" w:lineRule="auto"/>
              <w:jc w:val="left"/>
            </w:pPr>
            <w:r>
              <w:rPr>
                <w:rFonts w:ascii="宋体" w:hAnsi="宋体" w:eastAsia="宋体" w:cs="宋体"/>
                <w:b w:val="0"/>
              </w:rPr>
              <w:t>合计</w:t>
            </w:r>
          </w:p>
        </w:tc>
        <w:tc>
          <w:tcPr>
            <w:tcW w:w="0" w:type="dxa"/>
            <w:vAlign w:val="center"/>
          </w:tcPr>
          <w:p>
            <w:pPr>
              <w:spacing w:line="240" w:lineRule="auto"/>
              <w:jc w:val="right"/>
            </w:pPr>
            <w:r>
              <w:rPr>
                <w:rFonts w:ascii="宋体" w:hAnsi="宋体" w:eastAsia="宋体" w:cs="宋体"/>
                <w:b w:val="0"/>
              </w:rPr>
              <w:t>70,366,835.67</w:t>
            </w:r>
          </w:p>
        </w:tc>
        <w:tc>
          <w:tcPr>
            <w:tcW w:w="0" w:type="dxa"/>
            <w:vAlign w:val="center"/>
          </w:tcPr>
          <w:p>
            <w:pPr>
              <w:spacing w:line="240" w:lineRule="auto"/>
              <w:jc w:val="right"/>
            </w:pPr>
            <w:r>
              <w:rPr>
                <w:rFonts w:ascii="宋体" w:hAnsi="宋体" w:eastAsia="宋体" w:cs="宋体"/>
                <w:b w:val="0"/>
              </w:rPr>
              <w:t>5.94</w:t>
            </w:r>
          </w:p>
        </w:tc>
      </w:tr>
    </w:tbl>
    <w:p/>
    <w:p>
      <w:pPr>
        <w:pStyle w:val="3"/>
        <w:jc w:val="left"/>
      </w:pPr>
      <w:r>
        <w:rPr>
          <w:rFonts w:ascii="宋体" w:hAnsi="宋体" w:eastAsia="宋体" w:cs="宋体"/>
        </w:rPr>
        <w:t>5.5 报告期末按公允价值占基金资产净值比例大小排序的前五名债券投资明细</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7"/>
        <w:gridCol w:w="1547"/>
        <w:gridCol w:w="1548"/>
        <w:gridCol w:w="1238"/>
        <w:gridCol w:w="1858"/>
        <w:gridCol w:w="18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5" w:type="pct"/>
            <w:shd w:val="clear" w:color="auto" w:fill="D9D9D9"/>
            <w:vAlign w:val="center"/>
          </w:tcPr>
          <w:p>
            <w:pPr>
              <w:spacing w:line="240" w:lineRule="auto"/>
              <w:jc w:val="center"/>
            </w:pPr>
            <w:r>
              <w:rPr>
                <w:rFonts w:ascii="宋体" w:hAnsi="宋体" w:eastAsia="宋体" w:cs="宋体"/>
                <w:b w:val="0"/>
              </w:rPr>
              <w:t>序号</w:t>
            </w:r>
          </w:p>
        </w:tc>
        <w:tc>
          <w:tcPr>
            <w:tcW w:w="769" w:type="pct"/>
            <w:shd w:val="clear" w:color="auto" w:fill="D9D9D9"/>
            <w:vAlign w:val="center"/>
          </w:tcPr>
          <w:p>
            <w:pPr>
              <w:spacing w:line="240" w:lineRule="auto"/>
              <w:jc w:val="center"/>
            </w:pPr>
            <w:r>
              <w:rPr>
                <w:rFonts w:ascii="宋体" w:hAnsi="宋体" w:eastAsia="宋体" w:cs="宋体"/>
                <w:b w:val="0"/>
              </w:rPr>
              <w:t>债券代码</w:t>
            </w:r>
          </w:p>
        </w:tc>
        <w:tc>
          <w:tcPr>
            <w:tcW w:w="769" w:type="pct"/>
            <w:shd w:val="clear" w:color="auto" w:fill="D9D9D9"/>
            <w:vAlign w:val="center"/>
          </w:tcPr>
          <w:p>
            <w:pPr>
              <w:spacing w:line="240" w:lineRule="auto"/>
              <w:jc w:val="center"/>
            </w:pPr>
            <w:r>
              <w:rPr>
                <w:rFonts w:ascii="宋体" w:hAnsi="宋体" w:eastAsia="宋体" w:cs="宋体"/>
                <w:b w:val="0"/>
              </w:rPr>
              <w:t>债券名称</w:t>
            </w:r>
          </w:p>
        </w:tc>
        <w:tc>
          <w:tcPr>
            <w:tcW w:w="615" w:type="pct"/>
            <w:shd w:val="clear" w:color="auto" w:fill="D9D9D9"/>
            <w:vAlign w:val="center"/>
          </w:tcPr>
          <w:p>
            <w:pPr>
              <w:spacing w:line="240" w:lineRule="auto"/>
              <w:jc w:val="center"/>
            </w:pPr>
            <w:r>
              <w:rPr>
                <w:rFonts w:ascii="宋体" w:hAnsi="宋体" w:eastAsia="宋体" w:cs="宋体"/>
                <w:b w:val="0"/>
              </w:rPr>
              <w:t>数量(张)</w:t>
            </w:r>
          </w:p>
        </w:tc>
        <w:tc>
          <w:tcPr>
            <w:tcW w:w="923" w:type="pct"/>
            <w:shd w:val="clear" w:color="auto" w:fill="D9D9D9"/>
            <w:vAlign w:val="center"/>
          </w:tcPr>
          <w:p>
            <w:pPr>
              <w:spacing w:line="240" w:lineRule="auto"/>
              <w:jc w:val="center"/>
            </w:pPr>
            <w:r>
              <w:rPr>
                <w:rFonts w:ascii="宋体" w:hAnsi="宋体" w:eastAsia="宋体" w:cs="宋体"/>
                <w:b w:val="0"/>
              </w:rPr>
              <w:t>公允价值(元)</w:t>
            </w:r>
          </w:p>
        </w:tc>
        <w:tc>
          <w:tcPr>
            <w:tcW w:w="923" w:type="pct"/>
            <w:shd w:val="clear" w:color="auto" w:fill="D9D9D9"/>
            <w:vAlign w:val="center"/>
          </w:tcPr>
          <w:p>
            <w:pPr>
              <w:spacing w:line="240" w:lineRule="auto"/>
              <w:jc w:val="center"/>
            </w:pPr>
            <w:r>
              <w:rPr>
                <w:rFonts w:ascii="宋体" w:hAnsi="宋体" w:eastAsia="宋体" w:cs="宋体"/>
                <w:b w:val="0"/>
              </w:rPr>
              <w:t>占基金资产净值比例(%)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w:t>
            </w:r>
          </w:p>
        </w:tc>
        <w:tc>
          <w:tcPr>
            <w:tcW w:w="0" w:type="dxa"/>
            <w:vAlign w:val="center"/>
          </w:tcPr>
          <w:p>
            <w:pPr>
              <w:spacing w:line="240" w:lineRule="auto"/>
              <w:jc w:val="left"/>
            </w:pPr>
            <w:r>
              <w:rPr>
                <w:rFonts w:ascii="宋体" w:hAnsi="宋体" w:eastAsia="宋体" w:cs="宋体"/>
                <w:b w:val="0"/>
              </w:rPr>
              <w:t>019827</w:t>
            </w:r>
          </w:p>
        </w:tc>
        <w:tc>
          <w:tcPr>
            <w:tcW w:w="0" w:type="dxa"/>
            <w:vAlign w:val="center"/>
          </w:tcPr>
          <w:p>
            <w:pPr>
              <w:spacing w:line="240" w:lineRule="auto"/>
              <w:jc w:val="left"/>
            </w:pPr>
            <w:r>
              <w:rPr>
                <w:rFonts w:ascii="宋体" w:hAnsi="宋体" w:eastAsia="宋体" w:cs="宋体"/>
                <w:b w:val="0"/>
              </w:rPr>
              <w:t>26国债01</w:t>
            </w:r>
          </w:p>
        </w:tc>
        <w:tc>
          <w:tcPr>
            <w:tcW w:w="0" w:type="dxa"/>
            <w:vAlign w:val="center"/>
          </w:tcPr>
          <w:p>
            <w:pPr>
              <w:spacing w:line="240" w:lineRule="auto"/>
              <w:jc w:val="right"/>
            </w:pPr>
            <w:r>
              <w:rPr>
                <w:rFonts w:ascii="宋体" w:hAnsi="宋体" w:eastAsia="宋体" w:cs="宋体"/>
                <w:b w:val="0"/>
              </w:rPr>
              <w:t>303,000</w:t>
            </w:r>
          </w:p>
        </w:tc>
        <w:tc>
          <w:tcPr>
            <w:tcW w:w="0" w:type="dxa"/>
            <w:vAlign w:val="center"/>
          </w:tcPr>
          <w:p>
            <w:pPr>
              <w:spacing w:line="240" w:lineRule="auto"/>
              <w:jc w:val="right"/>
            </w:pPr>
            <w:r>
              <w:rPr>
                <w:rFonts w:ascii="宋体" w:hAnsi="宋体" w:eastAsia="宋体" w:cs="宋体"/>
                <w:b w:val="0"/>
              </w:rPr>
              <w:t>30,562,306.68</w:t>
            </w:r>
          </w:p>
        </w:tc>
        <w:tc>
          <w:tcPr>
            <w:tcW w:w="0" w:type="dxa"/>
            <w:vAlign w:val="center"/>
          </w:tcPr>
          <w:p>
            <w:pPr>
              <w:spacing w:line="240" w:lineRule="auto"/>
              <w:jc w:val="right"/>
            </w:pPr>
            <w:r>
              <w:rPr>
                <w:rFonts w:ascii="宋体" w:hAnsi="宋体" w:eastAsia="宋体" w:cs="宋体"/>
                <w:b w:val="0"/>
              </w:rPr>
              <w:t>2.58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2</w:t>
            </w:r>
          </w:p>
        </w:tc>
        <w:tc>
          <w:tcPr>
            <w:tcW w:w="0" w:type="dxa"/>
            <w:vAlign w:val="center"/>
          </w:tcPr>
          <w:p>
            <w:pPr>
              <w:spacing w:line="240" w:lineRule="auto"/>
              <w:jc w:val="left"/>
            </w:pPr>
            <w:r>
              <w:rPr>
                <w:rFonts w:ascii="宋体" w:hAnsi="宋体" w:eastAsia="宋体" w:cs="宋体"/>
                <w:b w:val="0"/>
              </w:rPr>
              <w:t>019835</w:t>
            </w:r>
          </w:p>
        </w:tc>
        <w:tc>
          <w:tcPr>
            <w:tcW w:w="0" w:type="dxa"/>
            <w:vAlign w:val="center"/>
          </w:tcPr>
          <w:p>
            <w:pPr>
              <w:spacing w:line="240" w:lineRule="auto"/>
              <w:jc w:val="left"/>
            </w:pPr>
            <w:r>
              <w:rPr>
                <w:rFonts w:ascii="宋体" w:hAnsi="宋体" w:eastAsia="宋体" w:cs="宋体"/>
                <w:b w:val="0"/>
              </w:rPr>
              <w:t>26国债09</w:t>
            </w:r>
          </w:p>
        </w:tc>
        <w:tc>
          <w:tcPr>
            <w:tcW w:w="0" w:type="dxa"/>
            <w:vAlign w:val="center"/>
          </w:tcPr>
          <w:p>
            <w:pPr>
              <w:spacing w:line="240" w:lineRule="auto"/>
              <w:jc w:val="right"/>
            </w:pPr>
            <w:r>
              <w:rPr>
                <w:rFonts w:ascii="宋体" w:hAnsi="宋体" w:eastAsia="宋体" w:cs="宋体"/>
                <w:b w:val="0"/>
              </w:rPr>
              <w:t>180,000</w:t>
            </w:r>
          </w:p>
        </w:tc>
        <w:tc>
          <w:tcPr>
            <w:tcW w:w="0" w:type="dxa"/>
            <w:vAlign w:val="center"/>
          </w:tcPr>
          <w:p>
            <w:pPr>
              <w:spacing w:line="240" w:lineRule="auto"/>
              <w:jc w:val="right"/>
            </w:pPr>
            <w:r>
              <w:rPr>
                <w:rFonts w:ascii="宋体" w:hAnsi="宋体" w:eastAsia="宋体" w:cs="宋体"/>
                <w:b w:val="0"/>
              </w:rPr>
              <w:t>18,074,115.62</w:t>
            </w:r>
          </w:p>
        </w:tc>
        <w:tc>
          <w:tcPr>
            <w:tcW w:w="0" w:type="dxa"/>
            <w:vAlign w:val="center"/>
          </w:tcPr>
          <w:p>
            <w:pPr>
              <w:spacing w:line="240" w:lineRule="auto"/>
              <w:jc w:val="right"/>
            </w:pPr>
            <w:r>
              <w:rPr>
                <w:rFonts w:ascii="宋体" w:hAnsi="宋体" w:eastAsia="宋体" w:cs="宋体"/>
                <w:b w:val="0"/>
              </w:rPr>
              <w:t>1.53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3</w:t>
            </w:r>
          </w:p>
        </w:tc>
        <w:tc>
          <w:tcPr>
            <w:tcW w:w="0" w:type="dxa"/>
            <w:vAlign w:val="center"/>
          </w:tcPr>
          <w:p>
            <w:pPr>
              <w:spacing w:line="240" w:lineRule="auto"/>
              <w:jc w:val="left"/>
            </w:pPr>
            <w:r>
              <w:rPr>
                <w:rFonts w:ascii="宋体" w:hAnsi="宋体" w:eastAsia="宋体" w:cs="宋体"/>
                <w:b w:val="0"/>
              </w:rPr>
              <w:t>019846</w:t>
            </w:r>
          </w:p>
        </w:tc>
        <w:tc>
          <w:tcPr>
            <w:tcW w:w="0" w:type="dxa"/>
            <w:vAlign w:val="center"/>
          </w:tcPr>
          <w:p>
            <w:pPr>
              <w:spacing w:line="240" w:lineRule="auto"/>
              <w:jc w:val="left"/>
            </w:pPr>
            <w:r>
              <w:rPr>
                <w:rFonts w:ascii="宋体" w:hAnsi="宋体" w:eastAsia="宋体" w:cs="宋体"/>
                <w:b w:val="0"/>
              </w:rPr>
              <w:t>26国债14</w:t>
            </w:r>
          </w:p>
        </w:tc>
        <w:tc>
          <w:tcPr>
            <w:tcW w:w="0" w:type="dxa"/>
            <w:vAlign w:val="center"/>
          </w:tcPr>
          <w:p>
            <w:pPr>
              <w:spacing w:line="240" w:lineRule="auto"/>
              <w:jc w:val="right"/>
            </w:pPr>
            <w:r>
              <w:rPr>
                <w:rFonts w:ascii="宋体" w:hAnsi="宋体" w:eastAsia="宋体" w:cs="宋体"/>
                <w:b w:val="0"/>
              </w:rPr>
              <w:t>130,000</w:t>
            </w:r>
          </w:p>
        </w:tc>
        <w:tc>
          <w:tcPr>
            <w:tcW w:w="0" w:type="dxa"/>
            <w:vAlign w:val="center"/>
          </w:tcPr>
          <w:p>
            <w:pPr>
              <w:spacing w:line="240" w:lineRule="auto"/>
              <w:jc w:val="right"/>
            </w:pPr>
            <w:r>
              <w:rPr>
                <w:rFonts w:ascii="宋体" w:hAnsi="宋体" w:eastAsia="宋体" w:cs="宋体"/>
                <w:b w:val="0"/>
              </w:rPr>
              <w:t>13,015,425.48</w:t>
            </w:r>
          </w:p>
        </w:tc>
        <w:tc>
          <w:tcPr>
            <w:tcW w:w="0" w:type="dxa"/>
            <w:vAlign w:val="center"/>
          </w:tcPr>
          <w:p>
            <w:pPr>
              <w:spacing w:line="240" w:lineRule="auto"/>
              <w:jc w:val="right"/>
            </w:pPr>
            <w:r>
              <w:rPr>
                <w:rFonts w:ascii="宋体" w:hAnsi="宋体" w:eastAsia="宋体" w:cs="宋体"/>
                <w:b w:val="0"/>
              </w:rPr>
              <w:t>1.10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4</w:t>
            </w:r>
          </w:p>
        </w:tc>
        <w:tc>
          <w:tcPr>
            <w:tcW w:w="0" w:type="dxa"/>
            <w:vAlign w:val="center"/>
          </w:tcPr>
          <w:p>
            <w:pPr>
              <w:spacing w:line="240" w:lineRule="auto"/>
              <w:jc w:val="left"/>
            </w:pPr>
            <w:r>
              <w:rPr>
                <w:rFonts w:ascii="宋体" w:hAnsi="宋体" w:eastAsia="宋体" w:cs="宋体"/>
                <w:b w:val="0"/>
              </w:rPr>
              <w:t>019792</w:t>
            </w:r>
          </w:p>
        </w:tc>
        <w:tc>
          <w:tcPr>
            <w:tcW w:w="0" w:type="dxa"/>
            <w:vAlign w:val="center"/>
          </w:tcPr>
          <w:p>
            <w:pPr>
              <w:spacing w:line="240" w:lineRule="auto"/>
              <w:jc w:val="left"/>
            </w:pPr>
            <w:r>
              <w:rPr>
                <w:rFonts w:ascii="宋体" w:hAnsi="宋体" w:eastAsia="宋体" w:cs="宋体"/>
                <w:b w:val="0"/>
              </w:rPr>
              <w:t>25国债19</w:t>
            </w:r>
          </w:p>
        </w:tc>
        <w:tc>
          <w:tcPr>
            <w:tcW w:w="0" w:type="dxa"/>
            <w:vAlign w:val="center"/>
          </w:tcPr>
          <w:p>
            <w:pPr>
              <w:spacing w:line="240" w:lineRule="auto"/>
              <w:jc w:val="right"/>
            </w:pPr>
            <w:r>
              <w:rPr>
                <w:rFonts w:ascii="宋体" w:hAnsi="宋体" w:eastAsia="宋体" w:cs="宋体"/>
                <w:b w:val="0"/>
              </w:rPr>
              <w:t>86,000</w:t>
            </w:r>
          </w:p>
        </w:tc>
        <w:tc>
          <w:tcPr>
            <w:tcW w:w="0" w:type="dxa"/>
            <w:vAlign w:val="center"/>
          </w:tcPr>
          <w:p>
            <w:pPr>
              <w:spacing w:line="240" w:lineRule="auto"/>
              <w:jc w:val="right"/>
            </w:pPr>
            <w:r>
              <w:rPr>
                <w:rFonts w:ascii="宋体" w:hAnsi="宋体" w:eastAsia="宋体" w:cs="宋体"/>
                <w:b w:val="0"/>
              </w:rPr>
              <w:t>8,714,987.89</w:t>
            </w:r>
          </w:p>
        </w:tc>
        <w:tc>
          <w:tcPr>
            <w:tcW w:w="0" w:type="dxa"/>
            <w:vAlign w:val="center"/>
          </w:tcPr>
          <w:p>
            <w:pPr>
              <w:spacing w:line="240" w:lineRule="auto"/>
              <w:jc w:val="right"/>
            </w:pPr>
            <w:r>
              <w:rPr>
                <w:rFonts w:ascii="宋体" w:hAnsi="宋体" w:eastAsia="宋体" w:cs="宋体"/>
                <w:b w:val="0"/>
              </w:rPr>
              <w:t>0.74</w:t>
            </w:r>
          </w:p>
        </w:tc>
      </w:tr>
    </w:tbl>
    <w:p>
      <w:r>
        <w:rPr>
          <w:rFonts w:ascii="宋体" w:hAnsi="宋体" w:eastAsia="宋体" w:cs="宋体"/>
          <w:b w:val="0"/>
        </w:rPr>
        <w:t>注：本基金本报告期末仅持有上述债券。</w:t>
      </w:r>
    </w:p>
    <w:p/>
    <w:p>
      <w:pPr>
        <w:pStyle w:val="3"/>
        <w:jc w:val="left"/>
      </w:pPr>
      <w:r>
        <w:rPr>
          <w:rFonts w:ascii="宋体" w:hAnsi="宋体" w:eastAsia="宋体" w:cs="宋体"/>
        </w:rPr>
        <w:t>5.6 报告期末按公允价值占基金资产净值比例大小排序的前十名资产支持证券投资明细</w:t>
      </w:r>
    </w:p>
    <w:p>
      <w:r>
        <w:rPr>
          <w:rFonts w:ascii="宋体" w:hAnsi="宋体" w:eastAsia="宋体" w:cs="宋体"/>
          <w:b w:val="0"/>
        </w:rPr>
        <w:t xml:space="preserve">    本基金本报告期末未持有资产支持证券。</w:t>
      </w:r>
    </w:p>
    <w:p/>
    <w:p>
      <w:pPr>
        <w:pStyle w:val="3"/>
        <w:jc w:val="left"/>
      </w:pPr>
      <w:r>
        <w:rPr>
          <w:rFonts w:ascii="宋体" w:hAnsi="宋体" w:eastAsia="宋体" w:cs="宋体"/>
        </w:rPr>
        <w:t>5.7 报告期末按公允价值占基金资产净值比例大小排序的前五名贵金属投资明细</w:t>
      </w:r>
    </w:p>
    <w:p>
      <w:r>
        <w:rPr>
          <w:rFonts w:ascii="宋体" w:hAnsi="宋体" w:eastAsia="宋体" w:cs="宋体"/>
          <w:b w:val="0"/>
        </w:rPr>
        <w:t xml:space="preserve">    本基金本报告期末未持有贵金属。</w:t>
      </w:r>
    </w:p>
    <w:p/>
    <w:p>
      <w:pPr>
        <w:pStyle w:val="3"/>
        <w:jc w:val="left"/>
      </w:pPr>
      <w:r>
        <w:rPr>
          <w:rFonts w:ascii="宋体" w:hAnsi="宋体" w:eastAsia="宋体" w:cs="宋体"/>
        </w:rPr>
        <w:t>5.8 报告期末按公允价值占基金资产净值比例大小排序的前五名权证投资明细</w:t>
      </w:r>
    </w:p>
    <w:p>
      <w:r>
        <w:rPr>
          <w:rFonts w:ascii="宋体" w:hAnsi="宋体" w:eastAsia="宋体" w:cs="宋体"/>
          <w:b w:val="0"/>
        </w:rPr>
        <w:t xml:space="preserve">    本基金本报告期末未持有权证。</w:t>
      </w:r>
    </w:p>
    <w:p/>
    <w:p>
      <w:pPr>
        <w:pStyle w:val="3"/>
        <w:jc w:val="left"/>
      </w:pPr>
      <w:r>
        <w:rPr>
          <w:rFonts w:ascii="宋体" w:hAnsi="宋体" w:eastAsia="宋体" w:cs="宋体"/>
        </w:rPr>
        <w:t>5.9 报告期末本基金投资的股指期货交易情况说明</w:t>
      </w:r>
    </w:p>
    <w:p>
      <w:r>
        <w:rPr>
          <w:rFonts w:ascii="宋体" w:hAnsi="宋体" w:eastAsia="宋体" w:cs="宋体"/>
          <w:b w:val="0"/>
        </w:rPr>
        <w:t xml:space="preserve">    本基金本报告期末未持有股指期货。</w:t>
      </w:r>
    </w:p>
    <w:p/>
    <w:p>
      <w:pPr>
        <w:pStyle w:val="3"/>
        <w:jc w:val="left"/>
      </w:pPr>
      <w:r>
        <w:rPr>
          <w:rFonts w:ascii="宋体" w:hAnsi="宋体" w:eastAsia="宋体" w:cs="宋体"/>
        </w:rPr>
        <w:t>5.10 报告期末本基金投资的国债期货交易情况说明</w:t>
      </w:r>
    </w:p>
    <w:p>
      <w:r>
        <w:rPr>
          <w:rFonts w:ascii="宋体" w:hAnsi="宋体" w:eastAsia="宋体" w:cs="宋体"/>
          <w:b w:val="0"/>
        </w:rPr>
        <w:t xml:space="preserve">    本基金本报告期末未持有国债期货。</w:t>
      </w:r>
    </w:p>
    <w:p/>
    <w:p>
      <w:pPr>
        <w:pStyle w:val="3"/>
        <w:jc w:val="left"/>
      </w:pPr>
      <w:r>
        <w:rPr>
          <w:rFonts w:ascii="宋体" w:hAnsi="宋体" w:eastAsia="宋体" w:cs="宋体"/>
        </w:rPr>
        <w:t>5.11 投资组合报告附注</w:t>
      </w:r>
    </w:p>
    <w:p>
      <w:pPr>
        <w:pStyle w:val="58"/>
      </w:pPr>
      <w:r>
        <w:rPr>
          <w:rStyle w:val="30"/>
          <w:rFonts w:ascii="宋体" w:hAnsi="宋体" w:eastAsia="宋体" w:cs="宋体"/>
          <w:b/>
        </w:rPr>
        <w:t>5.11.1 本基金投资的前十名证券的发行主体本期受到监管部门立案调查或报告编制日前一年内受到公开谴责、处罚的情形说明</w:t>
      </w:r>
    </w:p>
    <w:p>
      <w:r>
        <w:rPr>
          <w:rFonts w:ascii="宋体" w:hAnsi="宋体" w:eastAsia="宋体" w:cs="宋体"/>
          <w:b w:val="0"/>
        </w:rPr>
        <w:t xml:space="preserve">    本基金投资的前十名证券的发行主体本期未出现被监管部门立案调查，或在报告编制日前一年内受到公开谴责、处罚的情形。</w:t>
      </w:r>
    </w:p>
    <w:p/>
    <w:p>
      <w:pPr>
        <w:pStyle w:val="58"/>
      </w:pPr>
      <w:r>
        <w:rPr>
          <w:rStyle w:val="30"/>
          <w:rFonts w:ascii="宋体" w:hAnsi="宋体" w:eastAsia="宋体" w:cs="宋体"/>
          <w:b/>
        </w:rPr>
        <w:t>5.11.2 基金投资的前十名股票超出基金合同约定的备选股票库情况的说明</w:t>
      </w:r>
    </w:p>
    <w:p>
      <w:r>
        <w:rPr>
          <w:rFonts w:ascii="宋体" w:hAnsi="宋体" w:eastAsia="宋体" w:cs="宋体"/>
          <w:b w:val="0"/>
        </w:rPr>
        <w:t xml:space="preserve">    基金投资的前十名股票，均为基金合同约定备选股票库之内的股票。</w:t>
      </w:r>
    </w:p>
    <w:p/>
    <w:p>
      <w:pPr>
        <w:pStyle w:val="58"/>
      </w:pPr>
      <w:r>
        <w:rPr>
          <w:rStyle w:val="30"/>
          <w:rFonts w:ascii="宋体" w:hAnsi="宋体" w:eastAsia="宋体" w:cs="宋体"/>
          <w:b/>
        </w:rPr>
        <w:t>5.11.3 其他资产构成</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80"/>
        <w:gridCol w:w="4804"/>
        <w:gridCol w:w="32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5" w:type="pct"/>
            <w:shd w:val="clear" w:color="auto" w:fill="D9D9D9"/>
            <w:vAlign w:val="center"/>
          </w:tcPr>
          <w:p>
            <w:pPr>
              <w:spacing w:line="240" w:lineRule="auto"/>
              <w:jc w:val="center"/>
            </w:pPr>
            <w:r>
              <w:rPr>
                <w:rFonts w:ascii="宋体" w:hAnsi="宋体" w:eastAsia="宋体" w:cs="宋体"/>
                <w:b w:val="0"/>
              </w:rPr>
              <w:t>序号</w:t>
            </w:r>
          </w:p>
        </w:tc>
        <w:tc>
          <w:tcPr>
            <w:tcW w:w="2308" w:type="pct"/>
            <w:shd w:val="clear" w:color="auto" w:fill="D9D9D9"/>
            <w:vAlign w:val="center"/>
          </w:tcPr>
          <w:p>
            <w:pPr>
              <w:spacing w:line="240" w:lineRule="auto"/>
              <w:jc w:val="center"/>
            </w:pPr>
            <w:r>
              <w:rPr>
                <w:rFonts w:ascii="宋体" w:hAnsi="宋体" w:eastAsia="宋体" w:cs="宋体"/>
                <w:b w:val="0"/>
              </w:rPr>
              <w:t>名称</w:t>
            </w:r>
          </w:p>
        </w:tc>
        <w:tc>
          <w:tcPr>
            <w:tcW w:w="1538" w:type="pct"/>
            <w:shd w:val="clear" w:color="auto" w:fill="D9D9D9"/>
            <w:vAlign w:val="center"/>
          </w:tcPr>
          <w:p>
            <w:pPr>
              <w:spacing w:line="240" w:lineRule="auto"/>
              <w:jc w:val="center"/>
            </w:pPr>
            <w:r>
              <w:rPr>
                <w:rFonts w:ascii="宋体" w:hAnsi="宋体" w:eastAsia="宋体" w:cs="宋体"/>
                <w:b w:val="0"/>
              </w:rPr>
              <w:t>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w:t>
            </w:r>
          </w:p>
        </w:tc>
        <w:tc>
          <w:tcPr>
            <w:tcW w:w="0" w:type="dxa"/>
            <w:vAlign w:val="center"/>
          </w:tcPr>
          <w:p>
            <w:pPr>
              <w:spacing w:line="240" w:lineRule="auto"/>
              <w:jc w:val="left"/>
            </w:pPr>
            <w:r>
              <w:rPr>
                <w:rFonts w:ascii="宋体" w:hAnsi="宋体" w:eastAsia="宋体" w:cs="宋体"/>
                <w:b w:val="0"/>
              </w:rPr>
              <w:t>存出保证金</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2</w:t>
            </w:r>
          </w:p>
        </w:tc>
        <w:tc>
          <w:tcPr>
            <w:tcW w:w="0" w:type="dxa"/>
            <w:vAlign w:val="center"/>
          </w:tcPr>
          <w:p>
            <w:pPr>
              <w:spacing w:line="240" w:lineRule="auto"/>
              <w:jc w:val="left"/>
            </w:pPr>
            <w:r>
              <w:rPr>
                <w:rFonts w:ascii="宋体" w:hAnsi="宋体" w:eastAsia="宋体" w:cs="宋体"/>
                <w:b w:val="0"/>
              </w:rPr>
              <w:t>应收证券清算款</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3</w:t>
            </w:r>
          </w:p>
        </w:tc>
        <w:tc>
          <w:tcPr>
            <w:tcW w:w="0" w:type="dxa"/>
            <w:vAlign w:val="center"/>
          </w:tcPr>
          <w:p>
            <w:pPr>
              <w:spacing w:line="240" w:lineRule="auto"/>
              <w:jc w:val="left"/>
            </w:pPr>
            <w:r>
              <w:rPr>
                <w:rFonts w:ascii="宋体" w:hAnsi="宋体" w:eastAsia="宋体" w:cs="宋体"/>
                <w:b w:val="0"/>
              </w:rPr>
              <w:t>应收股利</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4</w:t>
            </w:r>
          </w:p>
        </w:tc>
        <w:tc>
          <w:tcPr>
            <w:tcW w:w="0" w:type="dxa"/>
            <w:vAlign w:val="center"/>
          </w:tcPr>
          <w:p>
            <w:pPr>
              <w:spacing w:line="240" w:lineRule="auto"/>
              <w:jc w:val="left"/>
            </w:pPr>
            <w:r>
              <w:rPr>
                <w:rFonts w:ascii="宋体" w:hAnsi="宋体" w:eastAsia="宋体" w:cs="宋体"/>
                <w:b w:val="0"/>
              </w:rPr>
              <w:t>应收利息</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5</w:t>
            </w:r>
          </w:p>
        </w:tc>
        <w:tc>
          <w:tcPr>
            <w:tcW w:w="0" w:type="dxa"/>
            <w:vAlign w:val="center"/>
          </w:tcPr>
          <w:p>
            <w:pPr>
              <w:spacing w:line="240" w:lineRule="auto"/>
              <w:jc w:val="left"/>
            </w:pPr>
            <w:r>
              <w:rPr>
                <w:rFonts w:ascii="宋体" w:hAnsi="宋体" w:eastAsia="宋体" w:cs="宋体"/>
                <w:b w:val="0"/>
              </w:rPr>
              <w:t>应收申购款</w:t>
            </w:r>
          </w:p>
        </w:tc>
        <w:tc>
          <w:tcPr>
            <w:tcW w:w="0" w:type="dxa"/>
            <w:vAlign w:val="center"/>
          </w:tcPr>
          <w:p>
            <w:pPr>
              <w:spacing w:line="240" w:lineRule="auto"/>
              <w:jc w:val="right"/>
            </w:pPr>
            <w:r>
              <w:rPr>
                <w:rFonts w:ascii="宋体" w:hAnsi="宋体" w:eastAsia="宋体" w:cs="宋体"/>
                <w:b w:val="0"/>
              </w:rPr>
              <w:t>17,356,523.49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6</w:t>
            </w:r>
          </w:p>
        </w:tc>
        <w:tc>
          <w:tcPr>
            <w:tcW w:w="0" w:type="dxa"/>
            <w:vAlign w:val="center"/>
          </w:tcPr>
          <w:p>
            <w:pPr>
              <w:spacing w:line="240" w:lineRule="auto"/>
              <w:jc w:val="left"/>
            </w:pPr>
            <w:r>
              <w:rPr>
                <w:rFonts w:ascii="宋体" w:hAnsi="宋体" w:eastAsia="宋体" w:cs="宋体"/>
                <w:b w:val="0"/>
              </w:rPr>
              <w:t>其他应收款</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7</w:t>
            </w:r>
          </w:p>
        </w:tc>
        <w:tc>
          <w:tcPr>
            <w:tcW w:w="0" w:type="dxa"/>
            <w:vAlign w:val="center"/>
          </w:tcPr>
          <w:p>
            <w:pPr>
              <w:spacing w:line="240" w:lineRule="auto"/>
              <w:jc w:val="left"/>
            </w:pPr>
            <w:r>
              <w:rPr>
                <w:rFonts w:ascii="宋体" w:hAnsi="宋体" w:eastAsia="宋体" w:cs="宋体"/>
                <w:b w:val="0"/>
              </w:rPr>
              <w:t>其他</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8</w:t>
            </w:r>
          </w:p>
        </w:tc>
        <w:tc>
          <w:tcPr>
            <w:tcW w:w="0" w:type="dxa"/>
            <w:vAlign w:val="center"/>
          </w:tcPr>
          <w:p>
            <w:pPr>
              <w:spacing w:line="240" w:lineRule="auto"/>
              <w:jc w:val="left"/>
            </w:pPr>
            <w:r>
              <w:rPr>
                <w:rFonts w:ascii="宋体" w:hAnsi="宋体" w:eastAsia="宋体" w:cs="宋体"/>
                <w:b w:val="0"/>
              </w:rPr>
              <w:t>合计</w:t>
            </w:r>
          </w:p>
        </w:tc>
        <w:tc>
          <w:tcPr>
            <w:tcW w:w="0" w:type="dxa"/>
            <w:vAlign w:val="center"/>
          </w:tcPr>
          <w:p>
            <w:pPr>
              <w:spacing w:line="240" w:lineRule="auto"/>
              <w:jc w:val="right"/>
            </w:pPr>
            <w:r>
              <w:rPr>
                <w:rFonts w:ascii="宋体" w:hAnsi="宋体" w:eastAsia="宋体" w:cs="宋体"/>
                <w:b w:val="0"/>
              </w:rPr>
              <w:t>17,356,523.49</w:t>
            </w:r>
          </w:p>
        </w:tc>
      </w:tr>
    </w:tbl>
    <w:p/>
    <w:p>
      <w:pPr>
        <w:pStyle w:val="58"/>
      </w:pPr>
      <w:r>
        <w:rPr>
          <w:rStyle w:val="30"/>
          <w:rFonts w:ascii="宋体" w:hAnsi="宋体" w:eastAsia="宋体" w:cs="宋体"/>
          <w:b/>
        </w:rPr>
        <w:t>5.11.4 报告期末持有的处于转股期的可转换债券明细</w:t>
      </w:r>
    </w:p>
    <w:p>
      <w:r>
        <w:rPr>
          <w:rFonts w:ascii="宋体" w:hAnsi="宋体" w:eastAsia="宋体" w:cs="宋体"/>
          <w:b w:val="0"/>
        </w:rPr>
        <w:t xml:space="preserve">    本基金本报告期末未持有处于转股期的可转换债券。</w:t>
      </w:r>
    </w:p>
    <w:p/>
    <w:p>
      <w:pPr>
        <w:pStyle w:val="58"/>
      </w:pPr>
      <w:r>
        <w:rPr>
          <w:rStyle w:val="30"/>
          <w:rFonts w:ascii="宋体" w:hAnsi="宋体" w:eastAsia="宋体" w:cs="宋体"/>
          <w:b/>
        </w:rPr>
        <w:t>5.11.5 报告期末前十名股票中存在流通受限情况的说明</w:t>
      </w:r>
    </w:p>
    <w:p>
      <w:r>
        <w:rPr>
          <w:rFonts w:ascii="宋体" w:hAnsi="宋体" w:eastAsia="宋体" w:cs="宋体"/>
          <w:b w:val="0"/>
        </w:rPr>
        <w:t xml:space="preserve">    本基金本报告期末前十名股票中不存在流通受限的情况。</w:t>
      </w:r>
    </w:p>
    <w:p/>
    <w:p>
      <w:pPr>
        <w:pStyle w:val="58"/>
      </w:pPr>
      <w:r>
        <w:rPr>
          <w:rStyle w:val="30"/>
          <w:rFonts w:ascii="宋体" w:hAnsi="宋体" w:eastAsia="宋体" w:cs="宋体"/>
          <w:b/>
        </w:rPr>
        <w:t>5.11.6 投资组合报告附注的其他文字描述部分</w:t>
      </w:r>
    </w:p>
    <w:p>
      <w:r>
        <w:rPr>
          <w:rFonts w:ascii="宋体" w:hAnsi="宋体" w:eastAsia="宋体" w:cs="宋体"/>
          <w:b w:val="0"/>
        </w:rPr>
        <w:t xml:space="preserve">    由于四舍五入原因，分项之和与合计项之间可能存在尾差。</w:t>
      </w:r>
    </w:p>
    <w:p>
      <w:pPr>
        <w:pStyle w:val="2"/>
        <w:jc w:val="center"/>
      </w:pPr>
      <w:r>
        <w:rPr>
          <w:rFonts w:ascii="宋体" w:hAnsi="宋体" w:eastAsia="宋体" w:cs="宋体"/>
        </w:rPr>
        <w:t>§6 开放式基金份额变动</w:t>
      </w:r>
    </w:p>
    <w:p>
      <w:pPr>
        <w:jc w:val="right"/>
      </w:pPr>
      <w:r>
        <w:rPr>
          <w:rFonts w:ascii="宋体" w:hAnsi="宋体" w:eastAsia="宋体" w:cs="宋体"/>
          <w:b w:val="0"/>
        </w:rPr>
        <w:t>单位：份</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66"/>
        <w:gridCol w:w="2460"/>
        <w:gridCol w:w="24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8" w:type="pct"/>
            <w:vAlign w:val="center"/>
          </w:tcPr>
          <w:p>
            <w:pPr>
              <w:spacing w:line="240" w:lineRule="auto"/>
              <w:jc w:val="center"/>
            </w:pPr>
          </w:p>
        </w:tc>
        <w:tc>
          <w:tcPr>
            <w:tcW w:w="1300" w:type="pct"/>
            <w:vAlign w:val="center"/>
          </w:tcPr>
          <w:p>
            <w:pPr>
              <w:spacing w:line="240" w:lineRule="auto"/>
              <w:jc w:val="center"/>
            </w:pPr>
            <w:r>
              <w:rPr>
                <w:rFonts w:ascii="宋体" w:hAnsi="宋体" w:eastAsia="宋体" w:cs="宋体"/>
                <w:b w:val="0"/>
              </w:rPr>
              <w:t>东方阿尔法科技优选混合发起A</w:t>
            </w:r>
          </w:p>
        </w:tc>
        <w:tc>
          <w:tcPr>
            <w:tcW w:w="1300" w:type="pct"/>
            <w:vAlign w:val="center"/>
          </w:tcPr>
          <w:p>
            <w:pPr>
              <w:spacing w:line="240" w:lineRule="auto"/>
              <w:jc w:val="center"/>
            </w:pPr>
            <w:r>
              <w:rPr>
                <w:rFonts w:ascii="宋体" w:hAnsi="宋体" w:eastAsia="宋体" w:cs="宋体"/>
                <w:b w:val="0"/>
              </w:rPr>
              <w:t>东方阿尔法科技优选混合发起C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1" w:type="dxa"/>
            <w:vAlign w:val="center"/>
          </w:tcPr>
          <w:p>
            <w:pPr>
              <w:spacing w:line="240" w:lineRule="auto"/>
              <w:jc w:val="left"/>
            </w:pPr>
            <w:r>
              <w:rPr>
                <w:rFonts w:ascii="宋体" w:hAnsi="宋体" w:eastAsia="宋体" w:cs="宋体"/>
                <w:b w:val="0"/>
              </w:rPr>
              <w:t>报告期期初基金份额总额</w:t>
            </w:r>
          </w:p>
        </w:tc>
        <w:tc>
          <w:tcPr>
            <w:tcW w:w="1300" w:type="pct"/>
            <w:vAlign w:val="center"/>
          </w:tcPr>
          <w:p>
            <w:pPr>
              <w:spacing w:line="240" w:lineRule="auto"/>
              <w:jc w:val="right"/>
            </w:pPr>
            <w:r>
              <w:rPr>
                <w:rFonts w:ascii="宋体" w:hAnsi="宋体" w:eastAsia="宋体" w:cs="宋体"/>
                <w:b w:val="0"/>
              </w:rPr>
              <w:t>35,990,901.20</w:t>
            </w:r>
          </w:p>
        </w:tc>
        <w:tc>
          <w:tcPr>
            <w:tcW w:w="1300" w:type="pct"/>
            <w:vAlign w:val="center"/>
          </w:tcPr>
          <w:p>
            <w:pPr>
              <w:spacing w:line="240" w:lineRule="auto"/>
              <w:jc w:val="right"/>
            </w:pPr>
            <w:r>
              <w:rPr>
                <w:rFonts w:ascii="宋体" w:hAnsi="宋体" w:eastAsia="宋体" w:cs="宋体"/>
                <w:b w:val="0"/>
              </w:rPr>
              <w:t>345,367,346.57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1" w:type="dxa"/>
            <w:vAlign w:val="center"/>
          </w:tcPr>
          <w:p>
            <w:pPr>
              <w:spacing w:line="240" w:lineRule="auto"/>
              <w:jc w:val="left"/>
            </w:pPr>
            <w:r>
              <w:rPr>
                <w:rFonts w:ascii="宋体" w:hAnsi="宋体" w:eastAsia="宋体" w:cs="宋体"/>
                <w:b w:val="0"/>
              </w:rPr>
              <w:t>报告期期间基金总申购份额</w:t>
            </w:r>
          </w:p>
        </w:tc>
        <w:tc>
          <w:tcPr>
            <w:tcW w:w="1300" w:type="pct"/>
            <w:vAlign w:val="center"/>
          </w:tcPr>
          <w:p>
            <w:pPr>
              <w:spacing w:line="240" w:lineRule="auto"/>
              <w:jc w:val="right"/>
            </w:pPr>
            <w:r>
              <w:rPr>
                <w:rFonts w:ascii="宋体" w:hAnsi="宋体" w:eastAsia="宋体" w:cs="宋体"/>
                <w:b w:val="0"/>
              </w:rPr>
              <w:t>74,532,605.61</w:t>
            </w:r>
          </w:p>
        </w:tc>
        <w:tc>
          <w:tcPr>
            <w:tcW w:w="1300" w:type="pct"/>
            <w:vAlign w:val="center"/>
          </w:tcPr>
          <w:p>
            <w:pPr>
              <w:spacing w:line="240" w:lineRule="auto"/>
              <w:jc w:val="right"/>
            </w:pPr>
            <w:r>
              <w:rPr>
                <w:rFonts w:ascii="宋体" w:hAnsi="宋体" w:eastAsia="宋体" w:cs="宋体"/>
                <w:b w:val="0"/>
              </w:rPr>
              <w:t>1,446,324,580.84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1" w:type="dxa"/>
            <w:vAlign w:val="center"/>
          </w:tcPr>
          <w:p>
            <w:pPr>
              <w:spacing w:line="240" w:lineRule="auto"/>
              <w:jc w:val="left"/>
            </w:pPr>
            <w:r>
              <w:rPr>
                <w:rFonts w:ascii="宋体" w:hAnsi="宋体" w:eastAsia="宋体" w:cs="宋体"/>
                <w:b w:val="0"/>
              </w:rPr>
              <w:t>减：报告期期间基金总赎回份额</w:t>
            </w:r>
          </w:p>
        </w:tc>
        <w:tc>
          <w:tcPr>
            <w:tcW w:w="1300" w:type="pct"/>
            <w:vAlign w:val="center"/>
          </w:tcPr>
          <w:p>
            <w:pPr>
              <w:spacing w:line="240" w:lineRule="auto"/>
              <w:jc w:val="right"/>
            </w:pPr>
            <w:r>
              <w:rPr>
                <w:rFonts w:ascii="宋体" w:hAnsi="宋体" w:eastAsia="宋体" w:cs="宋体"/>
                <w:b w:val="0"/>
              </w:rPr>
              <w:t>59,083,608.55</w:t>
            </w:r>
          </w:p>
        </w:tc>
        <w:tc>
          <w:tcPr>
            <w:tcW w:w="1300" w:type="pct"/>
            <w:vAlign w:val="center"/>
          </w:tcPr>
          <w:p>
            <w:pPr>
              <w:spacing w:line="240" w:lineRule="auto"/>
              <w:jc w:val="right"/>
            </w:pPr>
            <w:r>
              <w:rPr>
                <w:rFonts w:ascii="宋体" w:hAnsi="宋体" w:eastAsia="宋体" w:cs="宋体"/>
                <w:b w:val="0"/>
              </w:rPr>
              <w:t>1,177,954,376.80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1" w:type="dxa"/>
            <w:vAlign w:val="center"/>
          </w:tcPr>
          <w:p>
            <w:pPr>
              <w:spacing w:line="240" w:lineRule="auto"/>
              <w:jc w:val="left"/>
            </w:pPr>
            <w:r>
              <w:rPr>
                <w:rFonts w:ascii="宋体" w:hAnsi="宋体" w:eastAsia="宋体" w:cs="宋体"/>
                <w:b w:val="0"/>
              </w:rPr>
              <w:t>报告期期间基金拆分变动份额（份额减少以“-”填列）</w:t>
            </w:r>
          </w:p>
        </w:tc>
        <w:tc>
          <w:tcPr>
            <w:tcW w:w="1300" w:type="pct"/>
            <w:vAlign w:val="center"/>
          </w:tcPr>
          <w:p>
            <w:pPr>
              <w:spacing w:line="240" w:lineRule="auto"/>
              <w:jc w:val="right"/>
            </w:pPr>
            <w:r>
              <w:rPr>
                <w:rFonts w:ascii="宋体" w:hAnsi="宋体" w:eastAsia="宋体" w:cs="宋体"/>
                <w:b w:val="0"/>
              </w:rPr>
              <w:t>-</w:t>
            </w:r>
          </w:p>
        </w:tc>
        <w:tc>
          <w:tcPr>
            <w:tcW w:w="1300" w:type="pct"/>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1" w:type="dxa"/>
            <w:vAlign w:val="center"/>
          </w:tcPr>
          <w:p>
            <w:pPr>
              <w:spacing w:line="240" w:lineRule="auto"/>
              <w:jc w:val="left"/>
            </w:pPr>
            <w:r>
              <w:rPr>
                <w:rFonts w:ascii="宋体" w:hAnsi="宋体" w:eastAsia="宋体" w:cs="宋体"/>
                <w:b w:val="0"/>
              </w:rPr>
              <w:t>报告期期末基金份额总额</w:t>
            </w:r>
          </w:p>
        </w:tc>
        <w:tc>
          <w:tcPr>
            <w:tcW w:w="1300" w:type="pct"/>
            <w:vAlign w:val="center"/>
          </w:tcPr>
          <w:p>
            <w:pPr>
              <w:spacing w:line="240" w:lineRule="auto"/>
              <w:jc w:val="right"/>
            </w:pPr>
            <w:r>
              <w:rPr>
                <w:rFonts w:ascii="宋体" w:hAnsi="宋体" w:eastAsia="宋体" w:cs="宋体"/>
                <w:b w:val="0"/>
              </w:rPr>
              <w:t>51,439,898.26</w:t>
            </w:r>
          </w:p>
        </w:tc>
        <w:tc>
          <w:tcPr>
            <w:tcW w:w="1300" w:type="pct"/>
            <w:vAlign w:val="center"/>
          </w:tcPr>
          <w:p>
            <w:pPr>
              <w:spacing w:line="240" w:lineRule="auto"/>
              <w:jc w:val="right"/>
            </w:pPr>
            <w:r>
              <w:rPr>
                <w:rFonts w:ascii="宋体" w:hAnsi="宋体" w:eastAsia="宋体" w:cs="宋体"/>
                <w:b w:val="0"/>
              </w:rPr>
              <w:t>613,737,550.61</w:t>
            </w:r>
          </w:p>
        </w:tc>
      </w:tr>
    </w:tbl>
    <w:p>
      <w:pPr>
        <w:pStyle w:val="2"/>
        <w:spacing w:line="240" w:lineRule="auto"/>
        <w:jc w:val="center"/>
      </w:pPr>
      <w:r>
        <w:rPr>
          <w:rFonts w:ascii="宋体" w:hAnsi="宋体" w:eastAsia="宋体" w:cs="宋体"/>
        </w:rPr>
        <w:t>§7 基金管理人运用固有资金投资本基金情况</w:t>
      </w:r>
    </w:p>
    <w:p>
      <w:pPr>
        <w:pStyle w:val="3"/>
        <w:jc w:val="left"/>
      </w:pPr>
      <w:r>
        <w:rPr>
          <w:rFonts w:ascii="宋体" w:hAnsi="宋体" w:eastAsia="宋体" w:cs="宋体"/>
        </w:rPr>
        <w:t>7.1 基金管理人持有本基金份额变动情况</w:t>
      </w:r>
    </w:p>
    <w:p>
      <w:r>
        <w:rPr>
          <w:rFonts w:ascii="宋体" w:hAnsi="宋体" w:eastAsia="宋体" w:cs="宋体"/>
          <w:b w:val="0"/>
        </w:rPr>
        <w:t xml:space="preserve">    截至本报告期末，本基金管理人未持有本基金份额。</w:t>
      </w:r>
    </w:p>
    <w:p/>
    <w:p>
      <w:pPr>
        <w:pStyle w:val="3"/>
        <w:jc w:val="left"/>
      </w:pPr>
      <w:r>
        <w:rPr>
          <w:rFonts w:ascii="宋体" w:hAnsi="宋体" w:eastAsia="宋体" w:cs="宋体"/>
        </w:rPr>
        <w:t>7.2 基金管理人运用固有资金投资本基金交易明细</w:t>
      </w:r>
    </w:p>
    <w:p>
      <w:r>
        <w:rPr>
          <w:rFonts w:ascii="宋体" w:hAnsi="宋体" w:eastAsia="宋体" w:cs="宋体"/>
          <w:b w:val="0"/>
        </w:rPr>
        <w:t xml:space="preserve">    本报告期内，本基金管理人未运用固有资金投资本基金。</w:t>
      </w:r>
    </w:p>
    <w:p>
      <w:pPr>
        <w:pStyle w:val="2"/>
        <w:spacing w:line="240" w:lineRule="auto"/>
        <w:jc w:val="center"/>
      </w:pPr>
      <w:r>
        <w:rPr>
          <w:rFonts w:ascii="宋体" w:hAnsi="宋体" w:eastAsia="宋体" w:cs="宋体"/>
        </w:rPr>
        <w:t>§8 报告期末发起式基金发起资金持有份额情况</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10"/>
        <w:gridCol w:w="1581"/>
        <w:gridCol w:w="1138"/>
        <w:gridCol w:w="1581"/>
        <w:gridCol w:w="1138"/>
        <w:gridCol w:w="11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8" w:type="pct"/>
            <w:shd w:val="clear" w:color="auto" w:fill="D9D9D9"/>
            <w:vAlign w:val="center"/>
          </w:tcPr>
          <w:p>
            <w:pPr>
              <w:spacing w:line="240" w:lineRule="auto"/>
              <w:jc w:val="center"/>
            </w:pPr>
            <w:r>
              <w:rPr>
                <w:rFonts w:ascii="宋体" w:hAnsi="宋体" w:eastAsia="宋体" w:cs="宋体"/>
                <w:b w:val="0"/>
              </w:rPr>
              <w:t>项目</w:t>
            </w:r>
          </w:p>
        </w:tc>
        <w:tc>
          <w:tcPr>
            <w:tcW w:w="692" w:type="pct"/>
            <w:shd w:val="clear" w:color="auto" w:fill="D9D9D9"/>
            <w:vAlign w:val="center"/>
          </w:tcPr>
          <w:p>
            <w:pPr>
              <w:spacing w:line="240" w:lineRule="auto"/>
              <w:jc w:val="center"/>
            </w:pPr>
            <w:r>
              <w:rPr>
                <w:rFonts w:ascii="宋体" w:hAnsi="宋体" w:eastAsia="宋体" w:cs="宋体"/>
                <w:b w:val="0"/>
              </w:rPr>
              <w:t>持有份额总数</w:t>
            </w:r>
          </w:p>
        </w:tc>
        <w:tc>
          <w:tcPr>
            <w:tcW w:w="692" w:type="pct"/>
            <w:shd w:val="clear" w:color="auto" w:fill="D9D9D9"/>
            <w:vAlign w:val="center"/>
          </w:tcPr>
          <w:p>
            <w:pPr>
              <w:spacing w:line="240" w:lineRule="auto"/>
              <w:jc w:val="center"/>
            </w:pPr>
            <w:r>
              <w:rPr>
                <w:rFonts w:ascii="宋体" w:hAnsi="宋体" w:eastAsia="宋体" w:cs="宋体"/>
                <w:b w:val="0"/>
              </w:rPr>
              <w:t>持有份额占基金总份额比例</w:t>
            </w:r>
          </w:p>
        </w:tc>
        <w:tc>
          <w:tcPr>
            <w:tcW w:w="692" w:type="pct"/>
            <w:shd w:val="clear" w:color="auto" w:fill="D9D9D9"/>
            <w:vAlign w:val="center"/>
          </w:tcPr>
          <w:p>
            <w:pPr>
              <w:spacing w:line="240" w:lineRule="auto"/>
              <w:jc w:val="center"/>
            </w:pPr>
            <w:r>
              <w:rPr>
                <w:rFonts w:ascii="宋体" w:hAnsi="宋体" w:eastAsia="宋体" w:cs="宋体"/>
                <w:b w:val="0"/>
              </w:rPr>
              <w:t>发起份额总数</w:t>
            </w:r>
          </w:p>
        </w:tc>
        <w:tc>
          <w:tcPr>
            <w:tcW w:w="692" w:type="pct"/>
            <w:shd w:val="clear" w:color="auto" w:fill="D9D9D9"/>
            <w:vAlign w:val="center"/>
          </w:tcPr>
          <w:p>
            <w:pPr>
              <w:spacing w:line="240" w:lineRule="auto"/>
              <w:jc w:val="center"/>
            </w:pPr>
            <w:r>
              <w:rPr>
                <w:rFonts w:ascii="宋体" w:hAnsi="宋体" w:eastAsia="宋体" w:cs="宋体"/>
                <w:b w:val="0"/>
              </w:rPr>
              <w:t>发起份额占基金总份额比例</w:t>
            </w:r>
          </w:p>
        </w:tc>
        <w:tc>
          <w:tcPr>
            <w:tcW w:w="692" w:type="pct"/>
            <w:shd w:val="clear" w:color="auto" w:fill="D9D9D9"/>
            <w:vAlign w:val="center"/>
          </w:tcPr>
          <w:p>
            <w:pPr>
              <w:spacing w:line="240" w:lineRule="auto"/>
              <w:jc w:val="center"/>
            </w:pPr>
            <w:r>
              <w:rPr>
                <w:rFonts w:ascii="宋体" w:hAnsi="宋体" w:eastAsia="宋体" w:cs="宋体"/>
                <w:b w:val="0"/>
              </w:rPr>
              <w:t>发起份额承诺持有期限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基金管理人固有资金</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lef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基金管理人高级管理人员</w:t>
            </w:r>
          </w:p>
        </w:tc>
        <w:tc>
          <w:tcPr>
            <w:tcW w:w="0" w:type="dxa"/>
            <w:vAlign w:val="center"/>
          </w:tcPr>
          <w:p>
            <w:pPr>
              <w:spacing w:line="240" w:lineRule="auto"/>
              <w:jc w:val="right"/>
            </w:pPr>
            <w:r>
              <w:rPr>
                <w:rFonts w:ascii="宋体" w:hAnsi="宋体" w:eastAsia="宋体" w:cs="宋体"/>
                <w:b w:val="0"/>
              </w:rPr>
              <w:t>10,000,388.92</w:t>
            </w:r>
          </w:p>
        </w:tc>
        <w:tc>
          <w:tcPr>
            <w:tcW w:w="0" w:type="dxa"/>
            <w:vAlign w:val="center"/>
          </w:tcPr>
          <w:p>
            <w:pPr>
              <w:spacing w:line="240" w:lineRule="auto"/>
              <w:jc w:val="right"/>
            </w:pPr>
            <w:r>
              <w:rPr>
                <w:rFonts w:ascii="宋体" w:hAnsi="宋体" w:eastAsia="宋体" w:cs="宋体"/>
                <w:b w:val="0"/>
              </w:rPr>
              <w:t>1.50%</w:t>
            </w:r>
          </w:p>
        </w:tc>
        <w:tc>
          <w:tcPr>
            <w:tcW w:w="0" w:type="dxa"/>
            <w:vAlign w:val="center"/>
          </w:tcPr>
          <w:p>
            <w:pPr>
              <w:spacing w:line="240" w:lineRule="auto"/>
              <w:jc w:val="right"/>
            </w:pPr>
            <w:r>
              <w:rPr>
                <w:rFonts w:ascii="宋体" w:hAnsi="宋体" w:eastAsia="宋体" w:cs="宋体"/>
                <w:b w:val="0"/>
              </w:rPr>
              <w:t>10,000,388.92</w:t>
            </w:r>
          </w:p>
        </w:tc>
        <w:tc>
          <w:tcPr>
            <w:tcW w:w="0" w:type="dxa"/>
            <w:vAlign w:val="center"/>
          </w:tcPr>
          <w:p>
            <w:pPr>
              <w:spacing w:line="240" w:lineRule="auto"/>
              <w:jc w:val="right"/>
            </w:pPr>
            <w:r>
              <w:rPr>
                <w:rFonts w:ascii="宋体" w:hAnsi="宋体" w:eastAsia="宋体" w:cs="宋体"/>
                <w:b w:val="0"/>
              </w:rPr>
              <w:t>1.50%</w:t>
            </w:r>
          </w:p>
        </w:tc>
        <w:tc>
          <w:tcPr>
            <w:tcW w:w="0" w:type="dxa"/>
            <w:vAlign w:val="center"/>
          </w:tcPr>
          <w:p>
            <w:pPr>
              <w:spacing w:line="240" w:lineRule="auto"/>
              <w:jc w:val="left"/>
            </w:pPr>
            <w:r>
              <w:rPr>
                <w:rFonts w:ascii="宋体" w:hAnsi="宋体" w:eastAsia="宋体" w:cs="宋体"/>
                <w:b w:val="0"/>
              </w:rPr>
              <w:t>自合同生效之日起不少于3年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基金经理等人员</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lef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基金管理人股东</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lef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其他</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lef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合计</w:t>
            </w:r>
          </w:p>
        </w:tc>
        <w:tc>
          <w:tcPr>
            <w:tcW w:w="0" w:type="dxa"/>
            <w:vAlign w:val="center"/>
          </w:tcPr>
          <w:p>
            <w:pPr>
              <w:spacing w:line="240" w:lineRule="auto"/>
              <w:jc w:val="right"/>
            </w:pPr>
            <w:r>
              <w:rPr>
                <w:rFonts w:ascii="宋体" w:hAnsi="宋体" w:eastAsia="宋体" w:cs="宋体"/>
                <w:b w:val="0"/>
              </w:rPr>
              <w:t>10,000,388.92</w:t>
            </w:r>
          </w:p>
        </w:tc>
        <w:tc>
          <w:tcPr>
            <w:tcW w:w="0" w:type="dxa"/>
            <w:vAlign w:val="center"/>
          </w:tcPr>
          <w:p>
            <w:pPr>
              <w:spacing w:line="240" w:lineRule="auto"/>
              <w:jc w:val="right"/>
            </w:pPr>
            <w:r>
              <w:rPr>
                <w:rFonts w:ascii="宋体" w:hAnsi="宋体" w:eastAsia="宋体" w:cs="宋体"/>
                <w:b w:val="0"/>
              </w:rPr>
              <w:t>1.50%</w:t>
            </w:r>
          </w:p>
        </w:tc>
        <w:tc>
          <w:tcPr>
            <w:tcW w:w="0" w:type="dxa"/>
            <w:vAlign w:val="center"/>
          </w:tcPr>
          <w:p>
            <w:pPr>
              <w:spacing w:line="240" w:lineRule="auto"/>
              <w:jc w:val="right"/>
            </w:pPr>
            <w:r>
              <w:rPr>
                <w:rFonts w:ascii="宋体" w:hAnsi="宋体" w:eastAsia="宋体" w:cs="宋体"/>
                <w:b w:val="0"/>
              </w:rPr>
              <w:t>10,000,388.92</w:t>
            </w:r>
          </w:p>
        </w:tc>
        <w:tc>
          <w:tcPr>
            <w:tcW w:w="0" w:type="dxa"/>
            <w:vAlign w:val="center"/>
          </w:tcPr>
          <w:p>
            <w:pPr>
              <w:spacing w:line="240" w:lineRule="auto"/>
              <w:jc w:val="right"/>
            </w:pPr>
            <w:r>
              <w:rPr>
                <w:rFonts w:ascii="宋体" w:hAnsi="宋体" w:eastAsia="宋体" w:cs="宋体"/>
                <w:b w:val="0"/>
              </w:rPr>
              <w:t>1.50%</w:t>
            </w:r>
          </w:p>
        </w:tc>
        <w:tc>
          <w:tcPr>
            <w:tcW w:w="0" w:type="dxa"/>
            <w:vAlign w:val="center"/>
          </w:tcPr>
          <w:p>
            <w:pPr>
              <w:spacing w:line="240" w:lineRule="auto"/>
              <w:jc w:val="left"/>
            </w:pPr>
            <w:r>
              <w:rPr>
                <w:rFonts w:ascii="宋体" w:hAnsi="宋体" w:eastAsia="宋体" w:cs="宋体"/>
                <w:b w:val="0"/>
              </w:rPr>
              <w:t>-</w:t>
            </w:r>
          </w:p>
        </w:tc>
      </w:tr>
    </w:tbl>
    <w:p>
      <w:pPr>
        <w:pStyle w:val="2"/>
        <w:jc w:val="center"/>
      </w:pPr>
      <w:r>
        <w:rPr>
          <w:rFonts w:ascii="宋体" w:hAnsi="宋体" w:eastAsia="宋体" w:cs="宋体"/>
        </w:rPr>
        <w:t>§9 影响投资者决策的其他重要信息</w:t>
      </w:r>
    </w:p>
    <w:p>
      <w:pPr>
        <w:pStyle w:val="3"/>
        <w:jc w:val="left"/>
      </w:pPr>
      <w:r>
        <w:rPr>
          <w:rFonts w:ascii="宋体" w:hAnsi="宋体" w:eastAsia="宋体" w:cs="宋体"/>
        </w:rPr>
        <w:t>9.1 报告期内单一投资者持有基金份额比例达到或超过20%的情况</w:t>
      </w:r>
    </w:p>
    <w:p>
      <w:r>
        <w:rPr>
          <w:rFonts w:ascii="宋体" w:hAnsi="宋体" w:eastAsia="宋体" w:cs="宋体"/>
          <w:b w:val="0"/>
        </w:rPr>
        <w:t xml:space="preserve">    本报告期内，本基金不存在单一投资者持有基金份额比例达到或超过20%的情况。</w:t>
      </w:r>
    </w:p>
    <w:p/>
    <w:p>
      <w:pPr>
        <w:pStyle w:val="3"/>
        <w:jc w:val="left"/>
      </w:pPr>
      <w:r>
        <w:rPr>
          <w:rFonts w:ascii="宋体" w:hAnsi="宋体" w:eastAsia="宋体" w:cs="宋体"/>
        </w:rPr>
        <w:t>9.2 影响投资者决策的其他重要信息</w:t>
      </w:r>
    </w:p>
    <w:p>
      <w:r>
        <w:rPr>
          <w:rFonts w:ascii="宋体" w:hAnsi="宋体" w:eastAsia="宋体" w:cs="宋体"/>
          <w:b w:val="0"/>
        </w:rPr>
        <w:t xml:space="preserve">    本报告期内，中信银行资产托管部总经理王坚已在监管部门完成高管任职资格备案，取得正式任职资格。</w:t>
      </w:r>
    </w:p>
    <w:p>
      <w:pPr>
        <w:pStyle w:val="2"/>
        <w:spacing w:line="240" w:lineRule="auto"/>
        <w:jc w:val="center"/>
      </w:pPr>
      <w:r>
        <w:rPr>
          <w:rFonts w:ascii="宋体" w:hAnsi="宋体" w:eastAsia="宋体" w:cs="宋体"/>
        </w:rPr>
        <w:t>§10 备查文件目录</w:t>
      </w:r>
    </w:p>
    <w:p>
      <w:pPr>
        <w:pStyle w:val="3"/>
        <w:jc w:val="left"/>
      </w:pPr>
      <w:r>
        <w:rPr>
          <w:rFonts w:ascii="宋体" w:hAnsi="宋体" w:eastAsia="宋体" w:cs="宋体"/>
        </w:rPr>
        <w:t>10.1 备查文件目录</w:t>
      </w:r>
    </w:p>
    <w:p>
      <w:r>
        <w:rPr>
          <w:rFonts w:ascii="宋体" w:hAnsi="宋体" w:eastAsia="宋体" w:cs="宋体"/>
          <w:b w:val="0"/>
        </w:rPr>
        <w:t xml:space="preserve">    1、中国证券监督管理委员会批准的东方阿尔法科技优选混合型发起式证券投资基金设立的文件；</w:t>
      </w:r>
      <w:r>
        <w:rPr>
          <w:rFonts w:ascii="宋体" w:hAnsi="宋体" w:eastAsia="宋体" w:cs="宋体"/>
          <w:b w:val="0"/>
        </w:rPr>
        <w:br w:type="textWrapping"/>
      </w:r>
      <w:r>
        <w:rPr>
          <w:rFonts w:ascii="宋体" w:hAnsi="宋体" w:eastAsia="宋体" w:cs="宋体"/>
          <w:b w:val="0"/>
        </w:rPr>
        <w:t xml:space="preserve">    2、《东方阿尔法科技优选混合型发起式证券投资基金基金合同》；</w:t>
      </w:r>
      <w:r>
        <w:rPr>
          <w:rFonts w:ascii="宋体" w:hAnsi="宋体" w:eastAsia="宋体" w:cs="宋体"/>
          <w:b w:val="0"/>
        </w:rPr>
        <w:br w:type="textWrapping"/>
      </w:r>
      <w:r>
        <w:rPr>
          <w:rFonts w:ascii="宋体" w:hAnsi="宋体" w:eastAsia="宋体" w:cs="宋体"/>
          <w:b w:val="0"/>
        </w:rPr>
        <w:t xml:space="preserve">    3、《东方阿尔法科技优选混合型发起式证券投资基金托管协议》；</w:t>
      </w:r>
      <w:r>
        <w:rPr>
          <w:rFonts w:ascii="宋体" w:hAnsi="宋体" w:eastAsia="宋体" w:cs="宋体"/>
          <w:b w:val="0"/>
        </w:rPr>
        <w:br w:type="textWrapping"/>
      </w:r>
      <w:r>
        <w:rPr>
          <w:rFonts w:ascii="宋体" w:hAnsi="宋体" w:eastAsia="宋体" w:cs="宋体"/>
          <w:b w:val="0"/>
        </w:rPr>
        <w:t xml:space="preserve">    4、《东方阿尔法科技优选混合型发起式证券投资基金招募说明书》（含更新）；</w:t>
      </w:r>
      <w:r>
        <w:rPr>
          <w:rFonts w:ascii="宋体" w:hAnsi="宋体" w:eastAsia="宋体" w:cs="宋体"/>
          <w:b w:val="0"/>
        </w:rPr>
        <w:br w:type="textWrapping"/>
      </w:r>
      <w:r>
        <w:rPr>
          <w:rFonts w:ascii="宋体" w:hAnsi="宋体" w:eastAsia="宋体" w:cs="宋体"/>
          <w:b w:val="0"/>
        </w:rPr>
        <w:t xml:space="preserve">    5、基金管理人业务资格批件和营业执照。</w:t>
      </w:r>
    </w:p>
    <w:p/>
    <w:p>
      <w:pPr>
        <w:pStyle w:val="3"/>
        <w:jc w:val="left"/>
      </w:pPr>
      <w:r>
        <w:rPr>
          <w:rFonts w:ascii="宋体" w:hAnsi="宋体" w:eastAsia="宋体" w:cs="宋体"/>
        </w:rPr>
        <w:t>10.2 存放地点</w:t>
      </w:r>
    </w:p>
    <w:p>
      <w:r>
        <w:rPr>
          <w:rFonts w:ascii="宋体" w:hAnsi="宋体" w:eastAsia="宋体" w:cs="宋体"/>
          <w:b w:val="0"/>
        </w:rPr>
        <w:t xml:space="preserve">    广东省深圳市深南大道6008号深圳特区报业大厦23BC。</w:t>
      </w:r>
    </w:p>
    <w:p/>
    <w:p>
      <w:pPr>
        <w:pStyle w:val="3"/>
        <w:jc w:val="left"/>
      </w:pPr>
      <w:r>
        <w:rPr>
          <w:rFonts w:ascii="宋体" w:hAnsi="宋体" w:eastAsia="宋体" w:cs="宋体"/>
        </w:rPr>
        <w:t>10.3 查阅方式</w:t>
      </w:r>
    </w:p>
    <w:p>
      <w:r>
        <w:rPr>
          <w:rFonts w:ascii="宋体" w:hAnsi="宋体" w:eastAsia="宋体" w:cs="宋体"/>
          <w:b w:val="0"/>
        </w:rPr>
        <w:t xml:space="preserve">    1、投资者可在营业时间免费查阅，也可按工本费购买复印件。</w:t>
      </w:r>
      <w:r>
        <w:rPr>
          <w:rFonts w:ascii="宋体" w:hAnsi="宋体" w:eastAsia="宋体" w:cs="宋体"/>
          <w:b w:val="0"/>
        </w:rPr>
        <w:br w:type="textWrapping"/>
      </w:r>
      <w:r>
        <w:rPr>
          <w:rFonts w:ascii="宋体" w:hAnsi="宋体" w:eastAsia="宋体" w:cs="宋体"/>
          <w:b w:val="0"/>
        </w:rPr>
        <w:t xml:space="preserve">    2、投资者对本报告书如有疑问，可咨询本基金管理人东方阿尔法基金管理有限公司，客户服务电话：400-930-6677（免长途话费）。</w:t>
      </w:r>
      <w:r>
        <w:rPr>
          <w:rFonts w:ascii="宋体" w:hAnsi="宋体" w:eastAsia="宋体" w:cs="宋体"/>
          <w:b w:val="0"/>
        </w:rPr>
        <w:br w:type="textWrapping"/>
      </w:r>
      <w:r>
        <w:rPr>
          <w:rFonts w:ascii="宋体" w:hAnsi="宋体" w:eastAsia="宋体" w:cs="宋体"/>
          <w:b w:val="0"/>
        </w:rPr>
        <w:t xml:space="preserve">    3、投资者可通过中国证监会基金电子披露网站（http://eid.csrc.gov.cn/fund/）和基金管理人网站（https://www.dfa66.com）查阅本报告书。</w:t>
      </w:r>
    </w:p>
    <w:p>
      <w:bookmarkStart w:id="1" w:name="_GoBack"/>
      <w:bookmarkEnd w:id="1"/>
    </w:p>
    <w:p/>
    <w:p>
      <w:pPr>
        <w:jc w:val="right"/>
      </w:pPr>
      <w:r>
        <w:rPr>
          <w:rFonts w:ascii="宋体" w:hAnsi="宋体" w:eastAsia="宋体" w:cs="宋体"/>
          <w:b/>
        </w:rPr>
        <w:t>东方阿尔法基金管理有限公司</w:t>
      </w:r>
    </w:p>
    <w:p>
      <w:pPr>
        <w:jc w:val="right"/>
      </w:pPr>
      <w:r>
        <w:rPr>
          <w:rFonts w:ascii="宋体" w:hAnsi="宋体" w:eastAsia="宋体" w:cs="宋体"/>
          <w:b/>
        </w:rPr>
        <w:t>二〇二六年十月二十六日</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418" w:bottom="1440" w:left="1418" w:header="851" w:footer="992" w:gutter="0"/>
      <w:pgNumType w:start="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Courier New">
    <w:panose1 w:val="02070309020205020404"/>
    <w:charset w:val="00"/>
    <w:family w:val="modern"/>
    <w:pitch w:val="default"/>
    <w:sig w:usb0="E0002E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top w:val="single" w:color="auto" w:sz="2" w:space="0"/>
      </w:pBdr>
      <w:tabs>
        <w:tab w:val="right" w:pos="8640"/>
      </w:tabs>
      <w:jc w:val="center"/>
      <w:textAlignment w:val="center"/>
      <w:rPr>
        <w:rFonts w:ascii="宋体" w:hAnsi="宋体" w:eastAsia="宋体"/>
        <w:sz w:val="20"/>
        <w:szCs w:val="20"/>
      </w:rPr>
    </w:pPr>
    <w:r>
      <w:rPr>
        <w:rFonts w:hint="eastAsia" w:ascii="宋体" w:hAnsi="宋体" w:eastAsia="宋体" w:cs="宋体"/>
        <w:sz w:val="20"/>
        <w:szCs w:val="20"/>
        <w:lang w:bidi="ar"/>
      </w:rPr>
      <w:t>第</w:t>
    </w:r>
    <w:r>
      <w:rPr>
        <w:rFonts w:hint="eastAsia" w:ascii="宋体" w:hAnsi="宋体" w:eastAsia="宋体" w:cs="Times New Roman"/>
        <w:sz w:val="20"/>
        <w:szCs w:val="20"/>
        <w:lang w:bidi="ar"/>
      </w:rPr>
      <w:fldChar w:fldCharType="begin"/>
    </w:r>
    <w:r>
      <w:rPr>
        <w:rFonts w:hint="eastAsia" w:ascii="宋体" w:hAnsi="宋体" w:eastAsia="宋体" w:cs="宋体"/>
        <w:sz w:val="20"/>
        <w:szCs w:val="20"/>
        <w:lang w:bidi="ar"/>
      </w:rPr>
      <w:instrText xml:space="preserve">PAGE  \* MERGEFORMAT</w:instrText>
    </w:r>
    <w:r>
      <w:rPr>
        <w:rFonts w:hint="eastAsia" w:ascii="宋体" w:hAnsi="宋体" w:eastAsia="宋体" w:cs="Times New Roman"/>
        <w:sz w:val="20"/>
        <w:szCs w:val="20"/>
        <w:lang w:bidi="ar"/>
      </w:rPr>
      <w:fldChar w:fldCharType="separate"/>
    </w:r>
    <w:r>
      <w:rPr>
        <w:rFonts w:ascii="宋体" w:hAnsi="宋体" w:eastAsia="宋体" w:cs="宋体"/>
        <w:sz w:val="20"/>
        <w:szCs w:val="20"/>
        <w:lang w:bidi="ar"/>
      </w:rPr>
      <w:t>2</w:t>
    </w:r>
    <w:r>
      <w:rPr>
        <w:rFonts w:hint="eastAsia" w:ascii="宋体" w:hAnsi="宋体" w:eastAsia="宋体" w:cs="宋体"/>
        <w:sz w:val="20"/>
        <w:szCs w:val="20"/>
        <w:lang w:bidi="ar"/>
      </w:rPr>
      <w:fldChar w:fldCharType="end"/>
    </w:r>
    <w:r>
      <w:rPr>
        <w:rFonts w:hint="eastAsia" w:ascii="宋体" w:hAnsi="宋体" w:eastAsia="宋体" w:cs="宋体"/>
        <w:sz w:val="20"/>
        <w:szCs w:val="20"/>
        <w:lang w:bidi="ar"/>
      </w:rPr>
      <w:t>页，共</w:t>
    </w:r>
    <w:r>
      <w:rPr>
        <w:rFonts w:hint="eastAsia" w:ascii="宋体" w:hAnsi="宋体" w:eastAsia="宋体" w:cs="Times New Roman"/>
        <w:sz w:val="20"/>
        <w:szCs w:val="20"/>
        <w:lang w:bidi="ar"/>
      </w:rPr>
      <w:fldChar w:fldCharType="begin"/>
    </w:r>
    <w:r>
      <w:rPr>
        <w:rFonts w:ascii="宋体" w:hAnsi="宋体" w:eastAsia="宋体" w:cs="Times New Roman"/>
        <w:sz w:val="20"/>
        <w:szCs w:val="20"/>
        <w:lang w:bidi="ar"/>
      </w:rPr>
      <w:instrText xml:space="preserve">=</w:instrText>
    </w:r>
    <w:r>
      <w:rPr>
        <w:rFonts w:ascii="宋体" w:hAnsi="宋体" w:eastAsia="宋体" w:cs="宋体"/>
        <w:sz w:val="20"/>
        <w:szCs w:val="20"/>
        <w:lang w:bidi="ar"/>
      </w:rPr>
      <w:fldChar w:fldCharType="begin"/>
    </w:r>
    <w:r>
      <w:rPr>
        <w:rFonts w:ascii="宋体" w:hAnsi="宋体" w:eastAsia="宋体" w:cs="宋体"/>
        <w:sz w:val="20"/>
        <w:szCs w:val="20"/>
        <w:lang w:bidi="ar"/>
      </w:rPr>
      <w:instrText xml:space="preserve"> </w:instrText>
    </w:r>
    <w:r>
      <w:rPr>
        <w:rFonts w:hint="eastAsia" w:ascii="宋体" w:hAnsi="宋体" w:eastAsia="宋体" w:cs="宋体"/>
        <w:sz w:val="20"/>
        <w:szCs w:val="20"/>
        <w:lang w:bidi="ar"/>
      </w:rPr>
      <w:instrText xml:space="preserve">NUMPAGES</w:instrText>
    </w:r>
    <w:r>
      <w:rPr>
        <w:rFonts w:ascii="宋体" w:hAnsi="宋体" w:eastAsia="宋体" w:cs="宋体"/>
        <w:sz w:val="20"/>
        <w:szCs w:val="20"/>
        <w:lang w:bidi="ar"/>
      </w:rPr>
      <w:instrText xml:space="preserve"> </w:instrText>
    </w:r>
    <w:r>
      <w:rPr>
        <w:rFonts w:ascii="宋体" w:hAnsi="宋体" w:eastAsia="宋体" w:cs="宋体"/>
        <w:sz w:val="20"/>
        <w:szCs w:val="20"/>
        <w:lang w:bidi="ar"/>
      </w:rPr>
      <w:fldChar w:fldCharType="separate"/>
    </w:r>
    <w:r>
      <w:rPr>
        <w:rFonts w:ascii="宋体" w:hAnsi="宋体" w:eastAsia="宋体" w:cs="宋体"/>
        <w:sz w:val="20"/>
        <w:szCs w:val="20"/>
        <w:lang w:bidi="ar"/>
      </w:rPr>
      <w:instrText xml:space="preserve">2</w:instrText>
    </w:r>
    <w:r>
      <w:rPr>
        <w:rFonts w:ascii="宋体" w:hAnsi="宋体" w:eastAsia="宋体" w:cs="宋体"/>
        <w:sz w:val="20"/>
        <w:szCs w:val="20"/>
        <w:lang w:bidi="ar"/>
      </w:rPr>
      <w:fldChar w:fldCharType="end"/>
    </w:r>
    <w:r>
      <w:rPr>
        <w:rFonts w:ascii="宋体" w:hAnsi="宋体" w:eastAsia="宋体" w:cs="宋体"/>
        <w:sz w:val="20"/>
        <w:szCs w:val="20"/>
        <w:lang w:bidi="ar"/>
      </w:rPr>
      <w:instrText xml:space="preserve">-1</w:instrText>
    </w:r>
    <w:r>
      <w:rPr>
        <w:rFonts w:hint="eastAsia" w:ascii="宋体" w:hAnsi="宋体" w:eastAsia="宋体" w:cs="Times New Roman"/>
        <w:sz w:val="20"/>
        <w:szCs w:val="20"/>
        <w:lang w:bidi="ar"/>
      </w:rPr>
      <w:fldChar w:fldCharType="separate"/>
    </w:r>
    <w:r>
      <w:rPr>
        <w:rFonts w:ascii="宋体" w:hAnsi="宋体" w:eastAsia="宋体" w:cs="Times New Roman"/>
        <w:sz w:val="20"/>
        <w:szCs w:val="20"/>
        <w:lang w:bidi="ar"/>
      </w:rPr>
      <w:t>1</w:t>
    </w:r>
    <w:r>
      <w:rPr>
        <w:rFonts w:hint="eastAsia" w:ascii="宋体" w:hAnsi="宋体" w:eastAsia="宋体" w:cs="宋体"/>
        <w:sz w:val="20"/>
        <w:szCs w:val="20"/>
        <w:lang w:bidi="ar"/>
      </w:rPr>
      <w:fldChar w:fldCharType="end"/>
    </w:r>
    <w:r>
      <w:rPr>
        <w:rFonts w:hint="eastAsia" w:ascii="宋体" w:hAnsi="宋体" w:eastAsia="宋体" w:cs="宋体"/>
        <w:sz w:val="20"/>
        <w:szCs w:val="20"/>
        <w:lang w:bidi="ar"/>
      </w:rPr>
      <w:t>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1"/>
      </w:pBdr>
      <w:jc w:val="right"/>
      <w:rPr>
        <w:rFonts w:ascii="宋体" w:hAnsi="宋体" w:eastAsia="宋体"/>
      </w:rPr>
    </w:pPr>
    <w:r>
      <w:rPr>
        <w:rFonts w:hint="eastAsia" w:ascii="宋体" w:hAnsi="宋体" w:eastAsia="宋体"/>
        <w:sz w:val="18"/>
      </w:rPr>
      <w:t>东方阿尔法科技优选混合型发起式证券投资基金2026年第3季度报告</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14F1"/>
    <w:rsid w:val="00031D8B"/>
    <w:rsid w:val="00033BEA"/>
    <w:rsid w:val="00093312"/>
    <w:rsid w:val="000934BF"/>
    <w:rsid w:val="000B0ABB"/>
    <w:rsid w:val="000B14F1"/>
    <w:rsid w:val="000D44F1"/>
    <w:rsid w:val="000F65E0"/>
    <w:rsid w:val="001567AA"/>
    <w:rsid w:val="001663E4"/>
    <w:rsid w:val="001941F0"/>
    <w:rsid w:val="001A0694"/>
    <w:rsid w:val="001A6F82"/>
    <w:rsid w:val="001E49DE"/>
    <w:rsid w:val="001E604E"/>
    <w:rsid w:val="001E72DB"/>
    <w:rsid w:val="00210325"/>
    <w:rsid w:val="00217CEB"/>
    <w:rsid w:val="0026022A"/>
    <w:rsid w:val="00294812"/>
    <w:rsid w:val="002C6A0C"/>
    <w:rsid w:val="002D4665"/>
    <w:rsid w:val="00315609"/>
    <w:rsid w:val="00324653"/>
    <w:rsid w:val="0039693D"/>
    <w:rsid w:val="00396EB6"/>
    <w:rsid w:val="003B4810"/>
    <w:rsid w:val="00421707"/>
    <w:rsid w:val="004245F7"/>
    <w:rsid w:val="00435171"/>
    <w:rsid w:val="0048630B"/>
    <w:rsid w:val="004A5321"/>
    <w:rsid w:val="004F33D8"/>
    <w:rsid w:val="004F7772"/>
    <w:rsid w:val="005037A9"/>
    <w:rsid w:val="00514F66"/>
    <w:rsid w:val="00536F98"/>
    <w:rsid w:val="005370B1"/>
    <w:rsid w:val="0054091C"/>
    <w:rsid w:val="005826D5"/>
    <w:rsid w:val="005B565C"/>
    <w:rsid w:val="005D1F67"/>
    <w:rsid w:val="00657345"/>
    <w:rsid w:val="00686AE6"/>
    <w:rsid w:val="006935A0"/>
    <w:rsid w:val="00695511"/>
    <w:rsid w:val="006C560C"/>
    <w:rsid w:val="007A3B64"/>
    <w:rsid w:val="007B3AFF"/>
    <w:rsid w:val="007F3D78"/>
    <w:rsid w:val="00801225"/>
    <w:rsid w:val="00832DA1"/>
    <w:rsid w:val="008432E9"/>
    <w:rsid w:val="008F2779"/>
    <w:rsid w:val="00917A48"/>
    <w:rsid w:val="0092608A"/>
    <w:rsid w:val="00931CFE"/>
    <w:rsid w:val="009A04DF"/>
    <w:rsid w:val="009A27BD"/>
    <w:rsid w:val="009C2384"/>
    <w:rsid w:val="009C68F3"/>
    <w:rsid w:val="009F43BC"/>
    <w:rsid w:val="00A53CFE"/>
    <w:rsid w:val="00A76644"/>
    <w:rsid w:val="00AB695A"/>
    <w:rsid w:val="00B02205"/>
    <w:rsid w:val="00B659D3"/>
    <w:rsid w:val="00BA1D2B"/>
    <w:rsid w:val="00BB3931"/>
    <w:rsid w:val="00BB5499"/>
    <w:rsid w:val="00BD2190"/>
    <w:rsid w:val="00C05CA1"/>
    <w:rsid w:val="00C06BEF"/>
    <w:rsid w:val="00C1377F"/>
    <w:rsid w:val="00C370BD"/>
    <w:rsid w:val="00C86ED5"/>
    <w:rsid w:val="00CA50CC"/>
    <w:rsid w:val="00CF2DE6"/>
    <w:rsid w:val="00D155B6"/>
    <w:rsid w:val="00D91EBF"/>
    <w:rsid w:val="00DB110D"/>
    <w:rsid w:val="00DE3FE0"/>
    <w:rsid w:val="00E220FA"/>
    <w:rsid w:val="00E44EAD"/>
    <w:rsid w:val="00E6731E"/>
    <w:rsid w:val="00E67AEA"/>
    <w:rsid w:val="00E913D3"/>
    <w:rsid w:val="00EC2CEF"/>
    <w:rsid w:val="00EE18AB"/>
    <w:rsid w:val="00F07C93"/>
    <w:rsid w:val="00F1496B"/>
    <w:rsid w:val="00F32DCB"/>
    <w:rsid w:val="00FA0949"/>
    <w:rsid w:val="00FA22F7"/>
    <w:rsid w:val="00FA6399"/>
    <w:rsid w:val="00FE53D3"/>
    <w:rsid w:val="17FF4F08"/>
    <w:rsid w:val="312016A7"/>
    <w:rsid w:val="328572ED"/>
    <w:rsid w:val="3E9A1429"/>
    <w:rsid w:val="5EE34946"/>
    <w:rsid w:val="62671060"/>
    <w:rsid w:val="67517C74"/>
    <w:rsid w:val="6B8C18E1"/>
    <w:rsid w:val="791E22E2"/>
    <w:rsid w:val="7A382AC9"/>
    <w:rsid w:val="7F246E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qFormat="1" w:uiPriority="39" w:semiHidden="0" w:name="toc 2"/>
    <w:lsdException w:qFormat="1" w:uiPriority="39" w:semiHidden="0" w:name="toc 3"/>
    <w:lsdException w:uiPriority="39" w:semiHidden="0" w:name="toc 4"/>
    <w:lsdException w:uiPriority="39" w:semiHidden="0" w:name="toc 5"/>
    <w:lsdException w:uiPriority="39" w:semiHidden="0" w:name="toc 6"/>
    <w:lsdException w:uiPriority="39" w:semiHidden="0" w:name="toc 7"/>
    <w:lsdException w:uiPriority="39" w:semiHidden="0" w:name="toc 8"/>
    <w:lsdException w:uiPriority="39" w:semiHidden="0"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iPriority="61"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88" w:lineRule="auto"/>
      <w:jc w:val="both"/>
    </w:pPr>
    <w:rPr>
      <w:rFonts w:eastAsia="宋体" w:asciiTheme="minorHAnsi" w:hAnsiTheme="minorHAnsi" w:cstheme="minorBidi"/>
      <w:kern w:val="2"/>
      <w:sz w:val="21"/>
      <w:szCs w:val="21"/>
      <w:lang w:val="en-US" w:eastAsia="zh-CN" w:bidi="ar-SA"/>
    </w:rPr>
  </w:style>
  <w:style w:type="paragraph" w:styleId="2">
    <w:name w:val="heading 1"/>
    <w:basedOn w:val="1"/>
    <w:next w:val="1"/>
    <w:link w:val="37"/>
    <w:qFormat/>
    <w:uiPriority w:val="9"/>
    <w:pPr>
      <w:spacing w:before="340" w:after="330" w:line="576" w:lineRule="auto"/>
      <w:jc w:val="center"/>
      <w:outlineLvl w:val="0"/>
    </w:pPr>
    <w:rPr>
      <w:b/>
      <w:bCs/>
      <w:kern w:val="44"/>
      <w:sz w:val="24"/>
      <w:szCs w:val="44"/>
    </w:rPr>
  </w:style>
  <w:style w:type="paragraph" w:styleId="3">
    <w:name w:val="heading 2"/>
    <w:basedOn w:val="1"/>
    <w:next w:val="1"/>
    <w:link w:val="38"/>
    <w:unhideWhenUsed/>
    <w:qFormat/>
    <w:uiPriority w:val="9"/>
    <w:pPr>
      <w:adjustRightInd w:val="0"/>
      <w:spacing w:line="360" w:lineRule="auto"/>
      <w:jc w:val="left"/>
      <w:outlineLvl w:val="1"/>
    </w:pPr>
    <w:rPr>
      <w:rFonts w:asciiTheme="majorHAnsi" w:hAnsiTheme="majorHAnsi" w:cstheme="majorBidi"/>
      <w:b/>
      <w:bCs/>
      <w:sz w:val="24"/>
      <w:szCs w:val="32"/>
    </w:rPr>
  </w:style>
  <w:style w:type="paragraph" w:styleId="4">
    <w:name w:val="heading 3"/>
    <w:basedOn w:val="1"/>
    <w:next w:val="1"/>
    <w:link w:val="39"/>
    <w:unhideWhenUsed/>
    <w:qFormat/>
    <w:uiPriority w:val="9"/>
    <w:pPr>
      <w:keepNext/>
      <w:keepLines/>
      <w:spacing w:line="360" w:lineRule="auto"/>
      <w:outlineLvl w:val="2"/>
    </w:pPr>
    <w:rPr>
      <w:b/>
      <w:bCs/>
      <w:sz w:val="24"/>
      <w:szCs w:val="32"/>
    </w:rPr>
  </w:style>
  <w:style w:type="paragraph" w:styleId="5">
    <w:name w:val="heading 4"/>
    <w:basedOn w:val="1"/>
    <w:next w:val="1"/>
    <w:link w:val="40"/>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30">
    <w:name w:val="Default Paragraph Font"/>
    <w:semiHidden/>
    <w:unhideWhenUsed/>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unhideWhenUsed/>
    <w:uiPriority w:val="39"/>
    <w:pPr>
      <w:ind w:left="1260"/>
      <w:jc w:val="left"/>
    </w:pPr>
    <w:rPr>
      <w:sz w:val="18"/>
      <w:szCs w:val="18"/>
    </w:rPr>
  </w:style>
  <w:style w:type="paragraph" w:styleId="7">
    <w:name w:val="Normal Indent"/>
    <w:basedOn w:val="1"/>
    <w:link w:val="41"/>
    <w:semiHidden/>
    <w:unhideWhenUsed/>
    <w:uiPriority w:val="99"/>
    <w:pPr>
      <w:ind w:firstLine="420" w:firstLineChars="200"/>
    </w:pPr>
  </w:style>
  <w:style w:type="paragraph" w:styleId="8">
    <w:name w:val="Document Map"/>
    <w:basedOn w:val="1"/>
    <w:link w:val="57"/>
    <w:semiHidden/>
    <w:unhideWhenUsed/>
    <w:uiPriority w:val="99"/>
    <w:rPr>
      <w:rFonts w:ascii="宋体"/>
      <w:sz w:val="18"/>
      <w:szCs w:val="18"/>
    </w:rPr>
  </w:style>
  <w:style w:type="paragraph" w:styleId="9">
    <w:name w:val="annotation text"/>
    <w:basedOn w:val="1"/>
    <w:link w:val="42"/>
    <w:semiHidden/>
    <w:unhideWhenUsed/>
    <w:uiPriority w:val="99"/>
    <w:pPr>
      <w:jc w:val="left"/>
    </w:pPr>
  </w:style>
  <w:style w:type="paragraph" w:styleId="10">
    <w:name w:val="Body Text"/>
    <w:basedOn w:val="1"/>
    <w:link w:val="45"/>
    <w:semiHidden/>
    <w:unhideWhenUsed/>
    <w:qFormat/>
    <w:uiPriority w:val="99"/>
    <w:pPr>
      <w:spacing w:after="120"/>
    </w:pPr>
  </w:style>
  <w:style w:type="paragraph" w:styleId="11">
    <w:name w:val="toc 5"/>
    <w:basedOn w:val="1"/>
    <w:next w:val="1"/>
    <w:unhideWhenUsed/>
    <w:uiPriority w:val="39"/>
    <w:pPr>
      <w:ind w:left="840"/>
      <w:jc w:val="left"/>
    </w:pPr>
    <w:rPr>
      <w:sz w:val="18"/>
      <w:szCs w:val="18"/>
    </w:rPr>
  </w:style>
  <w:style w:type="paragraph" w:styleId="12">
    <w:name w:val="toc 3"/>
    <w:basedOn w:val="1"/>
    <w:next w:val="1"/>
    <w:unhideWhenUsed/>
    <w:qFormat/>
    <w:uiPriority w:val="39"/>
    <w:pPr>
      <w:spacing w:line="240" w:lineRule="auto"/>
      <w:ind w:left="420"/>
      <w:jc w:val="left"/>
    </w:pPr>
    <w:rPr>
      <w:i/>
      <w:iCs/>
      <w:szCs w:val="20"/>
    </w:rPr>
  </w:style>
  <w:style w:type="paragraph" w:styleId="13">
    <w:name w:val="Plain Text"/>
    <w:basedOn w:val="1"/>
    <w:link w:val="47"/>
    <w:semiHidden/>
    <w:unhideWhenUsed/>
    <w:qFormat/>
    <w:uiPriority w:val="99"/>
    <w:rPr>
      <w:rFonts w:hAnsi="Courier New" w:cs="Courier New" w:asciiTheme="minorEastAsia"/>
    </w:rPr>
  </w:style>
  <w:style w:type="paragraph" w:styleId="14">
    <w:name w:val="toc 8"/>
    <w:basedOn w:val="1"/>
    <w:next w:val="1"/>
    <w:unhideWhenUsed/>
    <w:uiPriority w:val="39"/>
    <w:pPr>
      <w:ind w:left="1470"/>
      <w:jc w:val="left"/>
    </w:pPr>
    <w:rPr>
      <w:rFonts w:eastAsiaTheme="minorHAnsi"/>
      <w:sz w:val="18"/>
      <w:szCs w:val="18"/>
    </w:rPr>
  </w:style>
  <w:style w:type="paragraph" w:styleId="15">
    <w:name w:val="Date"/>
    <w:basedOn w:val="1"/>
    <w:next w:val="1"/>
    <w:link w:val="46"/>
    <w:semiHidden/>
    <w:unhideWhenUsed/>
    <w:uiPriority w:val="99"/>
    <w:pPr>
      <w:ind w:left="100" w:leftChars="2500"/>
    </w:pPr>
  </w:style>
  <w:style w:type="paragraph" w:styleId="16">
    <w:name w:val="Balloon Text"/>
    <w:basedOn w:val="1"/>
    <w:link w:val="49"/>
    <w:semiHidden/>
    <w:unhideWhenUsed/>
    <w:uiPriority w:val="99"/>
    <w:rPr>
      <w:sz w:val="18"/>
      <w:szCs w:val="18"/>
    </w:rPr>
  </w:style>
  <w:style w:type="paragraph" w:styleId="17">
    <w:name w:val="footer"/>
    <w:basedOn w:val="1"/>
    <w:link w:val="44"/>
    <w:unhideWhenUsed/>
    <w:qFormat/>
    <w:uiPriority w:val="99"/>
    <w:pPr>
      <w:tabs>
        <w:tab w:val="center" w:pos="4153"/>
        <w:tab w:val="right" w:pos="8306"/>
      </w:tabs>
      <w:snapToGrid w:val="0"/>
      <w:jc w:val="left"/>
    </w:pPr>
    <w:rPr>
      <w:sz w:val="18"/>
      <w:szCs w:val="18"/>
    </w:rPr>
  </w:style>
  <w:style w:type="paragraph" w:styleId="18">
    <w:name w:val="header"/>
    <w:basedOn w:val="1"/>
    <w:link w:val="43"/>
    <w:unhideWhenUsed/>
    <w:qFormat/>
    <w:uiPriority w:val="99"/>
    <w:pPr>
      <w:pBdr>
        <w:bottom w:val="single" w:color="auto" w:sz="6" w:space="1"/>
      </w:pBdr>
      <w:tabs>
        <w:tab w:val="center" w:pos="4153"/>
        <w:tab w:val="right" w:pos="8306"/>
      </w:tabs>
      <w:snapToGrid w:val="0"/>
      <w:jc w:val="center"/>
    </w:pPr>
    <w:rPr>
      <w:sz w:val="18"/>
      <w:szCs w:val="18"/>
    </w:rPr>
  </w:style>
  <w:style w:type="paragraph" w:styleId="19">
    <w:name w:val="toc 1"/>
    <w:basedOn w:val="1"/>
    <w:next w:val="1"/>
    <w:unhideWhenUsed/>
    <w:uiPriority w:val="39"/>
    <w:pPr>
      <w:tabs>
        <w:tab w:val="right" w:leader="dot" w:pos="9060"/>
      </w:tabs>
      <w:spacing w:line="240" w:lineRule="auto"/>
      <w:jc w:val="left"/>
    </w:pPr>
    <w:rPr>
      <w:b/>
      <w:bCs/>
      <w:caps/>
      <w:szCs w:val="20"/>
    </w:rPr>
  </w:style>
  <w:style w:type="paragraph" w:styleId="20">
    <w:name w:val="toc 4"/>
    <w:basedOn w:val="1"/>
    <w:next w:val="1"/>
    <w:unhideWhenUsed/>
    <w:uiPriority w:val="39"/>
    <w:pPr>
      <w:ind w:left="630"/>
      <w:jc w:val="left"/>
    </w:pPr>
    <w:rPr>
      <w:sz w:val="18"/>
      <w:szCs w:val="18"/>
    </w:rPr>
  </w:style>
  <w:style w:type="paragraph" w:styleId="21">
    <w:name w:val="toc 6"/>
    <w:basedOn w:val="1"/>
    <w:next w:val="1"/>
    <w:unhideWhenUsed/>
    <w:uiPriority w:val="39"/>
    <w:pPr>
      <w:ind w:left="1050"/>
      <w:jc w:val="left"/>
    </w:pPr>
    <w:rPr>
      <w:sz w:val="18"/>
      <w:szCs w:val="18"/>
    </w:rPr>
  </w:style>
  <w:style w:type="paragraph" w:styleId="22">
    <w:name w:val="toc 2"/>
    <w:basedOn w:val="1"/>
    <w:next w:val="1"/>
    <w:unhideWhenUsed/>
    <w:qFormat/>
    <w:uiPriority w:val="39"/>
    <w:pPr>
      <w:spacing w:line="240" w:lineRule="auto"/>
      <w:ind w:left="210"/>
      <w:jc w:val="left"/>
    </w:pPr>
    <w:rPr>
      <w:smallCaps/>
      <w:szCs w:val="20"/>
    </w:rPr>
  </w:style>
  <w:style w:type="paragraph" w:styleId="23">
    <w:name w:val="toc 9"/>
    <w:basedOn w:val="1"/>
    <w:next w:val="1"/>
    <w:unhideWhenUsed/>
    <w:uiPriority w:val="39"/>
    <w:pPr>
      <w:ind w:left="1680"/>
      <w:jc w:val="left"/>
    </w:pPr>
    <w:rPr>
      <w:rFonts w:eastAsiaTheme="minorHAnsi"/>
      <w:sz w:val="18"/>
      <w:szCs w:val="18"/>
    </w:rPr>
  </w:style>
  <w:style w:type="paragraph" w:styleId="24">
    <w:name w:val="Normal (Web)"/>
    <w:basedOn w:val="1"/>
    <w:semiHidden/>
    <w:unhideWhenUsed/>
    <w:uiPriority w:val="99"/>
    <w:rPr>
      <w:rFonts w:ascii="Times New Roman" w:hAnsi="Times New Roman" w:cs="宋体"/>
      <w:sz w:val="24"/>
      <w:szCs w:val="24"/>
    </w:rPr>
  </w:style>
  <w:style w:type="paragraph" w:styleId="25">
    <w:name w:val="Title"/>
    <w:basedOn w:val="1"/>
    <w:next w:val="1"/>
    <w:link w:val="51"/>
    <w:qFormat/>
    <w:uiPriority w:val="10"/>
    <w:pPr>
      <w:spacing w:before="240" w:after="60"/>
      <w:jc w:val="center"/>
      <w:outlineLvl w:val="0"/>
    </w:pPr>
    <w:rPr>
      <w:rFonts w:asciiTheme="majorHAnsi" w:hAnsiTheme="majorHAnsi" w:eastAsiaTheme="majorEastAsia" w:cstheme="majorBidi"/>
      <w:b/>
      <w:bCs/>
      <w:sz w:val="32"/>
      <w:szCs w:val="32"/>
    </w:rPr>
  </w:style>
  <w:style w:type="paragraph" w:styleId="26">
    <w:name w:val="annotation subject"/>
    <w:basedOn w:val="9"/>
    <w:next w:val="9"/>
    <w:link w:val="48"/>
    <w:semiHidden/>
    <w:unhideWhenUsed/>
    <w:uiPriority w:val="99"/>
    <w:rPr>
      <w:b/>
      <w:bCs/>
    </w:rPr>
  </w:style>
  <w:style w:type="table" w:styleId="28">
    <w:name w:val="Table Grid"/>
    <w:basedOn w:val="27"/>
    <w:uiPriority w:val="3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29">
    <w:name w:val="Light List Accent 1"/>
    <w:basedOn w:val="27"/>
    <w:semiHidden/>
    <w:unhideWhenUsed/>
    <w:uiPriority w:val="61"/>
    <w:rPr>
      <w:rFonts w:ascii="Times New Roman" w:hAnsi="Times New Roman" w:eastAsia="宋体" w:cs="Times New Roman"/>
      <w:kern w:val="0"/>
      <w:sz w:val="20"/>
      <w:szCs w:val="20"/>
    </w:rPr>
    <w:tblPr>
      <w:tblBorders>
        <w:top w:val="single" w:color="5B9BD5" w:themeColor="accent1" w:sz="8" w:space="0"/>
        <w:left w:val="single" w:color="5B9BD5" w:themeColor="accent1" w:sz="8" w:space="0"/>
        <w:bottom w:val="single" w:color="5B9BD5" w:themeColor="accent1" w:sz="8" w:space="0"/>
        <w:right w:val="single" w:color="5B9BD5"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5B9BD5" w:themeFill="accent1"/>
      </w:tcPr>
    </w:tblStylePr>
    <w:tblStylePr w:type="lastRow">
      <w:pPr>
        <w:spacing w:before="0" w:after="0" w:line="240" w:lineRule="auto"/>
      </w:pPr>
      <w:rPr>
        <w:b/>
        <w:bCs/>
      </w:rPr>
      <w:tblPr/>
      <w:tcPr>
        <w:tcBorders>
          <w:top w:val="double" w:color="5B9BD5" w:themeColor="accent1" w:sz="6" w:space="0"/>
          <w:left w:val="single" w:color="5B9BD5" w:themeColor="accent1" w:sz="8" w:space="0"/>
          <w:bottom w:val="single" w:color="5B9BD5" w:themeColor="accent1" w:sz="8" w:space="0"/>
          <w:right w:val="single" w:color="5B9BD5" w:themeColor="accent1" w:sz="8" w:space="0"/>
        </w:tcBorders>
      </w:tcPr>
    </w:tblStylePr>
    <w:tblStylePr w:type="firstCol">
      <w:rPr>
        <w:b/>
        <w:bCs/>
      </w:rPr>
    </w:tblStylePr>
    <w:tblStylePr w:type="lastCol">
      <w:rPr>
        <w:b/>
        <w:bCs/>
      </w:rPr>
    </w:tblStylePr>
    <w:tblStylePr w:type="band1Vert">
      <w:tblPr/>
      <w:tcPr>
        <w:tcBorders>
          <w:top w:val="single" w:color="5B9BD5" w:themeColor="accent1" w:sz="8" w:space="0"/>
          <w:left w:val="single" w:color="5B9BD5" w:themeColor="accent1" w:sz="8" w:space="0"/>
          <w:bottom w:val="single" w:color="5B9BD5" w:themeColor="accent1" w:sz="8" w:space="0"/>
          <w:right w:val="single" w:color="5B9BD5" w:themeColor="accent1" w:sz="8" w:space="0"/>
        </w:tcBorders>
      </w:tcPr>
    </w:tblStylePr>
    <w:tblStylePr w:type="band1Horz">
      <w:tblPr/>
      <w:tcPr>
        <w:tcBorders>
          <w:top w:val="single" w:color="5B9BD5" w:themeColor="accent1" w:sz="8" w:space="0"/>
          <w:left w:val="single" w:color="5B9BD5" w:themeColor="accent1" w:sz="8" w:space="0"/>
          <w:bottom w:val="single" w:color="5B9BD5" w:themeColor="accent1" w:sz="8" w:space="0"/>
          <w:right w:val="single" w:color="5B9BD5" w:themeColor="accent1" w:sz="8" w:space="0"/>
        </w:tcBorders>
      </w:tcPr>
    </w:tblStylePr>
  </w:style>
  <w:style w:type="character" w:styleId="31">
    <w:name w:val="Strong"/>
    <w:basedOn w:val="30"/>
    <w:qFormat/>
    <w:uiPriority w:val="22"/>
    <w:rPr>
      <w:b/>
      <w:bCs/>
    </w:rPr>
  </w:style>
  <w:style w:type="character" w:styleId="32">
    <w:name w:val="Hyperlink"/>
    <w:basedOn w:val="30"/>
    <w:unhideWhenUsed/>
    <w:qFormat/>
    <w:uiPriority w:val="99"/>
    <w:rPr>
      <w:color w:val="0000FF"/>
      <w:u w:val="single"/>
    </w:rPr>
  </w:style>
  <w:style w:type="character" w:styleId="33">
    <w:name w:val="HTML Code"/>
    <w:basedOn w:val="30"/>
    <w:semiHidden/>
    <w:unhideWhenUsed/>
    <w:qFormat/>
    <w:uiPriority w:val="99"/>
    <w:rPr>
      <w:rFonts w:ascii="Courier New" w:hAnsi="Courier New" w:cs="Courier New"/>
      <w:sz w:val="20"/>
      <w:szCs w:val="20"/>
    </w:rPr>
  </w:style>
  <w:style w:type="character" w:styleId="34">
    <w:name w:val="annotation reference"/>
    <w:basedOn w:val="30"/>
    <w:semiHidden/>
    <w:unhideWhenUsed/>
    <w:uiPriority w:val="99"/>
    <w:rPr>
      <w:sz w:val="21"/>
      <w:szCs w:val="21"/>
    </w:rPr>
  </w:style>
  <w:style w:type="paragraph" w:customStyle="1" w:styleId="35">
    <w:name w:val="代码样式"/>
    <w:link w:val="36"/>
    <w:qFormat/>
    <w:uiPriority w:val="0"/>
    <w:pPr>
      <w:pBdr>
        <w:top w:val="single" w:color="auto" w:sz="4" w:space="1"/>
        <w:left w:val="single" w:color="auto" w:sz="4" w:space="4"/>
        <w:bottom w:val="single" w:color="auto" w:sz="4" w:space="1"/>
        <w:right w:val="single" w:color="auto" w:sz="4" w:space="4"/>
      </w:pBdr>
      <w:shd w:val="clear" w:color="auto" w:fill="A8D08D" w:themeFill="accent6" w:themeFillTint="99"/>
      <w:spacing w:beforeLines="50" w:afterLines="50"/>
      <w:ind w:left="50" w:leftChars="50" w:right="50" w:rightChars="50"/>
    </w:pPr>
    <w:rPr>
      <w:rFonts w:asciiTheme="minorHAnsi" w:hAnsiTheme="minorHAnsi" w:eastAsiaTheme="minorEastAsia" w:cstheme="minorBidi"/>
      <w:kern w:val="2"/>
      <w:sz w:val="21"/>
      <w:szCs w:val="21"/>
      <w:lang w:val="en-US" w:eastAsia="zh-CN" w:bidi="ar-SA"/>
    </w:rPr>
  </w:style>
  <w:style w:type="character" w:customStyle="1" w:styleId="36">
    <w:name w:val="代码样式 Char"/>
    <w:basedOn w:val="30"/>
    <w:link w:val="35"/>
    <w:qFormat/>
    <w:uiPriority w:val="0"/>
    <w:rPr>
      <w:shd w:val="clear" w:color="auto" w:fill="A8D08D" w:themeFill="accent6" w:themeFillTint="99"/>
    </w:rPr>
  </w:style>
  <w:style w:type="character" w:customStyle="1" w:styleId="37">
    <w:name w:val="标题 1 字符"/>
    <w:basedOn w:val="30"/>
    <w:link w:val="2"/>
    <w:qFormat/>
    <w:uiPriority w:val="9"/>
    <w:rPr>
      <w:rFonts w:eastAsia="宋体"/>
      <w:b/>
      <w:bCs/>
      <w:kern w:val="44"/>
      <w:sz w:val="24"/>
      <w:szCs w:val="44"/>
    </w:rPr>
  </w:style>
  <w:style w:type="character" w:customStyle="1" w:styleId="38">
    <w:name w:val="标题 2 字符"/>
    <w:basedOn w:val="30"/>
    <w:link w:val="3"/>
    <w:qFormat/>
    <w:uiPriority w:val="9"/>
    <w:rPr>
      <w:rFonts w:eastAsia="宋体" w:asciiTheme="majorHAnsi" w:hAnsiTheme="majorHAnsi" w:cstheme="majorBidi"/>
      <w:b/>
      <w:bCs/>
      <w:sz w:val="24"/>
      <w:szCs w:val="32"/>
    </w:rPr>
  </w:style>
  <w:style w:type="character" w:customStyle="1" w:styleId="39">
    <w:name w:val="标题 3 字符"/>
    <w:basedOn w:val="30"/>
    <w:link w:val="4"/>
    <w:uiPriority w:val="9"/>
    <w:rPr>
      <w:rFonts w:eastAsia="宋体"/>
      <w:b/>
      <w:bCs/>
      <w:sz w:val="24"/>
      <w:szCs w:val="32"/>
    </w:rPr>
  </w:style>
  <w:style w:type="character" w:customStyle="1" w:styleId="40">
    <w:name w:val="标题 4 字符"/>
    <w:basedOn w:val="30"/>
    <w:link w:val="5"/>
    <w:semiHidden/>
    <w:qFormat/>
    <w:uiPriority w:val="9"/>
    <w:rPr>
      <w:rFonts w:asciiTheme="majorHAnsi" w:hAnsiTheme="majorHAnsi" w:eastAsiaTheme="majorEastAsia" w:cstheme="majorBidi"/>
      <w:b/>
      <w:bCs/>
      <w:sz w:val="28"/>
      <w:szCs w:val="28"/>
    </w:rPr>
  </w:style>
  <w:style w:type="character" w:customStyle="1" w:styleId="41">
    <w:name w:val="正文缩进 字符"/>
    <w:link w:val="7"/>
    <w:semiHidden/>
    <w:qFormat/>
    <w:uiPriority w:val="99"/>
    <w:rPr>
      <w:rFonts w:asciiTheme="minorHAnsi" w:hAnsiTheme="minorHAnsi" w:eastAsiaTheme="minorEastAsia" w:cstheme="minorBidi"/>
      <w:sz w:val="21"/>
      <w:szCs w:val="22"/>
    </w:rPr>
  </w:style>
  <w:style w:type="character" w:customStyle="1" w:styleId="42">
    <w:name w:val="批注文字 字符"/>
    <w:basedOn w:val="30"/>
    <w:link w:val="9"/>
    <w:semiHidden/>
    <w:uiPriority w:val="99"/>
    <w:rPr>
      <w:rFonts w:asciiTheme="minorHAnsi" w:hAnsiTheme="minorHAnsi" w:eastAsiaTheme="minorEastAsia" w:cstheme="minorBidi"/>
      <w:sz w:val="21"/>
      <w:szCs w:val="22"/>
    </w:rPr>
  </w:style>
  <w:style w:type="character" w:customStyle="1" w:styleId="43">
    <w:name w:val="页眉 字符"/>
    <w:basedOn w:val="30"/>
    <w:link w:val="18"/>
    <w:qFormat/>
    <w:uiPriority w:val="99"/>
    <w:rPr>
      <w:rFonts w:asciiTheme="minorHAnsi" w:hAnsiTheme="minorHAnsi" w:eastAsiaTheme="minorEastAsia" w:cstheme="minorBidi"/>
      <w:sz w:val="18"/>
      <w:szCs w:val="18"/>
    </w:rPr>
  </w:style>
  <w:style w:type="character" w:customStyle="1" w:styleId="44">
    <w:name w:val="页脚 字符"/>
    <w:basedOn w:val="30"/>
    <w:link w:val="17"/>
    <w:qFormat/>
    <w:uiPriority w:val="99"/>
    <w:rPr>
      <w:rFonts w:asciiTheme="minorHAnsi" w:hAnsiTheme="minorHAnsi" w:eastAsiaTheme="minorEastAsia" w:cstheme="minorBidi"/>
      <w:sz w:val="18"/>
      <w:szCs w:val="18"/>
    </w:rPr>
  </w:style>
  <w:style w:type="character" w:customStyle="1" w:styleId="45">
    <w:name w:val="正文文本 字符"/>
    <w:basedOn w:val="30"/>
    <w:link w:val="10"/>
    <w:semiHidden/>
    <w:qFormat/>
    <w:uiPriority w:val="99"/>
    <w:rPr>
      <w:rFonts w:asciiTheme="minorHAnsi" w:hAnsiTheme="minorHAnsi" w:eastAsiaTheme="minorEastAsia" w:cstheme="minorBidi"/>
      <w:sz w:val="21"/>
      <w:szCs w:val="22"/>
    </w:rPr>
  </w:style>
  <w:style w:type="character" w:customStyle="1" w:styleId="46">
    <w:name w:val="日期 字符"/>
    <w:basedOn w:val="30"/>
    <w:link w:val="15"/>
    <w:semiHidden/>
    <w:uiPriority w:val="99"/>
    <w:rPr>
      <w:rFonts w:asciiTheme="minorHAnsi" w:hAnsiTheme="minorHAnsi" w:eastAsiaTheme="minorEastAsia" w:cstheme="minorBidi"/>
      <w:sz w:val="21"/>
      <w:szCs w:val="22"/>
    </w:rPr>
  </w:style>
  <w:style w:type="character" w:customStyle="1" w:styleId="47">
    <w:name w:val="纯文本 字符"/>
    <w:basedOn w:val="30"/>
    <w:link w:val="13"/>
    <w:semiHidden/>
    <w:qFormat/>
    <w:uiPriority w:val="99"/>
    <w:rPr>
      <w:rFonts w:hAnsi="Courier New" w:cs="Courier New" w:asciiTheme="minorEastAsia" w:eastAsiaTheme="minorEastAsia"/>
      <w:sz w:val="21"/>
      <w:szCs w:val="22"/>
    </w:rPr>
  </w:style>
  <w:style w:type="character" w:customStyle="1" w:styleId="48">
    <w:name w:val="批注主题 字符"/>
    <w:basedOn w:val="42"/>
    <w:link w:val="26"/>
    <w:semiHidden/>
    <w:qFormat/>
    <w:uiPriority w:val="99"/>
    <w:rPr>
      <w:rFonts w:asciiTheme="minorHAnsi" w:hAnsiTheme="minorHAnsi" w:eastAsiaTheme="minorEastAsia" w:cstheme="minorBidi"/>
      <w:b/>
      <w:bCs/>
      <w:sz w:val="21"/>
      <w:szCs w:val="22"/>
    </w:rPr>
  </w:style>
  <w:style w:type="character" w:customStyle="1" w:styleId="49">
    <w:name w:val="批注框文本 字符"/>
    <w:basedOn w:val="30"/>
    <w:link w:val="16"/>
    <w:semiHidden/>
    <w:uiPriority w:val="99"/>
    <w:rPr>
      <w:rFonts w:asciiTheme="minorHAnsi" w:hAnsiTheme="minorHAnsi" w:eastAsiaTheme="minorEastAsia" w:cstheme="minorBidi"/>
      <w:sz w:val="18"/>
      <w:szCs w:val="18"/>
    </w:rPr>
  </w:style>
  <w:style w:type="paragraph" w:styleId="50">
    <w:name w:val="List Paragraph"/>
    <w:basedOn w:val="1"/>
    <w:qFormat/>
    <w:uiPriority w:val="34"/>
    <w:pPr>
      <w:ind w:firstLine="420" w:firstLineChars="200"/>
    </w:pPr>
  </w:style>
  <w:style w:type="character" w:customStyle="1" w:styleId="51">
    <w:name w:val="标题 字符"/>
    <w:basedOn w:val="30"/>
    <w:link w:val="25"/>
    <w:qFormat/>
    <w:uiPriority w:val="10"/>
    <w:rPr>
      <w:rFonts w:asciiTheme="majorHAnsi" w:hAnsiTheme="majorHAnsi" w:eastAsiaTheme="majorEastAsia" w:cstheme="majorBidi"/>
      <w:b/>
      <w:bCs/>
      <w:sz w:val="32"/>
      <w:szCs w:val="32"/>
    </w:rPr>
  </w:style>
  <w:style w:type="paragraph" w:customStyle="1" w:styleId="52">
    <w:name w:val="biaoge_left"/>
    <w:basedOn w:val="1"/>
    <w:uiPriority w:val="0"/>
    <w:pPr>
      <w:widowControl/>
      <w:autoSpaceDE w:val="0"/>
      <w:autoSpaceDN w:val="0"/>
      <w:adjustRightInd w:val="0"/>
      <w:spacing w:before="29"/>
      <w:ind w:left="15"/>
      <w:jc w:val="left"/>
    </w:pPr>
    <w:rPr>
      <w:rFonts w:ascii="宋体" w:hAnsi="宋体" w:cs="宋体"/>
      <w:kern w:val="0"/>
      <w:szCs w:val="24"/>
    </w:rPr>
  </w:style>
  <w:style w:type="paragraph" w:customStyle="1" w:styleId="53">
    <w:name w:val="biaoge_center"/>
    <w:basedOn w:val="1"/>
    <w:uiPriority w:val="0"/>
    <w:pPr>
      <w:widowControl/>
      <w:autoSpaceDE w:val="0"/>
      <w:autoSpaceDN w:val="0"/>
      <w:adjustRightInd w:val="0"/>
      <w:spacing w:before="29"/>
      <w:ind w:left="15"/>
      <w:jc w:val="center"/>
    </w:pPr>
    <w:rPr>
      <w:rFonts w:ascii="宋体" w:hAnsi="宋体" w:cs="宋体"/>
      <w:kern w:val="0"/>
      <w:szCs w:val="24"/>
    </w:rPr>
  </w:style>
  <w:style w:type="paragraph" w:customStyle="1" w:styleId="54">
    <w:name w:val="biaoge_right"/>
    <w:basedOn w:val="1"/>
    <w:uiPriority w:val="0"/>
    <w:pPr>
      <w:widowControl/>
      <w:autoSpaceDE w:val="0"/>
      <w:autoSpaceDN w:val="0"/>
      <w:adjustRightInd w:val="0"/>
      <w:spacing w:before="29"/>
      <w:ind w:left="15"/>
      <w:jc w:val="right"/>
    </w:pPr>
    <w:rPr>
      <w:rFonts w:ascii="宋体" w:hAnsi="宋体" w:cs="宋体"/>
      <w:kern w:val="0"/>
      <w:szCs w:val="24"/>
    </w:rPr>
  </w:style>
  <w:style w:type="character" w:customStyle="1" w:styleId="55">
    <w:name w:val="zw"/>
    <w:basedOn w:val="30"/>
    <w:qFormat/>
    <w:uiPriority w:val="1"/>
    <w:rPr>
      <w:rFonts w:ascii="宋体" w:hAnsi="宋体" w:eastAsia="宋体"/>
      <w:color w:val="000000" w:themeColor="text1"/>
      <w:sz w:val="21"/>
      <w14:textFill>
        <w14:solidFill>
          <w14:schemeClr w14:val="tx1"/>
        </w14:solidFill>
      </w14:textFill>
    </w:rPr>
  </w:style>
  <w:style w:type="paragraph" w:customStyle="1" w:styleId="56">
    <w:name w:val="TOC Heading"/>
    <w:basedOn w:val="2"/>
    <w:next w:val="1"/>
    <w:unhideWhenUsed/>
    <w:qFormat/>
    <w:uiPriority w:val="39"/>
    <w:pPr>
      <w:keepNext/>
      <w:keepLines/>
      <w:widowControl/>
      <w:spacing w:before="24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57">
    <w:name w:val="文档结构图 字符"/>
    <w:basedOn w:val="30"/>
    <w:link w:val="8"/>
    <w:semiHidden/>
    <w:uiPriority w:val="99"/>
    <w:rPr>
      <w:rFonts w:ascii="宋体" w:eastAsia="宋体"/>
      <w:sz w:val="18"/>
      <w:szCs w:val="18"/>
    </w:rPr>
  </w:style>
  <w:style w:type="paragraph" w:customStyle="1" w:styleId="58">
    <w:name w:val="zhangjie_p2"/>
    <w:basedOn w:val="4"/>
    <w:next w:val="1"/>
    <w:qFormat/>
    <w:uiPriority w:val="0"/>
    <w:pPr>
      <w:spacing w:line="240" w:lineRule="auto"/>
      <w:jc w:val="left"/>
    </w:pPr>
    <w:rPr>
      <w:bCs w:val="0"/>
      <w:iCs/>
      <w:caps/>
      <w:sz w:val="21"/>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customXml" Target="../customXml/item1.xml"/><Relationship Id="rId11" Type="http://schemas.openxmlformats.org/officeDocument/2006/relationships/image" Target="media/image2.jpeg"/><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090AC41-F1FC-4D08-9FC0-94272FA532B1}">
  <ds:schemaRefs/>
</ds:datastoreItem>
</file>

<file path=docProps/app.xml><?xml version="1.0" encoding="utf-8"?>
<Properties xmlns="http://schemas.openxmlformats.org/officeDocument/2006/extended-properties" xmlns:vt="http://schemas.openxmlformats.org/officeDocument/2006/docPropsVTypes">
  <Template>Normal.dotm</Template>
  <Pages>2</Pages>
  <Words>24</Words>
  <Characters>139</Characters>
  <Lines>1</Lines>
  <Paragraphs>1</Paragraphs>
  <TotalTime>53</TotalTime>
  <ScaleCrop>false</ScaleCrop>
  <LinksUpToDate>false</LinksUpToDate>
  <CharactersWithSpaces>162</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2020-03-27T02:14:00Z</dcterms:created>
  <dc:creator>daicz</dc:creator>
  <cp:lastModifiedBy>聪子</cp:lastModifiedBy>
  <dcterms:modified xsi:type="dcterms:W3CDTF">2026-10-22T09:09:33Z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