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东方阿尔法科技智选混合型发起式证券投资基金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2026年第3季度报告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2026年09月30日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招商银行股份有限公司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2026年10月26日</w:t>
      </w:r>
    </w:p>
    <w:p>
      <w:pPr>
        <w:jc w:val="center"/>
      </w:pPr>
      <w:r>
        <w:br w:type="page"/>
      </w:r>
    </w:p>
    <w:p>
      <w:pPr>
        <w:pStyle w:val="2"/>
        <w:spacing w:line="576" w:lineRule="auto"/>
        <w:jc w:val="center"/>
        <w:rPr>
          <w:rFonts w:ascii="宋体" w:hAnsi="宋体" w:eastAsia="宋体"/>
          <w:sz w:val="24"/>
          <w:szCs w:val="24"/>
        </w:rPr>
      </w:pPr>
      <w:bookmarkStart w:id="0" w:name="_Toc73379713"/>
      <w:r>
        <w:rPr>
          <w:rFonts w:hint="eastAsia" w:ascii="宋体" w:hAnsi="宋体" w:eastAsia="宋体"/>
          <w:bCs w:val="0"/>
          <w:sz w:val="24"/>
          <w:szCs w:val="24"/>
        </w:rPr>
        <w:t>§1 重要提示</w:t>
      </w:r>
      <w:bookmarkEnd w:id="0"/>
    </w:p>
    <w:p>
      <w:pPr>
        <w:widowControl/>
        <w:rPr>
          <w:rFonts w:ascii="宋体" w:hAnsi="宋体" w:eastAsia="宋体"/>
        </w:rPr>
      </w:pPr>
      <w:r>
        <w:t xml:space="preserve">    基金管理人的董事会及董事保证本报告所载资料不存在虚假记载、误导性陈述或重大遗漏，并对其内容的真实性、准确性和完整性承担个别及连带责任。</w:t>
      </w:r>
      <w:r>
        <w:cr/>
      </w:r>
      <w:r>
        <w:t xml:space="preserve">    基金托管人招商银行股份有限公司根据本基金合同规定，于2026年10月23日复核了本报告中的财务指标、净值表现和投资组合报告等内容，保证复核内容不存在虚假记载、误导性陈述或者重大遗漏。</w:t>
      </w:r>
      <w:r>
        <w:cr/>
      </w:r>
      <w:r>
        <w:t xml:space="preserve">    基金管理人承诺以诚实信用、勤勉尽责的原则管理和运用基金资产，但不保证基金一定盈利。</w:t>
      </w:r>
      <w:r>
        <w:cr/>
      </w:r>
      <w:r>
        <w:t xml:space="preserve">    基金的过往业绩并不代表其未来表现。投资有风险，投资者在做出投资决策前应仔细阅读本基金的招募说明书。</w:t>
      </w:r>
      <w:r>
        <w:cr/>
      </w:r>
      <w:r>
        <w:t xml:space="preserve">    本报告中财务资料未经审计。</w:t>
      </w:r>
      <w:r>
        <w:cr/>
      </w:r>
      <w:r>
        <w:t xml:space="preserve">    本报告期自2026年07月01日起至2026年09月30日止。</w:t>
      </w:r>
    </w:p>
    <w:p/>
    <w:p>
      <w:pPr>
        <w:pStyle w:val="2"/>
        <w:jc w:val="center"/>
      </w:pPr>
      <w:r>
        <w:rPr>
          <w:rFonts w:ascii="宋体" w:hAnsi="宋体" w:eastAsia="宋体" w:cs="宋体"/>
        </w:rPr>
        <w:t>§2 基金产品概况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基金简称</w:t>
            </w:r>
          </w:p>
        </w:tc>
        <w:tc>
          <w:tcPr>
            <w:tcW w:w="3077" w:type="pct"/>
            <w:gridSpan w:val="2"/>
            <w:vAlign w:val="center"/>
          </w:tcPr>
          <w:p>
            <w:pPr>
              <w:spacing w:line="240" w:lineRule="auto"/>
              <w:jc w:val="left"/>
            </w:pPr>
            <w:r>
              <w:rPr>
                <w:rFonts w:ascii="宋体" w:hAnsi="宋体" w:eastAsia="宋体" w:cs="宋体"/>
                <w:b w:val="0"/>
              </w:rPr>
              <w:t>东方阿尔法科技智选混合发起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025499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2025年09月12日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4,677,625,086.17份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投资目标</w:t>
            </w:r>
          </w:p>
        </w:tc>
        <w:tc>
          <w:tcPr>
            <w:tcW w:w="2592" w:type="pct"/>
            <w:gridSpan w:val="2"/>
            <w:vAlign w:val="center"/>
          </w:tcPr>
          <w:p>
            <w:pPr>
              <w:spacing w:line="240" w:lineRule="auto"/>
              <w:jc w:val="left"/>
            </w:pPr>
            <w:r>
              <w:rPr>
                <w:rFonts w:ascii="宋体" w:hAnsi="宋体" w:eastAsia="宋体" w:cs="宋体"/>
                <w:b w:val="0"/>
              </w:rPr>
              <w:t>本基金重点关注科技主题上市公司的投资机会,在有效控制组合风险并保持良好流动性的前提下,精选个股,追求超越业绩比较基准的投资回报。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投资策略</w:t>
            </w:r>
          </w:p>
        </w:tc>
        <w:tc>
          <w:tcPr>
            <w:tcW w:w="0" w:type="dxa"/>
            <w:gridSpan w:val="2"/>
            <w:vAlign w:val="center"/>
          </w:tcPr>
          <w:p>
            <w:pPr>
              <w:spacing w:line="240" w:lineRule="auto"/>
              <w:jc w:val="left"/>
            </w:pPr>
            <w:r>
              <w:rPr>
                <w:rFonts w:ascii="宋体" w:hAnsi="宋体" w:eastAsia="宋体" w:cs="宋体"/>
                <w:b w:val="0"/>
              </w:rPr>
              <w:t>本基金的投资策略主要有以下11个方面内容：</w:t>
            </w:r>
            <w:r>
              <w:rPr>
                <w:rFonts w:ascii="宋体" w:hAnsi="宋体" w:eastAsia="宋体" w:cs="宋体"/>
                <w:b w:val="0"/>
              </w:rPr>
              <w:br w:type="textWrapping"/>
            </w:r>
            <w:r>
              <w:rPr>
                <w:rFonts w:ascii="宋体" w:hAnsi="宋体" w:eastAsia="宋体" w:cs="宋体"/>
                <w:b w:val="0"/>
              </w:rPr>
              <w:t>1、大类资产配置策略</w:t>
            </w:r>
            <w:r>
              <w:rPr>
                <w:rFonts w:ascii="宋体" w:hAnsi="宋体" w:eastAsia="宋体" w:cs="宋体"/>
                <w:b w:val="0"/>
              </w:rPr>
              <w:br w:type="textWrapping"/>
            </w:r>
            <w:r>
              <w:rPr>
                <w:rFonts w:ascii="宋体" w:hAnsi="宋体" w:eastAsia="宋体" w:cs="宋体"/>
                <w:b w:val="0"/>
              </w:rPr>
              <w:t>本基金将根据国内外宏观经济情况、国内外证券市场估值水平阶段性不断调整权益类资产和其他资产之间的大类资产配置比例。</w:t>
            </w:r>
            <w:r>
              <w:rPr>
                <w:rFonts w:ascii="宋体" w:hAnsi="宋体" w:eastAsia="宋体" w:cs="宋体"/>
                <w:b w:val="0"/>
              </w:rPr>
              <w:br w:type="textWrapping"/>
            </w:r>
            <w:r>
              <w:rPr>
                <w:rFonts w:ascii="宋体" w:hAnsi="宋体" w:eastAsia="宋体" w:cs="宋体"/>
                <w:b w:val="0"/>
              </w:rPr>
              <w:t>2、股票投资策略</w:t>
            </w:r>
            <w:r>
              <w:rPr>
                <w:rFonts w:ascii="宋体" w:hAnsi="宋体" w:eastAsia="宋体" w:cs="宋体"/>
                <w:b w:val="0"/>
              </w:rPr>
              <w:br w:type="textWrapping"/>
            </w:r>
            <w:r>
              <w:rPr>
                <w:rFonts w:ascii="宋体" w:hAnsi="宋体" w:eastAsia="宋体" w:cs="宋体"/>
                <w:b w:val="0"/>
              </w:rPr>
              <w:t>本基金通过定性与定量相结合的积极投资策略，自下而上地精选价值被低估并且具有良好基本面的符合科技主题的股票构建投资组合。</w:t>
            </w:r>
            <w:r>
              <w:rPr>
                <w:rFonts w:ascii="宋体" w:hAnsi="宋体" w:eastAsia="宋体" w:cs="宋体"/>
                <w:b w:val="0"/>
              </w:rPr>
              <w:br w:type="textWrapping"/>
            </w:r>
            <w:r>
              <w:rPr>
                <w:rFonts w:ascii="宋体" w:hAnsi="宋体" w:eastAsia="宋体" w:cs="宋体"/>
                <w:b w:val="0"/>
              </w:rPr>
              <w:t xml:space="preserve">3、港股投资策略 </w:t>
            </w:r>
            <w:r>
              <w:rPr>
                <w:rFonts w:ascii="宋体" w:hAnsi="宋体" w:eastAsia="宋体" w:cs="宋体"/>
                <w:b w:val="0"/>
              </w:rPr>
              <w:br w:type="textWrapping"/>
            </w:r>
            <w:r>
              <w:rPr>
                <w:rFonts w:ascii="宋体" w:hAnsi="宋体" w:eastAsia="宋体" w:cs="宋体"/>
                <w:b w:val="0"/>
              </w:rPr>
              <w:t>本基金将通过内地与香港股票市场交易互联互通机制投资于香港股票市场，不使用合格境内机构投资者(QDII)境外投资额度进行境外投资。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4、存托凭证投资策略</w:t>
            </w:r>
            <w:r>
              <w:rPr>
                <w:rFonts w:ascii="宋体" w:hAnsi="宋体" w:eastAsia="宋体" w:cs="宋体"/>
                <w:b w:val="0"/>
              </w:rPr>
              <w:br w:type="textWrapping"/>
            </w:r>
            <w:r>
              <w:rPr>
                <w:rFonts w:ascii="宋体" w:hAnsi="宋体" w:eastAsia="宋体" w:cs="宋体"/>
                <w:b w:val="0"/>
              </w:rPr>
              <w:t>本基金在深入研究的基础上，通过定性分析和定量分析相结合的方式，选择投资价值高的存托凭证进行投资。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5、债券类资产投资策略</w:t>
            </w:r>
            <w:r>
              <w:rPr>
                <w:rFonts w:ascii="宋体" w:hAnsi="宋体" w:eastAsia="宋体" w:cs="宋体"/>
                <w:b w:val="0"/>
              </w:rPr>
              <w:br w:type="textWrapping"/>
            </w:r>
            <w:r>
              <w:rPr>
                <w:rFonts w:ascii="宋体" w:hAnsi="宋体" w:eastAsia="宋体" w:cs="宋体"/>
                <w:b w:val="0"/>
              </w:rPr>
              <w:t>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6、可转债（含分离交易可转债）及可交换债券投资策略</w:t>
            </w:r>
            <w:r>
              <w:rPr>
                <w:rFonts w:ascii="宋体" w:hAnsi="宋体" w:eastAsia="宋体" w:cs="宋体"/>
                <w:b w:val="0"/>
              </w:rPr>
              <w:br w:type="textWrapping"/>
            </w:r>
            <w:r>
              <w:rPr>
                <w:rFonts w:ascii="宋体" w:hAnsi="宋体" w:eastAsia="宋体" w:cs="宋体"/>
                <w:b w:val="0"/>
              </w:rPr>
              <w:t>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7、股指期货投资策略</w:t>
            </w:r>
            <w:r>
              <w:rPr>
                <w:rFonts w:ascii="宋体" w:hAnsi="宋体" w:eastAsia="宋体" w:cs="宋体"/>
                <w:b w:val="0"/>
              </w:rPr>
              <w:br w:type="textWrapping"/>
            </w:r>
            <w:r>
              <w:rPr>
                <w:rFonts w:ascii="宋体" w:hAnsi="宋体" w:eastAsia="宋体" w:cs="宋体"/>
                <w:b w:val="0"/>
              </w:rPr>
              <w:t>本基金将按照风险管理的原则，以套期保值为主要目的，参与股指期货的投资。此外，本基金还将运用股指期货来管理特殊情况下的流动性风险，如预期大额申购赎回、大量分红等。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8、融资业务投资策略</w:t>
            </w:r>
            <w:r>
              <w:rPr>
                <w:rFonts w:ascii="宋体" w:hAnsi="宋体" w:eastAsia="宋体" w:cs="宋体"/>
                <w:b w:val="0"/>
              </w:rPr>
              <w:br w:type="textWrapping"/>
            </w:r>
            <w:r>
              <w:rPr>
                <w:rFonts w:ascii="宋体" w:hAnsi="宋体" w:eastAsia="宋体" w:cs="宋体"/>
                <w:b w:val="0"/>
              </w:rPr>
              <w:t>本基金如参与融资业务，将综合考虑融资成本、保证金比例、冲抵保证金证券折算率、信用资质等条件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9、国债期货投资策略</w:t>
            </w:r>
            <w:r>
              <w:rPr>
                <w:rFonts w:ascii="宋体" w:hAnsi="宋体" w:eastAsia="宋体" w:cs="宋体"/>
                <w:b w:val="0"/>
              </w:rPr>
              <w:br w:type="textWrapping"/>
            </w:r>
            <w:r>
              <w:rPr>
                <w:rFonts w:ascii="宋体" w:hAnsi="宋体" w:eastAsia="宋体" w:cs="宋体"/>
                <w:b w:val="0"/>
              </w:rPr>
              <w:t>本基金以套期保值为主要目的，参与国债期货的投资，管理市场风险，故国债期货空头的合约价值主要与债券组合的多头价值相对应。</w:t>
            </w:r>
            <w:r>
              <w:rPr>
                <w:rFonts w:ascii="宋体" w:hAnsi="宋体" w:eastAsia="宋体" w:cs="宋体"/>
                <w:b w:val="0"/>
              </w:rPr>
              <w:br w:type="textWrapping"/>
            </w:r>
            <w:r>
              <w:rPr>
                <w:rFonts w:ascii="宋体" w:hAnsi="宋体" w:eastAsia="宋体" w:cs="宋体"/>
                <w:b w:val="0"/>
              </w:rPr>
              <w:t>10、股票期权投资策略</w:t>
            </w:r>
            <w:r>
              <w:rPr>
                <w:rFonts w:ascii="宋体" w:hAnsi="宋体" w:eastAsia="宋体" w:cs="宋体"/>
                <w:b w:val="0"/>
              </w:rPr>
              <w:br w:type="textWrapping"/>
            </w:r>
            <w:r>
              <w:rPr>
                <w:rFonts w:ascii="宋体" w:hAnsi="宋体" w:eastAsia="宋体" w:cs="宋体"/>
                <w:b w:val="0"/>
              </w:rPr>
              <w:t>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11、资产支持证券投资策略</w:t>
            </w:r>
            <w:r>
              <w:rPr>
                <w:rFonts w:ascii="宋体" w:hAnsi="宋体" w:eastAsia="宋体" w:cs="宋体"/>
                <w:b w:val="0"/>
              </w:rPr>
              <w:br w:type="textWrapping"/>
            </w:r>
            <w:r>
              <w:rPr>
                <w:rFonts w:ascii="宋体" w:hAnsi="宋体" w:eastAsia="宋体" w:cs="宋体"/>
                <w:b w:val="0"/>
              </w:rPr>
              <w:t>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业绩比较基准</w:t>
            </w:r>
          </w:p>
        </w:tc>
        <w:tc>
          <w:tcPr>
            <w:tcW w:w="0" w:type="dxa"/>
            <w:gridSpan w:val="2"/>
            <w:vAlign w:val="center"/>
          </w:tcPr>
          <w:p>
            <w:pPr>
              <w:spacing w:line="240" w:lineRule="auto"/>
              <w:jc w:val="left"/>
            </w:pPr>
            <w:r>
              <w:rPr>
                <w:rFonts w:ascii="宋体" w:hAnsi="宋体" w:eastAsia="宋体" w:cs="宋体"/>
                <w:b w:val="0"/>
              </w:rPr>
              <w:t>中国战略新兴产业成份指数收益率*70%+中债-综合指数(全价)收益率*20%+恒生科技指数收益率(按估值汇率折算)*10%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风险收益特征</w:t>
            </w:r>
          </w:p>
        </w:tc>
        <w:tc>
          <w:tcPr>
            <w:tcW w:w="2592" w:type="pct"/>
            <w:gridSpan w:val="2"/>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500" w:type="pct"/>
            <w:vAlign w:val="center"/>
          </w:tcPr>
          <w:p>
            <w:pPr>
              <w:spacing w:line="240" w:lineRule="auto"/>
              <w:jc w:val="left"/>
            </w:pPr>
            <w:r>
              <w:rPr>
                <w:rFonts w:ascii="宋体" w:hAnsi="宋体" w:eastAsia="宋体" w:cs="宋体"/>
                <w:b w:val="0"/>
              </w:rPr>
              <w:t>东方阿尔法科技智选混合发起A</w:t>
            </w:r>
          </w:p>
        </w:tc>
        <w:tc>
          <w:tcPr>
            <w:tcW w:w="1500" w:type="pct"/>
            <w:vAlign w:val="center"/>
          </w:tcPr>
          <w:p>
            <w:pPr>
              <w:spacing w:line="240" w:lineRule="auto"/>
              <w:jc w:val="left"/>
            </w:pPr>
            <w:r>
              <w:rPr>
                <w:rFonts w:ascii="宋体" w:hAnsi="宋体" w:eastAsia="宋体" w:cs="宋体"/>
                <w:b w:val="0"/>
              </w:rPr>
              <w:t>东方阿尔法科技智选混合发起C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500" w:type="pct"/>
            <w:vAlign w:val="center"/>
          </w:tcPr>
          <w:p>
            <w:pPr>
              <w:spacing w:line="240" w:lineRule="auto"/>
              <w:jc w:val="left"/>
            </w:pPr>
            <w:r>
              <w:rPr>
                <w:rFonts w:ascii="宋体" w:hAnsi="宋体" w:eastAsia="宋体" w:cs="宋体"/>
                <w:b w:val="0"/>
              </w:rPr>
              <w:t>025499</w:t>
            </w:r>
          </w:p>
        </w:tc>
        <w:tc>
          <w:tcPr>
            <w:tcW w:w="1500" w:type="pct"/>
            <w:vAlign w:val="center"/>
          </w:tcPr>
          <w:p>
            <w:pPr>
              <w:spacing w:line="240" w:lineRule="auto"/>
              <w:jc w:val="left"/>
            </w:pPr>
            <w:r>
              <w:rPr>
                <w:rFonts w:ascii="宋体" w:hAnsi="宋体" w:eastAsia="宋体" w:cs="宋体"/>
                <w:b w:val="0"/>
              </w:rPr>
              <w:t>025500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500" w:type="pct"/>
            <w:vAlign w:val="center"/>
          </w:tcPr>
          <w:p>
            <w:pPr>
              <w:spacing w:line="240" w:lineRule="auto"/>
              <w:jc w:val="left"/>
            </w:pPr>
            <w:r>
              <w:rPr>
                <w:rFonts w:ascii="宋体" w:hAnsi="宋体" w:eastAsia="宋体" w:cs="宋体"/>
                <w:b w:val="0"/>
              </w:rPr>
              <w:t>218,935,431.92份</w:t>
            </w:r>
          </w:p>
        </w:tc>
        <w:tc>
          <w:tcPr>
            <w:tcW w:w="1500" w:type="pct"/>
            <w:vAlign w:val="center"/>
          </w:tcPr>
          <w:p>
            <w:pPr>
              <w:spacing w:line="240" w:lineRule="auto"/>
              <w:jc w:val="left"/>
            </w:pPr>
            <w:r>
              <w:rPr>
                <w:rFonts w:ascii="宋体" w:hAnsi="宋体" w:eastAsia="宋体" w:cs="宋体"/>
                <w:b w:val="0"/>
              </w:rPr>
              <w:t>4,458,689,654.25份</w:t>
            </w:r>
          </w:p>
        </w:tc>
      </w:tr>
    </w:tbl>
    <w:p>
      <w:pPr>
        <w:pStyle w:val="2"/>
        <w:jc w:val="center"/>
      </w:pPr>
      <w:r>
        <w:rPr>
          <w:rFonts w:ascii="宋体" w:hAnsi="宋体" w:eastAsia="宋体" w:cs="宋体"/>
        </w:rPr>
        <w:t>§3 主要财务指标和基金净值表现</w:t>
      </w:r>
    </w:p>
    <w:p>
      <w:pPr>
        <w:pStyle w:val="3"/>
        <w:jc w:val="left"/>
      </w:pPr>
      <w:r>
        <w:rPr>
          <w:rFonts w:ascii="宋体" w:hAnsi="宋体" w:eastAsia="宋体" w:cs="宋体"/>
        </w:rPr>
        <w:t>3.1 主要财务指标</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center"/>
            </w:pPr>
            <w:r>
              <w:rPr>
                <w:rFonts w:ascii="宋体" w:hAnsi="宋体" w:eastAsia="宋体" w:cs="宋体"/>
                <w:b/>
              </w:rPr>
              <w:t>主要财务指标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报告期（2026年07月01日-2026年09月30日）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东方阿尔法科技智选混合发起A</w:t>
            </w:r>
          </w:p>
        </w:tc>
        <w:tc>
          <w:tcPr>
            <w:tcW w:w="1500" w:type="pct"/>
            <w:shd w:val="clear" w:color="auto" w:fill="D9D9D9"/>
            <w:vAlign w:val="center"/>
          </w:tcPr>
          <w:p>
            <w:pPr>
              <w:spacing w:line="240" w:lineRule="auto"/>
              <w:jc w:val="center"/>
            </w:pPr>
            <w:r>
              <w:rPr>
                <w:rFonts w:ascii="宋体" w:hAnsi="宋体" w:eastAsia="宋体" w:cs="宋体"/>
                <w:b w:val="0"/>
              </w:rPr>
              <w:t>东方阿尔法科技智选混合发起C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1.本期已实现收益</w:t>
            </w:r>
          </w:p>
        </w:tc>
        <w:tc>
          <w:tcPr>
            <w:tcW w:w="1500" w:type="pct"/>
            <w:vAlign w:val="center"/>
          </w:tcPr>
          <w:p>
            <w:pPr>
              <w:spacing w:line="240" w:lineRule="auto"/>
              <w:jc w:val="right"/>
            </w:pPr>
            <w:r>
              <w:rPr>
                <w:rFonts w:ascii="宋体" w:hAnsi="宋体" w:eastAsia="宋体" w:cs="宋体"/>
                <w:b w:val="0"/>
              </w:rPr>
              <w:t>-82,767,349.95</w:t>
            </w:r>
          </w:p>
        </w:tc>
        <w:tc>
          <w:tcPr>
            <w:tcW w:w="1500" w:type="pct"/>
            <w:vAlign w:val="center"/>
          </w:tcPr>
          <w:p>
            <w:pPr>
              <w:spacing w:line="240" w:lineRule="auto"/>
              <w:jc w:val="right"/>
            </w:pPr>
            <w:r>
              <w:rPr>
                <w:rFonts w:ascii="宋体" w:hAnsi="宋体" w:eastAsia="宋体" w:cs="宋体"/>
                <w:b w:val="0"/>
              </w:rPr>
              <w:t>-1,574,080,692.14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2.本期利润</w:t>
            </w:r>
          </w:p>
        </w:tc>
        <w:tc>
          <w:tcPr>
            <w:tcW w:w="1500" w:type="pct"/>
            <w:vAlign w:val="center"/>
          </w:tcPr>
          <w:p>
            <w:pPr>
              <w:spacing w:line="240" w:lineRule="auto"/>
              <w:jc w:val="right"/>
            </w:pPr>
            <w:r>
              <w:rPr>
                <w:rFonts w:ascii="宋体" w:hAnsi="宋体" w:eastAsia="宋体" w:cs="宋体"/>
                <w:b w:val="0"/>
              </w:rPr>
              <w:t>-339,186,005.68</w:t>
            </w:r>
          </w:p>
        </w:tc>
        <w:tc>
          <w:tcPr>
            <w:tcW w:w="1500" w:type="pct"/>
            <w:vAlign w:val="center"/>
          </w:tcPr>
          <w:p>
            <w:pPr>
              <w:spacing w:line="240" w:lineRule="auto"/>
              <w:jc w:val="right"/>
            </w:pPr>
            <w:r>
              <w:rPr>
                <w:rFonts w:ascii="宋体" w:hAnsi="宋体" w:eastAsia="宋体" w:cs="宋体"/>
                <w:b w:val="0"/>
              </w:rPr>
              <w:t>-7,532,362,142.67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3.加权平均基金份额本期利润</w:t>
            </w:r>
          </w:p>
        </w:tc>
        <w:tc>
          <w:tcPr>
            <w:tcW w:w="1500" w:type="pct"/>
            <w:vAlign w:val="center"/>
          </w:tcPr>
          <w:p>
            <w:pPr>
              <w:spacing w:line="240" w:lineRule="auto"/>
              <w:jc w:val="right"/>
            </w:pPr>
            <w:r>
              <w:rPr>
                <w:rFonts w:ascii="宋体" w:hAnsi="宋体" w:eastAsia="宋体" w:cs="宋体"/>
                <w:b w:val="0"/>
              </w:rPr>
              <w:t>-1.4707</w:t>
            </w:r>
          </w:p>
        </w:tc>
        <w:tc>
          <w:tcPr>
            <w:tcW w:w="1500" w:type="pct"/>
            <w:vAlign w:val="center"/>
          </w:tcPr>
          <w:p>
            <w:pPr>
              <w:spacing w:line="240" w:lineRule="auto"/>
              <w:jc w:val="right"/>
            </w:pPr>
            <w:r>
              <w:rPr>
                <w:rFonts w:ascii="宋体" w:hAnsi="宋体" w:eastAsia="宋体" w:cs="宋体"/>
                <w:b w:val="0"/>
              </w:rPr>
              <w:t>-1.5622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4.期末基金资产净值</w:t>
            </w:r>
          </w:p>
        </w:tc>
        <w:tc>
          <w:tcPr>
            <w:tcW w:w="1500" w:type="pct"/>
            <w:vAlign w:val="center"/>
          </w:tcPr>
          <w:p>
            <w:pPr>
              <w:spacing w:line="240" w:lineRule="auto"/>
              <w:jc w:val="right"/>
            </w:pPr>
            <w:r>
              <w:rPr>
                <w:rFonts w:ascii="宋体" w:hAnsi="宋体" w:eastAsia="宋体" w:cs="宋体"/>
                <w:b w:val="0"/>
              </w:rPr>
              <w:t>328,715,158.20</w:t>
            </w:r>
          </w:p>
        </w:tc>
        <w:tc>
          <w:tcPr>
            <w:tcW w:w="1500" w:type="pct"/>
            <w:vAlign w:val="center"/>
          </w:tcPr>
          <w:p>
            <w:pPr>
              <w:spacing w:line="240" w:lineRule="auto"/>
              <w:jc w:val="right"/>
            </w:pPr>
            <w:r>
              <w:rPr>
                <w:rFonts w:ascii="宋体" w:hAnsi="宋体" w:eastAsia="宋体" w:cs="宋体"/>
                <w:b w:val="0"/>
              </w:rPr>
              <w:t>6,669,649,412.88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5.期末基金份额净值</w:t>
            </w:r>
          </w:p>
        </w:tc>
        <w:tc>
          <w:tcPr>
            <w:tcW w:w="1500" w:type="pct"/>
            <w:vAlign w:val="center"/>
          </w:tcPr>
          <w:p>
            <w:pPr>
              <w:spacing w:line="240" w:lineRule="auto"/>
              <w:jc w:val="right"/>
            </w:pPr>
            <w:r>
              <w:rPr>
                <w:rFonts w:ascii="宋体" w:hAnsi="宋体" w:eastAsia="宋体" w:cs="宋体"/>
                <w:b w:val="0"/>
              </w:rPr>
              <w:t>1.5014</w:t>
            </w:r>
          </w:p>
        </w:tc>
        <w:tc>
          <w:tcPr>
            <w:tcW w:w="1500" w:type="pct"/>
            <w:vAlign w:val="center"/>
          </w:tcPr>
          <w:p>
            <w:pPr>
              <w:spacing w:line="240" w:lineRule="auto"/>
              <w:jc w:val="right"/>
            </w:pPr>
            <w:r>
              <w:rPr>
                <w:rFonts w:ascii="宋体" w:hAnsi="宋体" w:eastAsia="宋体" w:cs="宋体"/>
                <w:b w:val="0"/>
              </w:rPr>
              <w:t>1.4959</w:t>
            </w:r>
          </w:p>
        </w:tc>
      </w:tr>
    </w:tbl>
    <w:p>
      <w:r>
        <w:rPr>
          <w:rFonts w:ascii="宋体" w:hAnsi="宋体" w:eastAsia="宋体" w:cs="宋体"/>
          <w:b w:val="0"/>
        </w:rPr>
        <w:t>注：1、本期已实现收益指基金本期利息收入、投资收益、其他收入(不含公允价值变动收益)扣除相关费用后的余额，本期利润为本期已实现收益加上本期公允价值变动收益。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2、所述基金业绩指标不包括持有人认购或交易基金的各项费用，计入费用后实际收益水平要低于所列数字。</w:t>
      </w:r>
    </w:p>
    <w:p/>
    <w:p>
      <w:pPr>
        <w:pStyle w:val="3"/>
        <w:jc w:val="left"/>
      </w:pPr>
      <w:r>
        <w:rPr>
          <w:rFonts w:ascii="宋体" w:hAnsi="宋体" w:eastAsia="宋体" w:cs="宋体"/>
        </w:rPr>
        <w:t>3.2 基金净值表现</w:t>
      </w:r>
    </w:p>
    <w:p>
      <w:pPr>
        <w:pStyle w:val="58"/>
      </w:pPr>
      <w:r>
        <w:rPr>
          <w:rStyle w:val="30"/>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东方阿尔法科技智选混合发起A净值表现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-45.76%</w:t>
            </w:r>
          </w:p>
        </w:tc>
        <w:tc>
          <w:tcPr>
            <w:tcW w:w="0" w:type="dxa"/>
            <w:vAlign w:val="center"/>
          </w:tcPr>
          <w:p>
            <w:pPr>
              <w:spacing w:line="240" w:lineRule="auto"/>
              <w:jc w:val="right"/>
            </w:pPr>
            <w:r>
              <w:rPr>
                <w:rFonts w:ascii="宋体" w:hAnsi="宋体" w:eastAsia="宋体" w:cs="宋体"/>
                <w:b w:val="0"/>
              </w:rPr>
              <w:t>4.59%</w:t>
            </w:r>
          </w:p>
        </w:tc>
        <w:tc>
          <w:tcPr>
            <w:tcW w:w="0" w:type="dxa"/>
            <w:vAlign w:val="center"/>
          </w:tcPr>
          <w:p>
            <w:pPr>
              <w:spacing w:line="240" w:lineRule="auto"/>
              <w:jc w:val="right"/>
            </w:pPr>
            <w:r>
              <w:rPr>
                <w:rFonts w:ascii="宋体" w:hAnsi="宋体" w:eastAsia="宋体" w:cs="宋体"/>
                <w:b w:val="0"/>
              </w:rPr>
              <w:t>-21.67%</w:t>
            </w:r>
          </w:p>
        </w:tc>
        <w:tc>
          <w:tcPr>
            <w:tcW w:w="0" w:type="dxa"/>
            <w:vAlign w:val="center"/>
          </w:tcPr>
          <w:p>
            <w:pPr>
              <w:spacing w:line="240" w:lineRule="auto"/>
              <w:jc w:val="right"/>
            </w:pPr>
            <w:r>
              <w:rPr>
                <w:rFonts w:ascii="宋体" w:hAnsi="宋体" w:eastAsia="宋体" w:cs="宋体"/>
                <w:b w:val="0"/>
              </w:rPr>
              <w:t>2.23%</w:t>
            </w:r>
          </w:p>
        </w:tc>
        <w:tc>
          <w:tcPr>
            <w:tcW w:w="0" w:type="dxa"/>
            <w:vAlign w:val="center"/>
          </w:tcPr>
          <w:p>
            <w:pPr>
              <w:spacing w:line="240" w:lineRule="auto"/>
              <w:jc w:val="right"/>
            </w:pPr>
            <w:r>
              <w:rPr>
                <w:rFonts w:ascii="宋体" w:hAnsi="宋体" w:eastAsia="宋体" w:cs="宋体"/>
                <w:b w:val="0"/>
              </w:rPr>
              <w:t>-24.09%</w:t>
            </w:r>
          </w:p>
        </w:tc>
        <w:tc>
          <w:tcPr>
            <w:tcW w:w="0" w:type="dxa"/>
            <w:vAlign w:val="center"/>
          </w:tcPr>
          <w:p>
            <w:pPr>
              <w:spacing w:line="240" w:lineRule="auto"/>
              <w:jc w:val="right"/>
            </w:pPr>
            <w:r>
              <w:rPr>
                <w:rFonts w:ascii="宋体" w:hAnsi="宋体" w:eastAsia="宋体" w:cs="宋体"/>
                <w:b w:val="0"/>
              </w:rPr>
              <w:t>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30.82%</w:t>
            </w:r>
          </w:p>
        </w:tc>
        <w:tc>
          <w:tcPr>
            <w:tcW w:w="0" w:type="dxa"/>
            <w:vAlign w:val="center"/>
          </w:tcPr>
          <w:p>
            <w:pPr>
              <w:spacing w:line="240" w:lineRule="auto"/>
              <w:jc w:val="right"/>
            </w:pPr>
            <w:r>
              <w:rPr>
                <w:rFonts w:ascii="宋体" w:hAnsi="宋体" w:eastAsia="宋体" w:cs="宋体"/>
                <w:b w:val="0"/>
              </w:rPr>
              <w:t>4.33%</w:t>
            </w:r>
          </w:p>
        </w:tc>
        <w:tc>
          <w:tcPr>
            <w:tcW w:w="0" w:type="dxa"/>
            <w:vAlign w:val="center"/>
          </w:tcPr>
          <w:p>
            <w:pPr>
              <w:spacing w:line="240" w:lineRule="auto"/>
              <w:jc w:val="right"/>
            </w:pPr>
            <w:r>
              <w:rPr>
                <w:rFonts w:ascii="宋体" w:hAnsi="宋体" w:eastAsia="宋体" w:cs="宋体"/>
                <w:b w:val="0"/>
              </w:rPr>
              <w:t>9.97%</w:t>
            </w:r>
          </w:p>
        </w:tc>
        <w:tc>
          <w:tcPr>
            <w:tcW w:w="0" w:type="dxa"/>
            <w:vAlign w:val="center"/>
          </w:tcPr>
          <w:p>
            <w:pPr>
              <w:spacing w:line="240" w:lineRule="auto"/>
              <w:jc w:val="right"/>
            </w:pPr>
            <w:r>
              <w:rPr>
                <w:rFonts w:ascii="宋体" w:hAnsi="宋体" w:eastAsia="宋体" w:cs="宋体"/>
                <w:b w:val="0"/>
              </w:rPr>
              <w:t>2.08%</w:t>
            </w:r>
          </w:p>
        </w:tc>
        <w:tc>
          <w:tcPr>
            <w:tcW w:w="0" w:type="dxa"/>
            <w:vAlign w:val="center"/>
          </w:tcPr>
          <w:p>
            <w:pPr>
              <w:spacing w:line="240" w:lineRule="auto"/>
              <w:jc w:val="right"/>
            </w:pPr>
            <w:r>
              <w:rPr>
                <w:rFonts w:ascii="宋体" w:hAnsi="宋体" w:eastAsia="宋体" w:cs="宋体"/>
                <w:b w:val="0"/>
              </w:rPr>
              <w:t>20.85%</w:t>
            </w:r>
          </w:p>
        </w:tc>
        <w:tc>
          <w:tcPr>
            <w:tcW w:w="0" w:type="dxa"/>
            <w:vAlign w:val="center"/>
          </w:tcPr>
          <w:p>
            <w:pPr>
              <w:spacing w:line="240" w:lineRule="auto"/>
              <w:jc w:val="right"/>
            </w:pPr>
            <w:r>
              <w:rPr>
                <w:rFonts w:ascii="宋体" w:hAnsi="宋体" w:eastAsia="宋体" w:cs="宋体"/>
                <w:b w:val="0"/>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50.25%</w:t>
            </w:r>
          </w:p>
        </w:tc>
        <w:tc>
          <w:tcPr>
            <w:tcW w:w="0" w:type="dxa"/>
            <w:vAlign w:val="center"/>
          </w:tcPr>
          <w:p>
            <w:pPr>
              <w:spacing w:line="240" w:lineRule="auto"/>
              <w:jc w:val="right"/>
            </w:pPr>
            <w:r>
              <w:rPr>
                <w:rFonts w:ascii="宋体" w:hAnsi="宋体" w:eastAsia="宋体" w:cs="宋体"/>
                <w:b w:val="0"/>
              </w:rPr>
              <w:t>3.87%</w:t>
            </w:r>
          </w:p>
        </w:tc>
        <w:tc>
          <w:tcPr>
            <w:tcW w:w="0" w:type="dxa"/>
            <w:vAlign w:val="center"/>
          </w:tcPr>
          <w:p>
            <w:pPr>
              <w:spacing w:line="240" w:lineRule="auto"/>
              <w:jc w:val="right"/>
            </w:pPr>
            <w:r>
              <w:rPr>
                <w:rFonts w:ascii="宋体" w:hAnsi="宋体" w:eastAsia="宋体" w:cs="宋体"/>
                <w:b w:val="0"/>
              </w:rPr>
              <w:t>2.49%</w:t>
            </w:r>
          </w:p>
        </w:tc>
        <w:tc>
          <w:tcPr>
            <w:tcW w:w="0" w:type="dxa"/>
            <w:vAlign w:val="center"/>
          </w:tcPr>
          <w:p>
            <w:pPr>
              <w:spacing w:line="240" w:lineRule="auto"/>
              <w:jc w:val="right"/>
            </w:pPr>
            <w:r>
              <w:rPr>
                <w:rFonts w:ascii="宋体" w:hAnsi="宋体" w:eastAsia="宋体" w:cs="宋体"/>
                <w:b w:val="0"/>
              </w:rPr>
              <w:t>1.77%</w:t>
            </w:r>
          </w:p>
        </w:tc>
        <w:tc>
          <w:tcPr>
            <w:tcW w:w="0" w:type="dxa"/>
            <w:vAlign w:val="center"/>
          </w:tcPr>
          <w:p>
            <w:pPr>
              <w:spacing w:line="240" w:lineRule="auto"/>
              <w:jc w:val="right"/>
            </w:pPr>
            <w:r>
              <w:rPr>
                <w:rFonts w:ascii="宋体" w:hAnsi="宋体" w:eastAsia="宋体" w:cs="宋体"/>
                <w:b w:val="0"/>
              </w:rPr>
              <w:t>47.76%</w:t>
            </w:r>
          </w:p>
        </w:tc>
        <w:tc>
          <w:tcPr>
            <w:tcW w:w="0" w:type="dxa"/>
            <w:vAlign w:val="center"/>
          </w:tcPr>
          <w:p>
            <w:pPr>
              <w:spacing w:line="240" w:lineRule="auto"/>
              <w:jc w:val="right"/>
            </w:pPr>
            <w:r>
              <w:rPr>
                <w:rFonts w:ascii="宋体" w:hAnsi="宋体" w:eastAsia="宋体" w:cs="宋体"/>
                <w:b w:val="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50.14%</w:t>
            </w:r>
          </w:p>
        </w:tc>
        <w:tc>
          <w:tcPr>
            <w:tcW w:w="0" w:type="dxa"/>
            <w:vAlign w:val="center"/>
          </w:tcPr>
          <w:p>
            <w:pPr>
              <w:spacing w:line="240" w:lineRule="auto"/>
              <w:jc w:val="right"/>
            </w:pPr>
            <w:r>
              <w:rPr>
                <w:rFonts w:ascii="宋体" w:hAnsi="宋体" w:eastAsia="宋体" w:cs="宋体"/>
                <w:b w:val="0"/>
              </w:rPr>
              <w:t>3.80%</w:t>
            </w:r>
          </w:p>
        </w:tc>
        <w:tc>
          <w:tcPr>
            <w:tcW w:w="0" w:type="dxa"/>
            <w:vAlign w:val="center"/>
          </w:tcPr>
          <w:p>
            <w:pPr>
              <w:spacing w:line="240" w:lineRule="auto"/>
              <w:jc w:val="right"/>
            </w:pPr>
            <w:r>
              <w:rPr>
                <w:rFonts w:ascii="宋体" w:hAnsi="宋体" w:eastAsia="宋体" w:cs="宋体"/>
                <w:b w:val="0"/>
              </w:rPr>
              <w:t>7.08%</w:t>
            </w:r>
          </w:p>
        </w:tc>
        <w:tc>
          <w:tcPr>
            <w:tcW w:w="0" w:type="dxa"/>
            <w:vAlign w:val="center"/>
          </w:tcPr>
          <w:p>
            <w:pPr>
              <w:spacing w:line="240" w:lineRule="auto"/>
              <w:jc w:val="right"/>
            </w:pPr>
            <w:r>
              <w:rPr>
                <w:rFonts w:ascii="宋体" w:hAnsi="宋体" w:eastAsia="宋体" w:cs="宋体"/>
                <w:b w:val="0"/>
              </w:rPr>
              <w:t>1.74%</w:t>
            </w:r>
          </w:p>
        </w:tc>
        <w:tc>
          <w:tcPr>
            <w:tcW w:w="0" w:type="dxa"/>
            <w:vAlign w:val="center"/>
          </w:tcPr>
          <w:p>
            <w:pPr>
              <w:spacing w:line="240" w:lineRule="auto"/>
              <w:jc w:val="right"/>
            </w:pPr>
            <w:r>
              <w:rPr>
                <w:rFonts w:ascii="宋体" w:hAnsi="宋体" w:eastAsia="宋体" w:cs="宋体"/>
                <w:b w:val="0"/>
              </w:rPr>
              <w:t>43.06%</w:t>
            </w:r>
          </w:p>
        </w:tc>
        <w:tc>
          <w:tcPr>
            <w:tcW w:w="0" w:type="dxa"/>
            <w:vAlign w:val="center"/>
          </w:tcPr>
          <w:p>
            <w:pPr>
              <w:spacing w:line="240" w:lineRule="auto"/>
              <w:jc w:val="right"/>
            </w:pPr>
            <w:r>
              <w:rPr>
                <w:rFonts w:ascii="宋体" w:hAnsi="宋体" w:eastAsia="宋体" w:cs="宋体"/>
                <w:b w:val="0"/>
              </w:rPr>
              <w:t>2.06%</w:t>
            </w:r>
          </w:p>
        </w:tc>
      </w:tr>
    </w:tbl>
    <w:p>
      <w:pPr>
        <w:jc w:val="left"/>
      </w:pPr>
      <w:r>
        <w:rPr>
          <w:rFonts w:ascii="宋体" w:hAnsi="宋体" w:eastAsia="宋体" w:cs="宋体"/>
          <w:b/>
        </w:rPr>
        <w:t>东方阿尔法科技智选混合发起C净值表现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-45.81%</w:t>
            </w:r>
          </w:p>
        </w:tc>
        <w:tc>
          <w:tcPr>
            <w:tcW w:w="0" w:type="dxa"/>
            <w:vAlign w:val="center"/>
          </w:tcPr>
          <w:p>
            <w:pPr>
              <w:spacing w:line="240" w:lineRule="auto"/>
              <w:jc w:val="right"/>
            </w:pPr>
            <w:r>
              <w:rPr>
                <w:rFonts w:ascii="宋体" w:hAnsi="宋体" w:eastAsia="宋体" w:cs="宋体"/>
                <w:b w:val="0"/>
              </w:rPr>
              <w:t>4.59%</w:t>
            </w:r>
          </w:p>
        </w:tc>
        <w:tc>
          <w:tcPr>
            <w:tcW w:w="0" w:type="dxa"/>
            <w:vAlign w:val="center"/>
          </w:tcPr>
          <w:p>
            <w:pPr>
              <w:spacing w:line="240" w:lineRule="auto"/>
              <w:jc w:val="right"/>
            </w:pPr>
            <w:r>
              <w:rPr>
                <w:rFonts w:ascii="宋体" w:hAnsi="宋体" w:eastAsia="宋体" w:cs="宋体"/>
                <w:b w:val="0"/>
              </w:rPr>
              <w:t>-21.67%</w:t>
            </w:r>
          </w:p>
        </w:tc>
        <w:tc>
          <w:tcPr>
            <w:tcW w:w="0" w:type="dxa"/>
            <w:vAlign w:val="center"/>
          </w:tcPr>
          <w:p>
            <w:pPr>
              <w:spacing w:line="240" w:lineRule="auto"/>
              <w:jc w:val="right"/>
            </w:pPr>
            <w:r>
              <w:rPr>
                <w:rFonts w:ascii="宋体" w:hAnsi="宋体" w:eastAsia="宋体" w:cs="宋体"/>
                <w:b w:val="0"/>
              </w:rPr>
              <w:t>2.23%</w:t>
            </w:r>
          </w:p>
        </w:tc>
        <w:tc>
          <w:tcPr>
            <w:tcW w:w="0" w:type="dxa"/>
            <w:vAlign w:val="center"/>
          </w:tcPr>
          <w:p>
            <w:pPr>
              <w:spacing w:line="240" w:lineRule="auto"/>
              <w:jc w:val="right"/>
            </w:pPr>
            <w:r>
              <w:rPr>
                <w:rFonts w:ascii="宋体" w:hAnsi="宋体" w:eastAsia="宋体" w:cs="宋体"/>
                <w:b w:val="0"/>
              </w:rPr>
              <w:t>-24.14%</w:t>
            </w:r>
          </w:p>
        </w:tc>
        <w:tc>
          <w:tcPr>
            <w:tcW w:w="0" w:type="dxa"/>
            <w:vAlign w:val="center"/>
          </w:tcPr>
          <w:p>
            <w:pPr>
              <w:spacing w:line="240" w:lineRule="auto"/>
              <w:jc w:val="right"/>
            </w:pPr>
            <w:r>
              <w:rPr>
                <w:rFonts w:ascii="宋体" w:hAnsi="宋体" w:eastAsia="宋体" w:cs="宋体"/>
                <w:b w:val="0"/>
              </w:rPr>
              <w:t>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30.57%</w:t>
            </w:r>
          </w:p>
        </w:tc>
        <w:tc>
          <w:tcPr>
            <w:tcW w:w="0" w:type="dxa"/>
            <w:vAlign w:val="center"/>
          </w:tcPr>
          <w:p>
            <w:pPr>
              <w:spacing w:line="240" w:lineRule="auto"/>
              <w:jc w:val="right"/>
            </w:pPr>
            <w:r>
              <w:rPr>
                <w:rFonts w:ascii="宋体" w:hAnsi="宋体" w:eastAsia="宋体" w:cs="宋体"/>
                <w:b w:val="0"/>
              </w:rPr>
              <w:t>4.33%</w:t>
            </w:r>
          </w:p>
        </w:tc>
        <w:tc>
          <w:tcPr>
            <w:tcW w:w="0" w:type="dxa"/>
            <w:vAlign w:val="center"/>
          </w:tcPr>
          <w:p>
            <w:pPr>
              <w:spacing w:line="240" w:lineRule="auto"/>
              <w:jc w:val="right"/>
            </w:pPr>
            <w:r>
              <w:rPr>
                <w:rFonts w:ascii="宋体" w:hAnsi="宋体" w:eastAsia="宋体" w:cs="宋体"/>
                <w:b w:val="0"/>
              </w:rPr>
              <w:t>9.97%</w:t>
            </w:r>
          </w:p>
        </w:tc>
        <w:tc>
          <w:tcPr>
            <w:tcW w:w="0" w:type="dxa"/>
            <w:vAlign w:val="center"/>
          </w:tcPr>
          <w:p>
            <w:pPr>
              <w:spacing w:line="240" w:lineRule="auto"/>
              <w:jc w:val="right"/>
            </w:pPr>
            <w:r>
              <w:rPr>
                <w:rFonts w:ascii="宋体" w:hAnsi="宋体" w:eastAsia="宋体" w:cs="宋体"/>
                <w:b w:val="0"/>
              </w:rPr>
              <w:t>2.08%</w:t>
            </w:r>
          </w:p>
        </w:tc>
        <w:tc>
          <w:tcPr>
            <w:tcW w:w="0" w:type="dxa"/>
            <w:vAlign w:val="center"/>
          </w:tcPr>
          <w:p>
            <w:pPr>
              <w:spacing w:line="240" w:lineRule="auto"/>
              <w:jc w:val="right"/>
            </w:pPr>
            <w:r>
              <w:rPr>
                <w:rFonts w:ascii="宋体" w:hAnsi="宋体" w:eastAsia="宋体" w:cs="宋体"/>
                <w:b w:val="0"/>
              </w:rPr>
              <w:t>20.60%</w:t>
            </w:r>
          </w:p>
        </w:tc>
        <w:tc>
          <w:tcPr>
            <w:tcW w:w="0" w:type="dxa"/>
            <w:vAlign w:val="center"/>
          </w:tcPr>
          <w:p>
            <w:pPr>
              <w:spacing w:line="240" w:lineRule="auto"/>
              <w:jc w:val="right"/>
            </w:pPr>
            <w:r>
              <w:rPr>
                <w:rFonts w:ascii="宋体" w:hAnsi="宋体" w:eastAsia="宋体" w:cs="宋体"/>
                <w:b w:val="0"/>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49.71%</w:t>
            </w:r>
          </w:p>
        </w:tc>
        <w:tc>
          <w:tcPr>
            <w:tcW w:w="0" w:type="dxa"/>
            <w:vAlign w:val="center"/>
          </w:tcPr>
          <w:p>
            <w:pPr>
              <w:spacing w:line="240" w:lineRule="auto"/>
              <w:jc w:val="right"/>
            </w:pPr>
            <w:r>
              <w:rPr>
                <w:rFonts w:ascii="宋体" w:hAnsi="宋体" w:eastAsia="宋体" w:cs="宋体"/>
                <w:b w:val="0"/>
              </w:rPr>
              <w:t>3.87%</w:t>
            </w:r>
          </w:p>
        </w:tc>
        <w:tc>
          <w:tcPr>
            <w:tcW w:w="0" w:type="dxa"/>
            <w:vAlign w:val="center"/>
          </w:tcPr>
          <w:p>
            <w:pPr>
              <w:spacing w:line="240" w:lineRule="auto"/>
              <w:jc w:val="right"/>
            </w:pPr>
            <w:r>
              <w:rPr>
                <w:rFonts w:ascii="宋体" w:hAnsi="宋体" w:eastAsia="宋体" w:cs="宋体"/>
                <w:b w:val="0"/>
              </w:rPr>
              <w:t>2.49%</w:t>
            </w:r>
          </w:p>
        </w:tc>
        <w:tc>
          <w:tcPr>
            <w:tcW w:w="0" w:type="dxa"/>
            <w:vAlign w:val="center"/>
          </w:tcPr>
          <w:p>
            <w:pPr>
              <w:spacing w:line="240" w:lineRule="auto"/>
              <w:jc w:val="right"/>
            </w:pPr>
            <w:r>
              <w:rPr>
                <w:rFonts w:ascii="宋体" w:hAnsi="宋体" w:eastAsia="宋体" w:cs="宋体"/>
                <w:b w:val="0"/>
              </w:rPr>
              <w:t>1.77%</w:t>
            </w:r>
          </w:p>
        </w:tc>
        <w:tc>
          <w:tcPr>
            <w:tcW w:w="0" w:type="dxa"/>
            <w:vAlign w:val="center"/>
          </w:tcPr>
          <w:p>
            <w:pPr>
              <w:spacing w:line="240" w:lineRule="auto"/>
              <w:jc w:val="right"/>
            </w:pPr>
            <w:r>
              <w:rPr>
                <w:rFonts w:ascii="宋体" w:hAnsi="宋体" w:eastAsia="宋体" w:cs="宋体"/>
                <w:b w:val="0"/>
              </w:rPr>
              <w:t>47.22%</w:t>
            </w:r>
          </w:p>
        </w:tc>
        <w:tc>
          <w:tcPr>
            <w:tcW w:w="0" w:type="dxa"/>
            <w:vAlign w:val="center"/>
          </w:tcPr>
          <w:p>
            <w:pPr>
              <w:spacing w:line="240" w:lineRule="auto"/>
              <w:jc w:val="right"/>
            </w:pPr>
            <w:r>
              <w:rPr>
                <w:rFonts w:ascii="宋体" w:hAnsi="宋体" w:eastAsia="宋体" w:cs="宋体"/>
                <w:b w:val="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49.59%</w:t>
            </w:r>
          </w:p>
        </w:tc>
        <w:tc>
          <w:tcPr>
            <w:tcW w:w="0" w:type="dxa"/>
            <w:vAlign w:val="center"/>
          </w:tcPr>
          <w:p>
            <w:pPr>
              <w:spacing w:line="240" w:lineRule="auto"/>
              <w:jc w:val="right"/>
            </w:pPr>
            <w:r>
              <w:rPr>
                <w:rFonts w:ascii="宋体" w:hAnsi="宋体" w:eastAsia="宋体" w:cs="宋体"/>
                <w:b w:val="0"/>
              </w:rPr>
              <w:t>3.80%</w:t>
            </w:r>
          </w:p>
        </w:tc>
        <w:tc>
          <w:tcPr>
            <w:tcW w:w="0" w:type="dxa"/>
            <w:vAlign w:val="center"/>
          </w:tcPr>
          <w:p>
            <w:pPr>
              <w:spacing w:line="240" w:lineRule="auto"/>
              <w:jc w:val="right"/>
            </w:pPr>
            <w:r>
              <w:rPr>
                <w:rFonts w:ascii="宋体" w:hAnsi="宋体" w:eastAsia="宋体" w:cs="宋体"/>
                <w:b w:val="0"/>
              </w:rPr>
              <w:t>7.08%</w:t>
            </w:r>
          </w:p>
        </w:tc>
        <w:tc>
          <w:tcPr>
            <w:tcW w:w="0" w:type="dxa"/>
            <w:vAlign w:val="center"/>
          </w:tcPr>
          <w:p>
            <w:pPr>
              <w:spacing w:line="240" w:lineRule="auto"/>
              <w:jc w:val="right"/>
            </w:pPr>
            <w:r>
              <w:rPr>
                <w:rFonts w:ascii="宋体" w:hAnsi="宋体" w:eastAsia="宋体" w:cs="宋体"/>
                <w:b w:val="0"/>
              </w:rPr>
              <w:t>1.74%</w:t>
            </w:r>
          </w:p>
        </w:tc>
        <w:tc>
          <w:tcPr>
            <w:tcW w:w="0" w:type="dxa"/>
            <w:vAlign w:val="center"/>
          </w:tcPr>
          <w:p>
            <w:pPr>
              <w:spacing w:line="240" w:lineRule="auto"/>
              <w:jc w:val="right"/>
            </w:pPr>
            <w:r>
              <w:rPr>
                <w:rFonts w:ascii="宋体" w:hAnsi="宋体" w:eastAsia="宋体" w:cs="宋体"/>
                <w:b w:val="0"/>
              </w:rPr>
              <w:t>42.51%</w:t>
            </w:r>
          </w:p>
        </w:tc>
        <w:tc>
          <w:tcPr>
            <w:tcW w:w="0" w:type="dxa"/>
            <w:vAlign w:val="center"/>
          </w:tcPr>
          <w:p>
            <w:pPr>
              <w:spacing w:line="240" w:lineRule="auto"/>
              <w:jc w:val="right"/>
            </w:pPr>
            <w:r>
              <w:rPr>
                <w:rFonts w:ascii="宋体" w:hAnsi="宋体" w:eastAsia="宋体" w:cs="宋体"/>
                <w:b w:val="0"/>
              </w:rPr>
              <w:t>2.06%</w:t>
            </w:r>
          </w:p>
        </w:tc>
      </w:tr>
    </w:tbl>
    <w:p>
      <w:r>
        <w:rPr>
          <w:rFonts w:ascii="宋体" w:hAnsi="宋体" w:eastAsia="宋体" w:cs="宋体"/>
          <w:b w:val="0"/>
        </w:rPr>
        <w:t>注：本基金业绩比较基准为：中国战略新兴产业成份指数收益率*70%+中债-综合指数(全价)收益率*20%+恒生科技指数收益率(按估值汇率折算)*10%</w:t>
      </w:r>
    </w:p>
    <w:p/>
    <w:p>
      <w:pPr>
        <w:pStyle w:val="58"/>
      </w:pPr>
      <w:r>
        <w:rPr>
          <w:rStyle w:val="30"/>
          <w:rFonts w:ascii="宋体" w:hAnsi="宋体" w:eastAsia="宋体" w:cs="宋体"/>
          <w:b/>
        </w:rPr>
        <w:t>3.2.2 自基金合同生效以来基金累计净值增长率变动及其与同期业绩比较基准收益率变动的比较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Pr>
        <w:pStyle w:val="2"/>
        <w:jc w:val="center"/>
      </w:pPr>
      <w:r>
        <w:rPr>
          <w:rFonts w:ascii="宋体" w:hAnsi="宋体" w:eastAsia="宋体" w:cs="宋体"/>
        </w:rPr>
        <w:t>§4 管理人报告</w:t>
      </w:r>
    </w:p>
    <w:p>
      <w:pPr>
        <w:pStyle w:val="3"/>
        <w:jc w:val="left"/>
      </w:pPr>
      <w:r>
        <w:rPr>
          <w:rFonts w:ascii="宋体" w:hAnsi="宋体" w:eastAsia="宋体" w:cs="宋体"/>
        </w:rPr>
        <w:t>4.1 基金经理（或基金经理小组）简介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229"/>
        <w:gridCol w:w="1501"/>
        <w:gridCol w:w="1501"/>
        <w:gridCol w:w="800"/>
        <w:gridCol w:w="3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Merge w:val="restart"/>
            <w:shd w:val="clear" w:color="auto" w:fill="D9D9D9"/>
            <w:vAlign w:val="center"/>
          </w:tcPr>
          <w:p>
            <w:pPr>
              <w:spacing w:line="240" w:lineRule="auto"/>
              <w:jc w:val="center"/>
            </w:pPr>
            <w:r>
              <w:rPr>
                <w:rFonts w:ascii="宋体" w:hAnsi="宋体" w:eastAsia="宋体" w:cs="宋体"/>
                <w:b w:val="0"/>
              </w:rPr>
              <w:t>姓名</w:t>
            </w:r>
          </w:p>
        </w:tc>
        <w:tc>
          <w:tcPr>
            <w:tcW w:w="662" w:type="pct"/>
            <w:vMerge w:val="restart"/>
            <w:shd w:val="clear" w:color="auto" w:fill="D9D9D9"/>
            <w:vAlign w:val="center"/>
          </w:tcPr>
          <w:p>
            <w:pPr>
              <w:spacing w:line="240" w:lineRule="auto"/>
              <w:jc w:val="center"/>
            </w:pPr>
            <w:r>
              <w:rPr>
                <w:rFonts w:ascii="宋体" w:hAnsi="宋体" w:eastAsia="宋体" w:cs="宋体"/>
                <w:b w:val="0"/>
              </w:rPr>
              <w:t>职务</w:t>
            </w:r>
          </w:p>
        </w:tc>
        <w:tc>
          <w:tcPr>
            <w:tcW w:w="1615" w:type="pct"/>
            <w:gridSpan w:val="2"/>
            <w:shd w:val="clear" w:color="auto" w:fill="D9D9D9"/>
            <w:vAlign w:val="center"/>
          </w:tcPr>
          <w:p>
            <w:pPr>
              <w:spacing w:line="240" w:lineRule="auto"/>
              <w:jc w:val="center"/>
            </w:pPr>
            <w:r>
              <w:rPr>
                <w:rFonts w:ascii="宋体" w:hAnsi="宋体" w:eastAsia="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631"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808" w:type="pct"/>
            <w:shd w:val="clear" w:color="auto" w:fill="D9D9D9"/>
            <w:vAlign w:val="center"/>
          </w:tcPr>
          <w:p>
            <w:pPr>
              <w:spacing w:line="240" w:lineRule="auto"/>
              <w:jc w:val="center"/>
            </w:pPr>
            <w:r>
              <w:rPr>
                <w:rFonts w:ascii="宋体" w:hAnsi="宋体" w:eastAsia="宋体" w:cs="宋体"/>
                <w:b w:val="0"/>
              </w:rPr>
              <w:t>任职日期</w:t>
            </w:r>
          </w:p>
        </w:tc>
        <w:tc>
          <w:tcPr>
            <w:tcW w:w="808"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梁少文</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center"/>
            </w:pPr>
            <w:r>
              <w:rPr>
                <w:rFonts w:ascii="宋体" w:hAnsi="宋体" w:eastAsia="宋体" w:cs="宋体"/>
                <w:b w:val="0"/>
              </w:rPr>
              <w:t>2025-12-01</w:t>
            </w:r>
          </w:p>
        </w:tc>
        <w:tc>
          <w:tcPr>
            <w:tcW w:w="0" w:type="dxa"/>
            <w:vAlign w:val="center"/>
          </w:tcPr>
          <w:p>
            <w:pPr>
              <w:spacing w:line="240" w:lineRule="auto"/>
              <w:jc w:val="center"/>
            </w:pPr>
            <w:r>
              <w:rPr>
                <w:rFonts w:ascii="宋体" w:hAnsi="宋体" w:eastAsia="宋体" w:cs="宋体"/>
                <w:b w:val="0"/>
              </w:rPr>
              <w:t>-</w:t>
            </w:r>
          </w:p>
        </w:tc>
        <w:tc>
          <w:tcPr>
            <w:tcW w:w="0" w:type="dxa"/>
            <w:vAlign w:val="center"/>
          </w:tcPr>
          <w:p>
            <w:pPr>
              <w:spacing w:line="240" w:lineRule="auto"/>
              <w:jc w:val="center"/>
            </w:pPr>
            <w:r>
              <w:rPr>
                <w:rFonts w:ascii="宋体" w:hAnsi="宋体" w:eastAsia="宋体" w:cs="宋体"/>
                <w:b w:val="0"/>
              </w:rPr>
              <w:t>5年</w:t>
            </w:r>
          </w:p>
        </w:tc>
        <w:tc>
          <w:tcPr>
            <w:tcW w:w="0" w:type="dxa"/>
            <w:vAlign w:val="center"/>
          </w:tcPr>
          <w:p>
            <w:pPr>
              <w:spacing w:line="240" w:lineRule="auto"/>
              <w:jc w:val="left"/>
            </w:pPr>
            <w:r>
              <w:rPr>
                <w:rFonts w:ascii="宋体" w:hAnsi="宋体" w:eastAsia="宋体" w:cs="宋体"/>
                <w:b w:val="0"/>
              </w:rPr>
              <w:t>梁少文先生，华中科技大学工学学士，华中科技大学金融硕士，于2021年11月入职东方阿尔法基金管理有限公司，历任研究员、基金经理助理。现任东方阿尔法基金管理有限公司基金经理。</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p>
      <w:pPr>
        <w:pStyle w:val="58"/>
      </w:pPr>
      <w:r>
        <w:rPr>
          <w:rStyle w:val="30"/>
          <w:rFonts w:ascii="宋体" w:hAnsi="宋体" w:eastAsia="宋体" w:cs="宋体"/>
          <w:b/>
        </w:rPr>
        <w:t>4.1.1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r>
        <w:rPr>
          <w:rFonts w:ascii="宋体" w:hAnsi="宋体" w:eastAsia="宋体" w:cs="宋体"/>
        </w:rPr>
        <w:t>4.2 管理人对报告期内本基金运作遵规守信情况的说明</w:t>
      </w:r>
    </w:p>
    <w:p>
      <w:r>
        <w:rPr>
          <w:rFonts w:ascii="宋体" w:hAnsi="宋体" w:eastAsia="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3"/>
        <w:jc w:val="left"/>
      </w:pPr>
      <w:r>
        <w:rPr>
          <w:rFonts w:ascii="宋体" w:hAnsi="宋体" w:eastAsia="宋体" w:cs="宋体"/>
        </w:rPr>
        <w:t>4.3 公平交易专项说明</w:t>
      </w:r>
    </w:p>
    <w:p>
      <w:pPr>
        <w:pStyle w:val="58"/>
      </w:pPr>
      <w:r>
        <w:rPr>
          <w:rStyle w:val="30"/>
          <w:rFonts w:ascii="宋体" w:hAnsi="宋体" w:eastAsia="宋体" w:cs="宋体"/>
          <w:b/>
        </w:rPr>
        <w:t>4.3.1 公平交易制度的执行情况</w:t>
      </w:r>
    </w:p>
    <w:p>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Style w:val="30"/>
          <w:rFonts w:ascii="宋体" w:hAnsi="宋体" w:eastAsia="宋体" w:cs="宋体"/>
          <w:b/>
        </w:rPr>
        <w:t>4.3.2 异常交易行为的专项说明</w:t>
      </w:r>
    </w:p>
    <w:p>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r>
        <w:rPr>
          <w:rFonts w:ascii="宋体" w:hAnsi="宋体" w:eastAsia="宋体" w:cs="宋体"/>
        </w:rPr>
        <w:t>4.4 报告期内基金的投资策略和运作分析</w:t>
      </w:r>
    </w:p>
    <w:p>
      <w:r>
        <w:rPr>
          <w:rFonts w:ascii="宋体" w:hAnsi="宋体" w:eastAsia="宋体" w:cs="宋体"/>
          <w:b w:val="0"/>
        </w:rPr>
        <w:t xml:space="preserve">    2026年三季度，中东地区地缘政治冲突出现反复，全球资本市场对AI行业的发展速度的争论越发激烈，导致三季度科技板块的股价回调显著。</w:t>
      </w:r>
      <w:r>
        <w:rPr>
          <w:rFonts w:ascii="宋体" w:hAnsi="宋体" w:eastAsia="宋体" w:cs="宋体"/>
          <w:b w:val="0"/>
        </w:rPr>
        <w:br w:type="textWrapping"/>
      </w:r>
      <w:r>
        <w:rPr>
          <w:rFonts w:ascii="宋体" w:hAnsi="宋体" w:eastAsia="宋体" w:cs="宋体"/>
          <w:b w:val="0"/>
        </w:rPr>
        <w:t xml:space="preserve">    人工智能技术的快速发展，带动AI服务器出货量快速增长，随着大模型对算力的需求重心从训练迁移到推理，对GPU和存储芯片的需求也快速提升。回顾三季度，AI服务器需求保持快速增长，存储芯片维持供需紧缺的态势，芯片价格在2026年三季度延续上涨的态势，并且芯片原厂与更多大客户落地长期供货协议，侧面说明未来存储芯片需求的韧性。</w:t>
      </w:r>
      <w:r>
        <w:rPr>
          <w:rFonts w:ascii="宋体" w:hAnsi="宋体" w:eastAsia="宋体" w:cs="宋体"/>
          <w:b w:val="0"/>
        </w:rPr>
        <w:br w:type="textWrapping"/>
      </w:r>
      <w:r>
        <w:rPr>
          <w:rFonts w:ascii="宋体" w:hAnsi="宋体" w:eastAsia="宋体" w:cs="宋体"/>
          <w:b w:val="0"/>
        </w:rPr>
        <w:t xml:space="preserve">    展望2026年四季度，我们认为存储行业仍有较好的投资机会，一方面科技板块在经历一个季度调整后，整体有企稳反弹的迹象；另一方面，存储产业供需紧缺的格局延续，四季度存储芯片价格仍在高位保持小幅增长，且存储上下游供应链景气度依旧很高，比如半导体设备材料、GPU等环节。</w:t>
      </w:r>
      <w:r>
        <w:rPr>
          <w:rFonts w:ascii="宋体" w:hAnsi="宋体" w:eastAsia="宋体" w:cs="宋体"/>
          <w:b w:val="0"/>
        </w:rPr>
        <w:br w:type="textWrapping"/>
      </w:r>
      <w:r>
        <w:rPr>
          <w:rFonts w:ascii="宋体" w:hAnsi="宋体" w:eastAsia="宋体" w:cs="宋体"/>
          <w:b w:val="0"/>
        </w:rPr>
        <w:t xml:space="preserve">    基于以上分析，本基金持续关注算力产业链，侧重配置半导体存储产业链，同步关注并寻找半导体设备材料、光模块、GPU等环节的投资机会，聚焦在景气度延续高增长、能兑现高增速业绩的方向。</w:t>
      </w:r>
    </w:p>
    <w:p/>
    <w:p>
      <w:pPr>
        <w:pStyle w:val="3"/>
        <w:jc w:val="left"/>
      </w:pPr>
      <w:r>
        <w:rPr>
          <w:rFonts w:ascii="宋体" w:hAnsi="宋体" w:eastAsia="宋体" w:cs="宋体"/>
        </w:rPr>
        <w:t>4.5 报告期内基金的业绩表现</w:t>
      </w:r>
    </w:p>
    <w:p>
      <w:r>
        <w:rPr>
          <w:rFonts w:ascii="宋体" w:hAnsi="宋体" w:eastAsia="宋体" w:cs="宋体"/>
          <w:b w:val="0"/>
        </w:rPr>
        <w:t xml:space="preserve">    截至报告期末东方阿尔法科技智选混合发起A基金份额净值为1.5014元，本报告期内，该类基金份额净值增长率为-45.76%，同期业绩比较基准收益率为-21.67%；截至报告期末东方阿尔法科技智选混合发起C基金份额净值为1.4959元，本报告期内，该类基金份额净值增长率为-45.81%，同期业绩比较基准收益率为-21.67%。</w:t>
      </w:r>
    </w:p>
    <w:p/>
    <w:p>
      <w:pPr>
        <w:pStyle w:val="3"/>
        <w:jc w:val="left"/>
      </w:pPr>
      <w:r>
        <w:rPr>
          <w:rFonts w:ascii="宋体" w:hAnsi="宋体" w:eastAsia="宋体" w:cs="宋体"/>
        </w:rPr>
        <w:t>4.6 报告期内基金持有人数或基金资产净值预警说明</w:t>
      </w:r>
    </w:p>
    <w:p>
      <w:r>
        <w:rPr>
          <w:rFonts w:ascii="宋体" w:hAnsi="宋体" w:eastAsia="宋体" w:cs="宋体"/>
          <w:b w:val="0"/>
        </w:rPr>
        <w:t xml:space="preserve">    本基金为发起式基金，且截至本报告期末，本基金基金合同生效未满3年，暂不适用《公开募集证券投资基金运作管理办法》第四十一条第一款的规定。</w:t>
      </w:r>
    </w:p>
    <w:p>
      <w:pPr>
        <w:pStyle w:val="2"/>
        <w:jc w:val="center"/>
      </w:pPr>
      <w:r>
        <w:rPr>
          <w:rFonts w:ascii="宋体" w:hAnsi="宋体" w:eastAsia="宋体" w:cs="宋体"/>
        </w:rPr>
        <w:t>§5 投资组合报告</w:t>
      </w:r>
    </w:p>
    <w:p>
      <w:pPr>
        <w:pStyle w:val="3"/>
        <w:jc w:val="left"/>
      </w:pPr>
      <w:r>
        <w:rPr>
          <w:rFonts w:ascii="宋体" w:hAnsi="宋体" w:eastAsia="宋体" w:cs="宋体"/>
        </w:rPr>
        <w:t>5.1 报告期末基金资产组合情况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2856"/>
        <w:gridCol w:w="2856"/>
        <w:gridCol w:w="2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金额(元)</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6,486,098,988.98</w:t>
            </w:r>
          </w:p>
        </w:tc>
        <w:tc>
          <w:tcPr>
            <w:tcW w:w="0" w:type="dxa"/>
            <w:vAlign w:val="center"/>
          </w:tcPr>
          <w:p>
            <w:pPr>
              <w:spacing w:line="240" w:lineRule="auto"/>
              <w:jc w:val="right"/>
            </w:pPr>
            <w:r>
              <w:rPr>
                <w:rFonts w:ascii="宋体" w:hAnsi="宋体" w:eastAsia="宋体" w:cs="宋体"/>
                <w:b w:val="0"/>
              </w:rPr>
              <w:t>91.89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6,486,098,988.98</w:t>
            </w:r>
          </w:p>
        </w:tc>
        <w:tc>
          <w:tcPr>
            <w:tcW w:w="0" w:type="dxa"/>
            <w:vAlign w:val="center"/>
          </w:tcPr>
          <w:p>
            <w:pPr>
              <w:spacing w:line="240" w:lineRule="auto"/>
              <w:jc w:val="right"/>
            </w:pPr>
            <w:r>
              <w:rPr>
                <w:rFonts w:ascii="宋体" w:hAnsi="宋体" w:eastAsia="宋体" w:cs="宋体"/>
                <w:b w:val="0"/>
              </w:rPr>
              <w:t>91.89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402,913,126.81</w:t>
            </w:r>
          </w:p>
        </w:tc>
        <w:tc>
          <w:tcPr>
            <w:tcW w:w="0" w:type="dxa"/>
            <w:vAlign w:val="center"/>
          </w:tcPr>
          <w:p>
            <w:pPr>
              <w:spacing w:line="240" w:lineRule="auto"/>
              <w:jc w:val="right"/>
            </w:pPr>
            <w:r>
              <w:rPr>
                <w:rFonts w:ascii="宋体" w:hAnsi="宋体" w:eastAsia="宋体" w:cs="宋体"/>
                <w:b w:val="0"/>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402,913,126.81</w:t>
            </w:r>
          </w:p>
        </w:tc>
        <w:tc>
          <w:tcPr>
            <w:tcW w:w="0" w:type="dxa"/>
            <w:vAlign w:val="center"/>
          </w:tcPr>
          <w:p>
            <w:pPr>
              <w:spacing w:line="240" w:lineRule="auto"/>
              <w:jc w:val="right"/>
            </w:pPr>
            <w:r>
              <w:rPr>
                <w:rFonts w:ascii="宋体" w:hAnsi="宋体" w:eastAsia="宋体" w:cs="宋体"/>
                <w:b w:val="0"/>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116,783,040.04</w:t>
            </w:r>
          </w:p>
        </w:tc>
        <w:tc>
          <w:tcPr>
            <w:tcW w:w="0" w:type="dxa"/>
            <w:vAlign w:val="center"/>
          </w:tcPr>
          <w:p>
            <w:pPr>
              <w:spacing w:line="240" w:lineRule="auto"/>
              <w:jc w:val="right"/>
            </w:pPr>
            <w:r>
              <w:rPr>
                <w:rFonts w:ascii="宋体" w:hAnsi="宋体" w:eastAsia="宋体" w:cs="宋体"/>
                <w:b w:val="0"/>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right"/>
            </w:pPr>
            <w:r>
              <w:rPr>
                <w:rFonts w:ascii="宋体" w:hAnsi="宋体" w:eastAsia="宋体" w:cs="宋体"/>
                <w:b w:val="0"/>
              </w:rPr>
              <w:t>52,514,562.04</w:t>
            </w:r>
          </w:p>
        </w:tc>
        <w:tc>
          <w:tcPr>
            <w:tcW w:w="0" w:type="dxa"/>
            <w:vAlign w:val="center"/>
          </w:tcPr>
          <w:p>
            <w:pPr>
              <w:spacing w:line="240" w:lineRule="auto"/>
              <w:jc w:val="right"/>
            </w:pPr>
            <w:r>
              <w:rPr>
                <w:rFonts w:ascii="宋体" w:hAnsi="宋体" w:eastAsia="宋体" w:cs="宋体"/>
                <w:b w:val="0"/>
              </w:rPr>
              <w:t>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7,058,309,717.87</w:t>
            </w:r>
          </w:p>
        </w:tc>
        <w:tc>
          <w:tcPr>
            <w:tcW w:w="0" w:type="dxa"/>
            <w:vAlign w:val="center"/>
          </w:tcPr>
          <w:p>
            <w:pPr>
              <w:spacing w:line="240" w:lineRule="auto"/>
              <w:jc w:val="right"/>
            </w:pPr>
            <w:r>
              <w:rPr>
                <w:rFonts w:ascii="宋体" w:hAnsi="宋体" w:eastAsia="宋体" w:cs="宋体"/>
                <w:b w:val="0"/>
              </w:rPr>
              <w:t>100.00</w:t>
            </w:r>
          </w:p>
        </w:tc>
      </w:tr>
    </w:tbl>
    <w:p/>
    <w:p>
      <w:pPr>
        <w:pStyle w:val="3"/>
        <w:jc w:val="left"/>
      </w:pPr>
      <w:r>
        <w:rPr>
          <w:rFonts w:ascii="宋体" w:hAnsi="宋体" w:eastAsia="宋体" w:cs="宋体"/>
        </w:rPr>
        <w:t>5.2 报告期末按行业分类的股票投资组合</w:t>
      </w:r>
    </w:p>
    <w:p>
      <w:pPr>
        <w:pStyle w:val="58"/>
      </w:pPr>
      <w:r>
        <w:rPr>
          <w:rStyle w:val="30"/>
          <w:rFonts w:ascii="宋体" w:hAnsi="宋体" w:eastAsia="宋体" w:cs="宋体"/>
          <w:b/>
        </w:rPr>
        <w:t>5.2.1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3082"/>
        <w:gridCol w:w="1896"/>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代码</w:t>
            </w:r>
          </w:p>
        </w:tc>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48,580.00</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5,703,439,406.17</w:t>
            </w:r>
          </w:p>
        </w:tc>
        <w:tc>
          <w:tcPr>
            <w:tcW w:w="0" w:type="dxa"/>
            <w:vAlign w:val="center"/>
          </w:tcPr>
          <w:p>
            <w:pPr>
              <w:spacing w:line="240" w:lineRule="auto"/>
              <w:jc w:val="right"/>
            </w:pPr>
            <w:r>
              <w:rPr>
                <w:rFonts w:ascii="宋体" w:hAnsi="宋体" w:eastAsia="宋体" w:cs="宋体"/>
                <w:b w:val="0"/>
              </w:rPr>
              <w:t>81.50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841,039.56</w:t>
            </w:r>
          </w:p>
        </w:tc>
        <w:tc>
          <w:tcPr>
            <w:tcW w:w="0" w:type="dxa"/>
            <w:vAlign w:val="center"/>
          </w:tcPr>
          <w:p>
            <w:pPr>
              <w:spacing w:line="240" w:lineRule="auto"/>
              <w:jc w:val="right"/>
            </w:pPr>
            <w:r>
              <w:rPr>
                <w:rFonts w:ascii="宋体" w:hAnsi="宋体" w:eastAsia="宋体" w:cs="宋体"/>
                <w:b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506,214,701.64</w:t>
            </w:r>
          </w:p>
        </w:tc>
        <w:tc>
          <w:tcPr>
            <w:tcW w:w="0" w:type="dxa"/>
            <w:vAlign w:val="center"/>
          </w:tcPr>
          <w:p>
            <w:pPr>
              <w:spacing w:line="240" w:lineRule="auto"/>
              <w:jc w:val="right"/>
            </w:pPr>
            <w:r>
              <w:rPr>
                <w:rFonts w:ascii="宋体" w:hAnsi="宋体" w:eastAsia="宋体" w:cs="宋体"/>
                <w:b w:val="0"/>
              </w:rPr>
              <w:t>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275,543,350.89</w:t>
            </w:r>
          </w:p>
        </w:tc>
        <w:tc>
          <w:tcPr>
            <w:tcW w:w="0" w:type="dxa"/>
            <w:vAlign w:val="center"/>
          </w:tcPr>
          <w:p>
            <w:pPr>
              <w:spacing w:line="240" w:lineRule="auto"/>
              <w:jc w:val="right"/>
            </w:pPr>
            <w:r>
              <w:rPr>
                <w:rFonts w:ascii="宋体" w:hAnsi="宋体" w:eastAsia="宋体" w:cs="宋体"/>
                <w:b w:val="0"/>
              </w:rPr>
              <w:t>3.94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11,910.72</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6,486,098,988.98</w:t>
            </w:r>
          </w:p>
        </w:tc>
        <w:tc>
          <w:tcPr>
            <w:tcW w:w="0" w:type="dxa"/>
            <w:vAlign w:val="center"/>
          </w:tcPr>
          <w:p>
            <w:pPr>
              <w:spacing w:line="240" w:lineRule="auto"/>
              <w:jc w:val="right"/>
            </w:pPr>
            <w:r>
              <w:rPr>
                <w:rFonts w:ascii="宋体" w:hAnsi="宋体" w:eastAsia="宋体" w:cs="宋体"/>
                <w:b w:val="0"/>
              </w:rPr>
              <w:t>92.68</w:t>
            </w:r>
          </w:p>
        </w:tc>
      </w:tr>
    </w:tbl>
    <w:p/>
    <w:p>
      <w:pPr>
        <w:pStyle w:val="58"/>
      </w:pPr>
      <w:r>
        <w:rPr>
          <w:rStyle w:val="30"/>
          <w:rFonts w:ascii="宋体" w:hAnsi="宋体" w:eastAsia="宋体" w:cs="宋体"/>
          <w:b/>
        </w:rPr>
        <w:t>5.2.2 报告期末按行业分类的港股通投资股票投资组合</w:t>
      </w:r>
    </w:p>
    <w:p>
      <w:r>
        <w:rPr>
          <w:rFonts w:ascii="宋体" w:hAnsi="宋体" w:eastAsia="宋体" w:cs="宋体"/>
          <w:b w:val="0"/>
        </w:rPr>
        <w:t xml:space="preserve">    本基金本报告期末未持有港股通投资股票投资组合。</w:t>
      </w:r>
    </w:p>
    <w:p/>
    <w:p>
      <w:pPr>
        <w:pStyle w:val="3"/>
        <w:jc w:val="left"/>
      </w:pPr>
      <w:r>
        <w:rPr>
          <w:rFonts w:ascii="宋体" w:hAnsi="宋体" w:eastAsia="宋体" w:cs="宋体"/>
        </w:rPr>
        <w:t>5.3 报告期末按公允价值占基金资产净值比例大小排序的前十名股票投资明细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603986</w:t>
            </w:r>
          </w:p>
        </w:tc>
        <w:tc>
          <w:tcPr>
            <w:tcW w:w="0" w:type="dxa"/>
            <w:vAlign w:val="center"/>
          </w:tcPr>
          <w:p>
            <w:pPr>
              <w:spacing w:line="240" w:lineRule="auto"/>
              <w:jc w:val="left"/>
            </w:pPr>
            <w:r>
              <w:rPr>
                <w:rFonts w:ascii="宋体" w:hAnsi="宋体" w:eastAsia="宋体" w:cs="宋体"/>
                <w:b w:val="0"/>
              </w:rPr>
              <w:t>兆易创新</w:t>
            </w:r>
          </w:p>
        </w:tc>
        <w:tc>
          <w:tcPr>
            <w:tcW w:w="0" w:type="dxa"/>
            <w:vAlign w:val="center"/>
          </w:tcPr>
          <w:p>
            <w:pPr>
              <w:spacing w:line="240" w:lineRule="auto"/>
              <w:jc w:val="right"/>
            </w:pPr>
            <w:r>
              <w:rPr>
                <w:rFonts w:ascii="宋体" w:hAnsi="宋体" w:eastAsia="宋体" w:cs="宋体"/>
                <w:b w:val="0"/>
              </w:rPr>
              <w:t>1,500,804</w:t>
            </w:r>
          </w:p>
        </w:tc>
        <w:tc>
          <w:tcPr>
            <w:tcW w:w="0" w:type="dxa"/>
            <w:vAlign w:val="center"/>
          </w:tcPr>
          <w:p>
            <w:pPr>
              <w:spacing w:line="240" w:lineRule="auto"/>
              <w:jc w:val="right"/>
            </w:pPr>
            <w:r>
              <w:rPr>
                <w:rFonts w:ascii="宋体" w:hAnsi="宋体" w:eastAsia="宋体" w:cs="宋体"/>
                <w:b w:val="0"/>
              </w:rPr>
              <w:t>531,134,535.60</w:t>
            </w:r>
          </w:p>
        </w:tc>
        <w:tc>
          <w:tcPr>
            <w:tcW w:w="0" w:type="dxa"/>
            <w:vAlign w:val="center"/>
          </w:tcPr>
          <w:p>
            <w:pPr>
              <w:spacing w:line="240" w:lineRule="auto"/>
              <w:jc w:val="right"/>
            </w:pPr>
            <w:r>
              <w:rPr>
                <w:rFonts w:ascii="宋体" w:hAnsi="宋体" w:eastAsia="宋体" w:cs="宋体"/>
                <w:b w:val="0"/>
              </w:rPr>
              <w:t>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300223</w:t>
            </w:r>
          </w:p>
        </w:tc>
        <w:tc>
          <w:tcPr>
            <w:tcW w:w="0" w:type="dxa"/>
            <w:vAlign w:val="center"/>
          </w:tcPr>
          <w:p>
            <w:pPr>
              <w:spacing w:line="240" w:lineRule="auto"/>
              <w:jc w:val="left"/>
            </w:pPr>
            <w:r>
              <w:rPr>
                <w:rFonts w:ascii="宋体" w:hAnsi="宋体" w:eastAsia="宋体" w:cs="宋体"/>
                <w:b w:val="0"/>
              </w:rPr>
              <w:t>君正股份</w:t>
            </w:r>
          </w:p>
        </w:tc>
        <w:tc>
          <w:tcPr>
            <w:tcW w:w="0" w:type="dxa"/>
            <w:vAlign w:val="center"/>
          </w:tcPr>
          <w:p>
            <w:pPr>
              <w:spacing w:line="240" w:lineRule="auto"/>
              <w:jc w:val="right"/>
            </w:pPr>
            <w:r>
              <w:rPr>
                <w:rFonts w:ascii="宋体" w:hAnsi="宋体" w:eastAsia="宋体" w:cs="宋体"/>
                <w:b w:val="0"/>
              </w:rPr>
              <w:t>4,098,143</w:t>
            </w:r>
          </w:p>
        </w:tc>
        <w:tc>
          <w:tcPr>
            <w:tcW w:w="0" w:type="dxa"/>
            <w:vAlign w:val="center"/>
          </w:tcPr>
          <w:p>
            <w:pPr>
              <w:spacing w:line="240" w:lineRule="auto"/>
              <w:jc w:val="right"/>
            </w:pPr>
            <w:r>
              <w:rPr>
                <w:rFonts w:ascii="宋体" w:hAnsi="宋体" w:eastAsia="宋体" w:cs="宋体"/>
                <w:b w:val="0"/>
              </w:rPr>
              <w:t>529,275,168.45</w:t>
            </w:r>
          </w:p>
        </w:tc>
        <w:tc>
          <w:tcPr>
            <w:tcW w:w="0" w:type="dxa"/>
            <w:vAlign w:val="center"/>
          </w:tcPr>
          <w:p>
            <w:pPr>
              <w:spacing w:line="240" w:lineRule="auto"/>
              <w:jc w:val="right"/>
            </w:pPr>
            <w:r>
              <w:rPr>
                <w:rFonts w:ascii="宋体" w:hAnsi="宋体" w:eastAsia="宋体" w:cs="宋体"/>
                <w:b w:val="0"/>
              </w:rPr>
              <w:t>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688825</w:t>
            </w:r>
          </w:p>
        </w:tc>
        <w:tc>
          <w:tcPr>
            <w:tcW w:w="0" w:type="dxa"/>
            <w:vAlign w:val="center"/>
          </w:tcPr>
          <w:p>
            <w:pPr>
              <w:spacing w:line="240" w:lineRule="auto"/>
              <w:jc w:val="left"/>
            </w:pPr>
            <w:r>
              <w:rPr>
                <w:rFonts w:ascii="宋体" w:hAnsi="宋体" w:eastAsia="宋体" w:cs="宋体"/>
                <w:b w:val="0"/>
              </w:rPr>
              <w:t>长鑫科技</w:t>
            </w:r>
          </w:p>
        </w:tc>
        <w:tc>
          <w:tcPr>
            <w:tcW w:w="0" w:type="dxa"/>
            <w:vAlign w:val="center"/>
          </w:tcPr>
          <w:p>
            <w:pPr>
              <w:spacing w:line="240" w:lineRule="auto"/>
              <w:jc w:val="right"/>
            </w:pPr>
            <w:r>
              <w:rPr>
                <w:rFonts w:ascii="宋体" w:hAnsi="宋体" w:eastAsia="宋体" w:cs="宋体"/>
                <w:b w:val="0"/>
              </w:rPr>
              <w:t>9,438,069</w:t>
            </w:r>
          </w:p>
        </w:tc>
        <w:tc>
          <w:tcPr>
            <w:tcW w:w="0" w:type="dxa"/>
            <w:vAlign w:val="center"/>
          </w:tcPr>
          <w:p>
            <w:pPr>
              <w:spacing w:line="240" w:lineRule="auto"/>
              <w:jc w:val="right"/>
            </w:pPr>
            <w:r>
              <w:rPr>
                <w:rFonts w:ascii="宋体" w:hAnsi="宋体" w:eastAsia="宋体" w:cs="宋体"/>
                <w:b w:val="0"/>
              </w:rPr>
              <w:t>517,111,800.51</w:t>
            </w:r>
          </w:p>
        </w:tc>
        <w:tc>
          <w:tcPr>
            <w:tcW w:w="0" w:type="dxa"/>
            <w:vAlign w:val="center"/>
          </w:tcPr>
          <w:p>
            <w:pPr>
              <w:spacing w:line="240" w:lineRule="auto"/>
              <w:jc w:val="right"/>
            </w:pPr>
            <w:r>
              <w:rPr>
                <w:rFonts w:ascii="宋体" w:hAnsi="宋体" w:eastAsia="宋体" w:cs="宋体"/>
                <w:b w:val="0"/>
              </w:rPr>
              <w:t>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688766</w:t>
            </w:r>
          </w:p>
        </w:tc>
        <w:tc>
          <w:tcPr>
            <w:tcW w:w="0" w:type="dxa"/>
            <w:vAlign w:val="center"/>
          </w:tcPr>
          <w:p>
            <w:pPr>
              <w:spacing w:line="240" w:lineRule="auto"/>
              <w:jc w:val="left"/>
            </w:pPr>
            <w:r>
              <w:rPr>
                <w:rFonts w:ascii="宋体" w:hAnsi="宋体" w:eastAsia="宋体" w:cs="宋体"/>
                <w:b w:val="0"/>
              </w:rPr>
              <w:t>普冉股份</w:t>
            </w:r>
          </w:p>
        </w:tc>
        <w:tc>
          <w:tcPr>
            <w:tcW w:w="0" w:type="dxa"/>
            <w:vAlign w:val="center"/>
          </w:tcPr>
          <w:p>
            <w:pPr>
              <w:spacing w:line="240" w:lineRule="auto"/>
              <w:jc w:val="right"/>
            </w:pPr>
            <w:r>
              <w:rPr>
                <w:rFonts w:ascii="宋体" w:hAnsi="宋体" w:eastAsia="宋体" w:cs="宋体"/>
                <w:b w:val="0"/>
              </w:rPr>
              <w:t>1,425,151</w:t>
            </w:r>
          </w:p>
        </w:tc>
        <w:tc>
          <w:tcPr>
            <w:tcW w:w="0" w:type="dxa"/>
            <w:vAlign w:val="center"/>
          </w:tcPr>
          <w:p>
            <w:pPr>
              <w:spacing w:line="240" w:lineRule="auto"/>
              <w:jc w:val="right"/>
            </w:pPr>
            <w:r>
              <w:rPr>
                <w:rFonts w:ascii="宋体" w:hAnsi="宋体" w:eastAsia="宋体" w:cs="宋体"/>
                <w:b w:val="0"/>
              </w:rPr>
              <w:t>508,265,852.64</w:t>
            </w:r>
          </w:p>
        </w:tc>
        <w:tc>
          <w:tcPr>
            <w:tcW w:w="0" w:type="dxa"/>
            <w:vAlign w:val="center"/>
          </w:tcPr>
          <w:p>
            <w:pPr>
              <w:spacing w:line="240" w:lineRule="auto"/>
              <w:jc w:val="right"/>
            </w:pPr>
            <w:r>
              <w:rPr>
                <w:rFonts w:ascii="宋体" w:hAnsi="宋体" w:eastAsia="宋体" w:cs="宋体"/>
                <w:b w:val="0"/>
              </w:rPr>
              <w:t>7.26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300475</w:t>
            </w:r>
          </w:p>
        </w:tc>
        <w:tc>
          <w:tcPr>
            <w:tcW w:w="0" w:type="dxa"/>
            <w:vAlign w:val="center"/>
          </w:tcPr>
          <w:p>
            <w:pPr>
              <w:spacing w:line="240" w:lineRule="auto"/>
              <w:jc w:val="left"/>
            </w:pPr>
            <w:r>
              <w:rPr>
                <w:rFonts w:ascii="宋体" w:hAnsi="宋体" w:eastAsia="宋体" w:cs="宋体"/>
                <w:b w:val="0"/>
              </w:rPr>
              <w:t>香农芯创</w:t>
            </w:r>
          </w:p>
        </w:tc>
        <w:tc>
          <w:tcPr>
            <w:tcW w:w="0" w:type="dxa"/>
            <w:vAlign w:val="center"/>
          </w:tcPr>
          <w:p>
            <w:pPr>
              <w:spacing w:line="240" w:lineRule="auto"/>
              <w:jc w:val="right"/>
            </w:pPr>
            <w:r>
              <w:rPr>
                <w:rFonts w:ascii="宋体" w:hAnsi="宋体" w:eastAsia="宋体" w:cs="宋体"/>
                <w:b w:val="0"/>
              </w:rPr>
              <w:t>3,303,411</w:t>
            </w:r>
          </w:p>
        </w:tc>
        <w:tc>
          <w:tcPr>
            <w:tcW w:w="0" w:type="dxa"/>
            <w:vAlign w:val="center"/>
          </w:tcPr>
          <w:p>
            <w:pPr>
              <w:spacing w:line="240" w:lineRule="auto"/>
              <w:jc w:val="right"/>
            </w:pPr>
            <w:r>
              <w:rPr>
                <w:rFonts w:ascii="宋体" w:hAnsi="宋体" w:eastAsia="宋体" w:cs="宋体"/>
                <w:b w:val="0"/>
              </w:rPr>
              <w:t>506,214,701.64</w:t>
            </w:r>
          </w:p>
        </w:tc>
        <w:tc>
          <w:tcPr>
            <w:tcW w:w="0" w:type="dxa"/>
            <w:vAlign w:val="center"/>
          </w:tcPr>
          <w:p>
            <w:pPr>
              <w:spacing w:line="240" w:lineRule="auto"/>
              <w:jc w:val="right"/>
            </w:pPr>
            <w:r>
              <w:rPr>
                <w:rFonts w:ascii="宋体" w:hAnsi="宋体" w:eastAsia="宋体" w:cs="宋体"/>
                <w:b w:val="0"/>
              </w:rPr>
              <w:t>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001309</w:t>
            </w:r>
          </w:p>
        </w:tc>
        <w:tc>
          <w:tcPr>
            <w:tcW w:w="0" w:type="dxa"/>
            <w:vAlign w:val="center"/>
          </w:tcPr>
          <w:p>
            <w:pPr>
              <w:spacing w:line="240" w:lineRule="auto"/>
              <w:jc w:val="left"/>
            </w:pPr>
            <w:r>
              <w:rPr>
                <w:rFonts w:ascii="宋体" w:hAnsi="宋体" w:eastAsia="宋体" w:cs="宋体"/>
                <w:b w:val="0"/>
              </w:rPr>
              <w:t>德明利</w:t>
            </w:r>
          </w:p>
        </w:tc>
        <w:tc>
          <w:tcPr>
            <w:tcW w:w="0" w:type="dxa"/>
            <w:vAlign w:val="center"/>
          </w:tcPr>
          <w:p>
            <w:pPr>
              <w:spacing w:line="240" w:lineRule="auto"/>
              <w:jc w:val="right"/>
            </w:pPr>
            <w:r>
              <w:rPr>
                <w:rFonts w:ascii="宋体" w:hAnsi="宋体" w:eastAsia="宋体" w:cs="宋体"/>
                <w:b w:val="0"/>
              </w:rPr>
              <w:t>1,254,735</w:t>
            </w:r>
          </w:p>
        </w:tc>
        <w:tc>
          <w:tcPr>
            <w:tcW w:w="0" w:type="dxa"/>
            <w:vAlign w:val="center"/>
          </w:tcPr>
          <w:p>
            <w:pPr>
              <w:spacing w:line="240" w:lineRule="auto"/>
              <w:jc w:val="right"/>
            </w:pPr>
            <w:r>
              <w:rPr>
                <w:rFonts w:ascii="宋体" w:hAnsi="宋体" w:eastAsia="宋体" w:cs="宋体"/>
                <w:b w:val="0"/>
              </w:rPr>
              <w:t>449,772,308.10</w:t>
            </w:r>
          </w:p>
        </w:tc>
        <w:tc>
          <w:tcPr>
            <w:tcW w:w="0" w:type="dxa"/>
            <w:vAlign w:val="center"/>
          </w:tcPr>
          <w:p>
            <w:pPr>
              <w:spacing w:line="240" w:lineRule="auto"/>
              <w:jc w:val="right"/>
            </w:pPr>
            <w:r>
              <w:rPr>
                <w:rFonts w:ascii="宋体" w:hAnsi="宋体" w:eastAsia="宋体" w:cs="宋体"/>
                <w:b w:val="0"/>
              </w:rPr>
              <w:t>6.43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688525</w:t>
            </w:r>
          </w:p>
        </w:tc>
        <w:tc>
          <w:tcPr>
            <w:tcW w:w="0" w:type="dxa"/>
            <w:vAlign w:val="center"/>
          </w:tcPr>
          <w:p>
            <w:pPr>
              <w:spacing w:line="240" w:lineRule="auto"/>
              <w:jc w:val="left"/>
            </w:pPr>
            <w:r>
              <w:rPr>
                <w:rFonts w:ascii="宋体" w:hAnsi="宋体" w:eastAsia="宋体" w:cs="宋体"/>
                <w:b w:val="0"/>
              </w:rPr>
              <w:t>佰维存储</w:t>
            </w:r>
          </w:p>
        </w:tc>
        <w:tc>
          <w:tcPr>
            <w:tcW w:w="0" w:type="dxa"/>
            <w:vAlign w:val="center"/>
          </w:tcPr>
          <w:p>
            <w:pPr>
              <w:spacing w:line="240" w:lineRule="auto"/>
              <w:jc w:val="right"/>
            </w:pPr>
            <w:r>
              <w:rPr>
                <w:rFonts w:ascii="宋体" w:hAnsi="宋体" w:eastAsia="宋体" w:cs="宋体"/>
                <w:b w:val="0"/>
              </w:rPr>
              <w:t>1,998,577</w:t>
            </w:r>
          </w:p>
        </w:tc>
        <w:tc>
          <w:tcPr>
            <w:tcW w:w="0" w:type="dxa"/>
            <w:vAlign w:val="center"/>
          </w:tcPr>
          <w:p>
            <w:pPr>
              <w:spacing w:line="240" w:lineRule="auto"/>
              <w:jc w:val="right"/>
            </w:pPr>
            <w:r>
              <w:rPr>
                <w:rFonts w:ascii="宋体" w:hAnsi="宋体" w:eastAsia="宋体" w:cs="宋体"/>
                <w:b w:val="0"/>
              </w:rPr>
              <w:t>384,426,285.95</w:t>
            </w:r>
          </w:p>
        </w:tc>
        <w:tc>
          <w:tcPr>
            <w:tcW w:w="0" w:type="dxa"/>
            <w:vAlign w:val="center"/>
          </w:tcPr>
          <w:p>
            <w:pPr>
              <w:spacing w:line="240" w:lineRule="auto"/>
              <w:jc w:val="right"/>
            </w:pPr>
            <w:r>
              <w:rPr>
                <w:rFonts w:ascii="宋体" w:hAnsi="宋体" w:eastAsia="宋体" w:cs="宋体"/>
                <w:b w:val="0"/>
              </w:rPr>
              <w:t>5.49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301308</w:t>
            </w:r>
          </w:p>
        </w:tc>
        <w:tc>
          <w:tcPr>
            <w:tcW w:w="0" w:type="dxa"/>
            <w:vAlign w:val="center"/>
          </w:tcPr>
          <w:p>
            <w:pPr>
              <w:spacing w:line="240" w:lineRule="auto"/>
              <w:jc w:val="left"/>
            </w:pPr>
            <w:r>
              <w:rPr>
                <w:rFonts w:ascii="宋体" w:hAnsi="宋体" w:eastAsia="宋体" w:cs="宋体"/>
                <w:b w:val="0"/>
              </w:rPr>
              <w:t>江波龙</w:t>
            </w:r>
          </w:p>
        </w:tc>
        <w:tc>
          <w:tcPr>
            <w:tcW w:w="0" w:type="dxa"/>
            <w:vAlign w:val="center"/>
          </w:tcPr>
          <w:p>
            <w:pPr>
              <w:spacing w:line="240" w:lineRule="auto"/>
              <w:jc w:val="right"/>
            </w:pPr>
            <w:r>
              <w:rPr>
                <w:rFonts w:ascii="宋体" w:hAnsi="宋体" w:eastAsia="宋体" w:cs="宋体"/>
                <w:b w:val="0"/>
              </w:rPr>
              <w:t>1,253,506</w:t>
            </w:r>
          </w:p>
        </w:tc>
        <w:tc>
          <w:tcPr>
            <w:tcW w:w="0" w:type="dxa"/>
            <w:vAlign w:val="center"/>
          </w:tcPr>
          <w:p>
            <w:pPr>
              <w:spacing w:line="240" w:lineRule="auto"/>
              <w:jc w:val="right"/>
            </w:pPr>
            <w:r>
              <w:rPr>
                <w:rFonts w:ascii="宋体" w:hAnsi="宋体" w:eastAsia="宋体" w:cs="宋体"/>
                <w:b w:val="0"/>
              </w:rPr>
              <w:t>369,556,785.62</w:t>
            </w:r>
          </w:p>
        </w:tc>
        <w:tc>
          <w:tcPr>
            <w:tcW w:w="0" w:type="dxa"/>
            <w:vAlign w:val="center"/>
          </w:tcPr>
          <w:p>
            <w:pPr>
              <w:spacing w:line="240" w:lineRule="auto"/>
              <w:jc w:val="right"/>
            </w:pPr>
            <w:r>
              <w:rPr>
                <w:rFonts w:ascii="宋体" w:hAnsi="宋体" w:eastAsia="宋体" w:cs="宋体"/>
                <w:b w:val="0"/>
              </w:rPr>
              <w:t>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688110</w:t>
            </w:r>
          </w:p>
        </w:tc>
        <w:tc>
          <w:tcPr>
            <w:tcW w:w="0" w:type="dxa"/>
            <w:vAlign w:val="center"/>
          </w:tcPr>
          <w:p>
            <w:pPr>
              <w:spacing w:line="240" w:lineRule="auto"/>
              <w:jc w:val="left"/>
            </w:pPr>
            <w:r>
              <w:rPr>
                <w:rFonts w:ascii="宋体" w:hAnsi="宋体" w:eastAsia="宋体" w:cs="宋体"/>
                <w:b w:val="0"/>
              </w:rPr>
              <w:t>东芯股份</w:t>
            </w:r>
          </w:p>
        </w:tc>
        <w:tc>
          <w:tcPr>
            <w:tcW w:w="0" w:type="dxa"/>
            <w:vAlign w:val="center"/>
          </w:tcPr>
          <w:p>
            <w:pPr>
              <w:spacing w:line="240" w:lineRule="auto"/>
              <w:jc w:val="right"/>
            </w:pPr>
            <w:r>
              <w:rPr>
                <w:rFonts w:ascii="宋体" w:hAnsi="宋体" w:eastAsia="宋体" w:cs="宋体"/>
                <w:b w:val="0"/>
              </w:rPr>
              <w:t>3,001,556</w:t>
            </w:r>
          </w:p>
        </w:tc>
        <w:tc>
          <w:tcPr>
            <w:tcW w:w="0" w:type="dxa"/>
            <w:vAlign w:val="center"/>
          </w:tcPr>
          <w:p>
            <w:pPr>
              <w:spacing w:line="240" w:lineRule="auto"/>
              <w:jc w:val="right"/>
            </w:pPr>
            <w:r>
              <w:rPr>
                <w:rFonts w:ascii="宋体" w:hAnsi="宋体" w:eastAsia="宋体" w:cs="宋体"/>
                <w:b w:val="0"/>
              </w:rPr>
              <w:t>341,607,088.36</w:t>
            </w:r>
          </w:p>
        </w:tc>
        <w:tc>
          <w:tcPr>
            <w:tcW w:w="0" w:type="dxa"/>
            <w:vAlign w:val="center"/>
          </w:tcPr>
          <w:p>
            <w:pPr>
              <w:spacing w:line="240" w:lineRule="auto"/>
              <w:jc w:val="right"/>
            </w:pPr>
            <w:r>
              <w:rPr>
                <w:rFonts w:ascii="宋体" w:hAnsi="宋体" w:eastAsia="宋体" w:cs="宋体"/>
                <w:b w:val="0"/>
              </w:rPr>
              <w:t>4.88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688123</w:t>
            </w:r>
          </w:p>
        </w:tc>
        <w:tc>
          <w:tcPr>
            <w:tcW w:w="0" w:type="dxa"/>
            <w:vAlign w:val="center"/>
          </w:tcPr>
          <w:p>
            <w:pPr>
              <w:spacing w:line="240" w:lineRule="auto"/>
              <w:jc w:val="left"/>
            </w:pPr>
            <w:r>
              <w:rPr>
                <w:rFonts w:ascii="宋体" w:hAnsi="宋体" w:eastAsia="宋体" w:cs="宋体"/>
                <w:b w:val="0"/>
              </w:rPr>
              <w:t>聚辰股份</w:t>
            </w:r>
          </w:p>
        </w:tc>
        <w:tc>
          <w:tcPr>
            <w:tcW w:w="0" w:type="dxa"/>
            <w:vAlign w:val="center"/>
          </w:tcPr>
          <w:p>
            <w:pPr>
              <w:spacing w:line="240" w:lineRule="auto"/>
              <w:jc w:val="right"/>
            </w:pPr>
            <w:r>
              <w:rPr>
                <w:rFonts w:ascii="宋体" w:hAnsi="宋体" w:eastAsia="宋体" w:cs="宋体"/>
                <w:b w:val="0"/>
              </w:rPr>
              <w:t>2,125,951</w:t>
            </w:r>
          </w:p>
        </w:tc>
        <w:tc>
          <w:tcPr>
            <w:tcW w:w="0" w:type="dxa"/>
            <w:vAlign w:val="center"/>
          </w:tcPr>
          <w:p>
            <w:pPr>
              <w:spacing w:line="240" w:lineRule="auto"/>
              <w:jc w:val="right"/>
            </w:pPr>
            <w:r>
              <w:rPr>
                <w:rFonts w:ascii="宋体" w:hAnsi="宋体" w:eastAsia="宋体" w:cs="宋体"/>
                <w:b w:val="0"/>
              </w:rPr>
              <w:t>339,471,855.68</w:t>
            </w:r>
          </w:p>
        </w:tc>
        <w:tc>
          <w:tcPr>
            <w:tcW w:w="0" w:type="dxa"/>
            <w:vAlign w:val="center"/>
          </w:tcPr>
          <w:p>
            <w:pPr>
              <w:spacing w:line="240" w:lineRule="auto"/>
              <w:jc w:val="right"/>
            </w:pPr>
            <w:r>
              <w:rPr>
                <w:rFonts w:ascii="宋体" w:hAnsi="宋体" w:eastAsia="宋体" w:cs="宋体"/>
                <w:b w:val="0"/>
              </w:rPr>
              <w:t>4.85</w:t>
            </w:r>
          </w:p>
        </w:tc>
      </w:tr>
    </w:tbl>
    <w:p/>
    <w:p>
      <w:pPr>
        <w:pStyle w:val="3"/>
        <w:jc w:val="left"/>
      </w:pPr>
      <w:r>
        <w:rPr>
          <w:rFonts w:ascii="宋体" w:hAnsi="宋体" w:eastAsia="宋体" w:cs="宋体"/>
        </w:rPr>
        <w:t>5.4 报告期末按债券品种分类的债券投资组合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3571"/>
        <w:gridCol w:w="1786"/>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公允价值(元)</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402,913,126.81</w:t>
            </w:r>
          </w:p>
        </w:tc>
        <w:tc>
          <w:tcPr>
            <w:tcW w:w="0" w:type="dxa"/>
            <w:vAlign w:val="center"/>
          </w:tcPr>
          <w:p>
            <w:pPr>
              <w:spacing w:line="240" w:lineRule="auto"/>
              <w:jc w:val="right"/>
            </w:pPr>
            <w:r>
              <w:rPr>
                <w:rFonts w:ascii="宋体" w:hAnsi="宋体" w:eastAsia="宋体" w:cs="宋体"/>
                <w:b w:val="0"/>
              </w:rPr>
              <w:t>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402,913,126.81</w:t>
            </w:r>
          </w:p>
        </w:tc>
        <w:tc>
          <w:tcPr>
            <w:tcW w:w="0" w:type="dxa"/>
            <w:vAlign w:val="center"/>
          </w:tcPr>
          <w:p>
            <w:pPr>
              <w:spacing w:line="240" w:lineRule="auto"/>
              <w:jc w:val="right"/>
            </w:pPr>
            <w:r>
              <w:rPr>
                <w:rFonts w:ascii="宋体" w:hAnsi="宋体" w:eastAsia="宋体" w:cs="宋体"/>
                <w:b w:val="0"/>
              </w:rPr>
              <w:t>5.76</w:t>
            </w:r>
          </w:p>
        </w:tc>
      </w:tr>
    </w:tbl>
    <w:p/>
    <w:p>
      <w:pPr>
        <w:pStyle w:val="3"/>
        <w:jc w:val="left"/>
      </w:pPr>
      <w:r>
        <w:rPr>
          <w:rFonts w:ascii="宋体" w:hAnsi="宋体" w:eastAsia="宋体" w:cs="宋体"/>
        </w:rPr>
        <w:t>5.5 报告期末按公允价值占基金资产净值比例大小排序的前五名债券投资明细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019827</w:t>
            </w:r>
          </w:p>
        </w:tc>
        <w:tc>
          <w:tcPr>
            <w:tcW w:w="0" w:type="dxa"/>
            <w:vAlign w:val="center"/>
          </w:tcPr>
          <w:p>
            <w:pPr>
              <w:spacing w:line="240" w:lineRule="auto"/>
              <w:jc w:val="left"/>
            </w:pPr>
            <w:r>
              <w:rPr>
                <w:rFonts w:ascii="宋体" w:hAnsi="宋体" w:eastAsia="宋体" w:cs="宋体"/>
                <w:b w:val="0"/>
              </w:rPr>
              <w:t>26国债01</w:t>
            </w:r>
          </w:p>
        </w:tc>
        <w:tc>
          <w:tcPr>
            <w:tcW w:w="0" w:type="dxa"/>
            <w:vAlign w:val="center"/>
          </w:tcPr>
          <w:p>
            <w:pPr>
              <w:spacing w:line="240" w:lineRule="auto"/>
              <w:jc w:val="right"/>
            </w:pPr>
            <w:r>
              <w:rPr>
                <w:rFonts w:ascii="宋体" w:hAnsi="宋体" w:eastAsia="宋体" w:cs="宋体"/>
                <w:b w:val="0"/>
              </w:rPr>
              <w:t>1,905,000</w:t>
            </w:r>
          </w:p>
        </w:tc>
        <w:tc>
          <w:tcPr>
            <w:tcW w:w="0" w:type="dxa"/>
            <w:vAlign w:val="center"/>
          </w:tcPr>
          <w:p>
            <w:pPr>
              <w:spacing w:line="240" w:lineRule="auto"/>
              <w:jc w:val="right"/>
            </w:pPr>
            <w:r>
              <w:rPr>
                <w:rFonts w:ascii="宋体" w:hAnsi="宋体" w:eastAsia="宋体" w:cs="宋体"/>
                <w:b w:val="0"/>
              </w:rPr>
              <w:t>192,149,155.89</w:t>
            </w:r>
          </w:p>
        </w:tc>
        <w:tc>
          <w:tcPr>
            <w:tcW w:w="0" w:type="dxa"/>
            <w:vAlign w:val="center"/>
          </w:tcPr>
          <w:p>
            <w:pPr>
              <w:spacing w:line="240" w:lineRule="auto"/>
              <w:jc w:val="right"/>
            </w:pPr>
            <w:r>
              <w:rPr>
                <w:rFonts w:ascii="宋体" w:hAnsi="宋体" w:eastAsia="宋体" w:cs="宋体"/>
                <w:b w:val="0"/>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019835</w:t>
            </w:r>
          </w:p>
        </w:tc>
        <w:tc>
          <w:tcPr>
            <w:tcW w:w="0" w:type="dxa"/>
            <w:vAlign w:val="center"/>
          </w:tcPr>
          <w:p>
            <w:pPr>
              <w:spacing w:line="240" w:lineRule="auto"/>
              <w:jc w:val="left"/>
            </w:pPr>
            <w:r>
              <w:rPr>
                <w:rFonts w:ascii="宋体" w:hAnsi="宋体" w:eastAsia="宋体" w:cs="宋体"/>
                <w:b w:val="0"/>
              </w:rPr>
              <w:t>26国债09</w:t>
            </w:r>
          </w:p>
        </w:tc>
        <w:tc>
          <w:tcPr>
            <w:tcW w:w="0" w:type="dxa"/>
            <w:vAlign w:val="center"/>
          </w:tcPr>
          <w:p>
            <w:pPr>
              <w:spacing w:line="240" w:lineRule="auto"/>
              <w:jc w:val="right"/>
            </w:pPr>
            <w:r>
              <w:rPr>
                <w:rFonts w:ascii="宋体" w:hAnsi="宋体" w:eastAsia="宋体" w:cs="宋体"/>
                <w:b w:val="0"/>
              </w:rPr>
              <w:t>1,225,000</w:t>
            </w:r>
          </w:p>
        </w:tc>
        <w:tc>
          <w:tcPr>
            <w:tcW w:w="0" w:type="dxa"/>
            <w:vAlign w:val="center"/>
          </w:tcPr>
          <w:p>
            <w:pPr>
              <w:spacing w:line="240" w:lineRule="auto"/>
              <w:jc w:val="right"/>
            </w:pPr>
            <w:r>
              <w:rPr>
                <w:rFonts w:ascii="宋体" w:hAnsi="宋体" w:eastAsia="宋体" w:cs="宋体"/>
                <w:b w:val="0"/>
              </w:rPr>
              <w:t>123,004,397.94</w:t>
            </w:r>
          </w:p>
        </w:tc>
        <w:tc>
          <w:tcPr>
            <w:tcW w:w="0" w:type="dxa"/>
            <w:vAlign w:val="center"/>
          </w:tcPr>
          <w:p>
            <w:pPr>
              <w:spacing w:line="240" w:lineRule="auto"/>
              <w:jc w:val="right"/>
            </w:pPr>
            <w:r>
              <w:rPr>
                <w:rFonts w:ascii="宋体" w:hAnsi="宋体" w:eastAsia="宋体" w:cs="宋体"/>
                <w:b w:val="0"/>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019846</w:t>
            </w:r>
          </w:p>
        </w:tc>
        <w:tc>
          <w:tcPr>
            <w:tcW w:w="0" w:type="dxa"/>
            <w:vAlign w:val="center"/>
          </w:tcPr>
          <w:p>
            <w:pPr>
              <w:spacing w:line="240" w:lineRule="auto"/>
              <w:jc w:val="left"/>
            </w:pPr>
            <w:r>
              <w:rPr>
                <w:rFonts w:ascii="宋体" w:hAnsi="宋体" w:eastAsia="宋体" w:cs="宋体"/>
                <w:b w:val="0"/>
              </w:rPr>
              <w:t>26国债14</w:t>
            </w:r>
          </w:p>
        </w:tc>
        <w:tc>
          <w:tcPr>
            <w:tcW w:w="0" w:type="dxa"/>
            <w:vAlign w:val="center"/>
          </w:tcPr>
          <w:p>
            <w:pPr>
              <w:spacing w:line="240" w:lineRule="auto"/>
              <w:jc w:val="right"/>
            </w:pPr>
            <w:r>
              <w:rPr>
                <w:rFonts w:ascii="宋体" w:hAnsi="宋体" w:eastAsia="宋体" w:cs="宋体"/>
                <w:b w:val="0"/>
              </w:rPr>
              <w:t>664,000</w:t>
            </w:r>
          </w:p>
        </w:tc>
        <w:tc>
          <w:tcPr>
            <w:tcW w:w="0" w:type="dxa"/>
            <w:vAlign w:val="center"/>
          </w:tcPr>
          <w:p>
            <w:pPr>
              <w:spacing w:line="240" w:lineRule="auto"/>
              <w:jc w:val="right"/>
            </w:pPr>
            <w:r>
              <w:rPr>
                <w:rFonts w:ascii="宋体" w:hAnsi="宋体" w:eastAsia="宋体" w:cs="宋体"/>
                <w:b w:val="0"/>
              </w:rPr>
              <w:t>66,478,788.60</w:t>
            </w:r>
          </w:p>
        </w:tc>
        <w:tc>
          <w:tcPr>
            <w:tcW w:w="0" w:type="dxa"/>
            <w:vAlign w:val="center"/>
          </w:tcPr>
          <w:p>
            <w:pPr>
              <w:spacing w:line="240" w:lineRule="auto"/>
              <w:jc w:val="right"/>
            </w:pPr>
            <w:r>
              <w:rPr>
                <w:rFonts w:ascii="宋体" w:hAnsi="宋体" w:eastAsia="宋体" w:cs="宋体"/>
                <w:b w:val="0"/>
              </w:rPr>
              <w:t>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019792</w:t>
            </w:r>
          </w:p>
        </w:tc>
        <w:tc>
          <w:tcPr>
            <w:tcW w:w="0" w:type="dxa"/>
            <w:vAlign w:val="center"/>
          </w:tcPr>
          <w:p>
            <w:pPr>
              <w:spacing w:line="240" w:lineRule="auto"/>
              <w:jc w:val="left"/>
            </w:pPr>
            <w:r>
              <w:rPr>
                <w:rFonts w:ascii="宋体" w:hAnsi="宋体" w:eastAsia="宋体" w:cs="宋体"/>
                <w:b w:val="0"/>
              </w:rPr>
              <w:t>25国债19</w:t>
            </w:r>
          </w:p>
        </w:tc>
        <w:tc>
          <w:tcPr>
            <w:tcW w:w="0" w:type="dxa"/>
            <w:vAlign w:val="center"/>
          </w:tcPr>
          <w:p>
            <w:pPr>
              <w:spacing w:line="240" w:lineRule="auto"/>
              <w:jc w:val="right"/>
            </w:pPr>
            <w:r>
              <w:rPr>
                <w:rFonts w:ascii="宋体" w:hAnsi="宋体" w:eastAsia="宋体" w:cs="宋体"/>
                <w:b w:val="0"/>
              </w:rPr>
              <w:t>210,000</w:t>
            </w:r>
          </w:p>
        </w:tc>
        <w:tc>
          <w:tcPr>
            <w:tcW w:w="0" w:type="dxa"/>
            <w:vAlign w:val="center"/>
          </w:tcPr>
          <w:p>
            <w:pPr>
              <w:spacing w:line="240" w:lineRule="auto"/>
              <w:jc w:val="right"/>
            </w:pPr>
            <w:r>
              <w:rPr>
                <w:rFonts w:ascii="宋体" w:hAnsi="宋体" w:eastAsia="宋体" w:cs="宋体"/>
                <w:b w:val="0"/>
              </w:rPr>
              <w:t>21,280,784.38</w:t>
            </w:r>
          </w:p>
        </w:tc>
        <w:tc>
          <w:tcPr>
            <w:tcW w:w="0" w:type="dxa"/>
            <w:vAlign w:val="center"/>
          </w:tcPr>
          <w:p>
            <w:pPr>
              <w:spacing w:line="240" w:lineRule="auto"/>
              <w:jc w:val="right"/>
            </w:pPr>
            <w:r>
              <w:rPr>
                <w:rFonts w:ascii="宋体" w:hAnsi="宋体" w:eastAsia="宋体" w:cs="宋体"/>
                <w:b w:val="0"/>
              </w:rPr>
              <w:t>0.30</w:t>
            </w:r>
          </w:p>
        </w:tc>
      </w:tr>
    </w:tbl>
    <w:p>
      <w:r>
        <w:rPr>
          <w:rFonts w:ascii="宋体" w:hAnsi="宋体" w:eastAsia="宋体" w:cs="宋体"/>
          <w:b w:val="0"/>
        </w:rPr>
        <w:t>注：本基金本报告期末仅持有上述债券。</w:t>
      </w:r>
    </w:p>
    <w:p/>
    <w:p>
      <w:pPr>
        <w:pStyle w:val="3"/>
        <w:jc w:val="left"/>
      </w:pPr>
      <w:r>
        <w:rPr>
          <w:rFonts w:ascii="宋体" w:hAnsi="宋体" w:eastAsia="宋体" w:cs="宋体"/>
        </w:rPr>
        <w:t>5.6 报告期末按公允价值占基金资产净值比例大小排序的前十名资产支持证券投资明细</w:t>
      </w:r>
    </w:p>
    <w:p>
      <w:r>
        <w:rPr>
          <w:rFonts w:ascii="宋体" w:hAnsi="宋体" w:eastAsia="宋体" w:cs="宋体"/>
          <w:b w:val="0"/>
        </w:rPr>
        <w:t xml:space="preserve">    本基金本报告期末未持有资产支持证券。</w:t>
      </w:r>
    </w:p>
    <w:p/>
    <w:p>
      <w:pPr>
        <w:pStyle w:val="3"/>
        <w:jc w:val="left"/>
      </w:pPr>
      <w:r>
        <w:rPr>
          <w:rFonts w:ascii="宋体" w:hAnsi="宋体" w:eastAsia="宋体" w:cs="宋体"/>
        </w:rPr>
        <w:t>5.7 报告期末按公允价值占基金资产净值比例大小排序的前五名贵金属投资明细</w:t>
      </w:r>
    </w:p>
    <w:p>
      <w:r>
        <w:rPr>
          <w:rFonts w:ascii="宋体" w:hAnsi="宋体" w:eastAsia="宋体" w:cs="宋体"/>
          <w:b w:val="0"/>
        </w:rPr>
        <w:t xml:space="preserve">    本基金本报告期末未持有贵金属。</w:t>
      </w:r>
    </w:p>
    <w:p/>
    <w:p>
      <w:pPr>
        <w:pStyle w:val="3"/>
        <w:jc w:val="left"/>
      </w:pPr>
      <w:r>
        <w:rPr>
          <w:rFonts w:ascii="宋体" w:hAnsi="宋体" w:eastAsia="宋体" w:cs="宋体"/>
        </w:rPr>
        <w:t>5.8 报告期末按公允价值占基金资产净值比例大小排序的前五名权证投资明细</w:t>
      </w:r>
    </w:p>
    <w:p>
      <w:r>
        <w:rPr>
          <w:rFonts w:ascii="宋体" w:hAnsi="宋体" w:eastAsia="宋体" w:cs="宋体"/>
          <w:b w:val="0"/>
        </w:rPr>
        <w:t xml:space="preserve">    本基金本报告期末未持有权证。</w:t>
      </w:r>
    </w:p>
    <w:p/>
    <w:p>
      <w:pPr>
        <w:pStyle w:val="3"/>
        <w:jc w:val="left"/>
      </w:pPr>
      <w:r>
        <w:rPr>
          <w:rFonts w:ascii="宋体" w:hAnsi="宋体" w:eastAsia="宋体" w:cs="宋体"/>
        </w:rPr>
        <w:t>5.9 报告期末本基金投资的股指期货交易情况说明</w:t>
      </w:r>
    </w:p>
    <w:p>
      <w:r>
        <w:rPr>
          <w:rFonts w:ascii="宋体" w:hAnsi="宋体" w:eastAsia="宋体" w:cs="宋体"/>
          <w:b w:val="0"/>
        </w:rPr>
        <w:t xml:space="preserve">    本基金本报告期末未持有股指期货。</w:t>
      </w:r>
    </w:p>
    <w:p/>
    <w:p>
      <w:pPr>
        <w:pStyle w:val="3"/>
        <w:jc w:val="left"/>
      </w:pPr>
      <w:r>
        <w:rPr>
          <w:rFonts w:ascii="宋体" w:hAnsi="宋体" w:eastAsia="宋体" w:cs="宋体"/>
        </w:rPr>
        <w:t>5.10 报告期末本基金投资的国债期货交易情况说明</w:t>
      </w:r>
    </w:p>
    <w:p>
      <w:r>
        <w:rPr>
          <w:rFonts w:ascii="宋体" w:hAnsi="宋体" w:eastAsia="宋体" w:cs="宋体"/>
          <w:b w:val="0"/>
        </w:rPr>
        <w:t xml:space="preserve">    本基金本报告期末未持有国债期货。</w:t>
      </w:r>
    </w:p>
    <w:p/>
    <w:p>
      <w:pPr>
        <w:pStyle w:val="3"/>
        <w:jc w:val="left"/>
      </w:pPr>
      <w:r>
        <w:rPr>
          <w:rFonts w:ascii="宋体" w:hAnsi="宋体" w:eastAsia="宋体" w:cs="宋体"/>
        </w:rPr>
        <w:t>5.11 投资组合报告附注</w:t>
      </w:r>
    </w:p>
    <w:p>
      <w:pPr>
        <w:pStyle w:val="58"/>
      </w:pPr>
      <w:r>
        <w:rPr>
          <w:rStyle w:val="30"/>
          <w:rFonts w:ascii="宋体" w:hAnsi="宋体" w:eastAsia="宋体" w:cs="宋体"/>
          <w:b/>
        </w:rPr>
        <w:t>5.11.1 本基金投资的前十名证券的发行主体本期受到监管部门立案调查或报告编制日前一年内受到公开谴责、处罚的情形说明</w:t>
      </w:r>
    </w:p>
    <w:p>
      <w:r>
        <w:rPr>
          <w:rFonts w:ascii="宋体" w:hAnsi="宋体" w:eastAsia="宋体" w:cs="宋体"/>
          <w:b w:val="0"/>
        </w:rPr>
        <w:t xml:space="preserve">    本基金投资的前十名证券的发行主体本期未出现被监管部门立案调查，或在报告编制日前一年内受到公开谴责、处罚的情形。</w:t>
      </w:r>
    </w:p>
    <w:p/>
    <w:p>
      <w:pPr>
        <w:pStyle w:val="58"/>
      </w:pPr>
      <w:r>
        <w:rPr>
          <w:rStyle w:val="30"/>
          <w:rFonts w:ascii="宋体" w:hAnsi="宋体" w:eastAsia="宋体" w:cs="宋体"/>
          <w:b/>
        </w:rPr>
        <w:t>5.11.2 基金投资的前十名股票超出基金合同约定的备选股票库情况的说明</w:t>
      </w:r>
    </w:p>
    <w:p>
      <w:r>
        <w:rPr>
          <w:rFonts w:ascii="宋体" w:hAnsi="宋体" w:eastAsia="宋体" w:cs="宋体"/>
          <w:b w:val="0"/>
        </w:rPr>
        <w:t xml:space="preserve">    基金投资的前十名股票，均为基金合同约定备选股票库之内的股票。</w:t>
      </w:r>
    </w:p>
    <w:p/>
    <w:p>
      <w:pPr>
        <w:pStyle w:val="58"/>
      </w:pPr>
      <w:r>
        <w:rPr>
          <w:rStyle w:val="30"/>
          <w:rFonts w:ascii="宋体" w:hAnsi="宋体" w:eastAsia="宋体" w:cs="宋体"/>
          <w:b/>
        </w:rPr>
        <w:t>5.11.3 其他资产构成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4804"/>
        <w:gridCol w:w="3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08" w:type="pct"/>
            <w:shd w:val="clear" w:color="auto" w:fill="D9D9D9"/>
            <w:vAlign w:val="center"/>
          </w:tcPr>
          <w:p>
            <w:pPr>
              <w:spacing w:line="240" w:lineRule="auto"/>
              <w:jc w:val="center"/>
            </w:pPr>
            <w:r>
              <w:rPr>
                <w:rFonts w:ascii="宋体" w:hAnsi="宋体" w:eastAsia="宋体" w:cs="宋体"/>
                <w:b w:val="0"/>
              </w:rPr>
              <w:t>名称</w:t>
            </w:r>
          </w:p>
        </w:tc>
        <w:tc>
          <w:tcPr>
            <w:tcW w:w="1538" w:type="pct"/>
            <w:shd w:val="clear" w:color="auto" w:fill="D9D9D9"/>
            <w:vAlign w:val="center"/>
          </w:tcPr>
          <w:p>
            <w:pPr>
              <w:spacing w:line="240" w:lineRule="auto"/>
              <w:jc w:val="center"/>
            </w:pPr>
            <w:r>
              <w:rPr>
                <w:rFonts w:ascii="宋体" w:hAnsi="宋体" w:eastAsia="宋体" w:cs="宋体"/>
                <w:b w:val="0"/>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应收证券清算款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52,514,562.04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52,514,562.04</w:t>
            </w:r>
          </w:p>
        </w:tc>
      </w:tr>
    </w:tbl>
    <w:p/>
    <w:p>
      <w:pPr>
        <w:pStyle w:val="58"/>
      </w:pPr>
      <w:r>
        <w:rPr>
          <w:rStyle w:val="30"/>
          <w:rFonts w:ascii="宋体" w:hAnsi="宋体" w:eastAsia="宋体" w:cs="宋体"/>
          <w:b/>
        </w:rPr>
        <w:t>5.11.4 报告期末持有的处于转股期的可转换债券明细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Style w:val="30"/>
          <w:rFonts w:ascii="宋体" w:hAnsi="宋体" w:eastAsia="宋体" w:cs="宋体"/>
          <w:b/>
        </w:rPr>
        <w:t>5.11.5 报告期末前十名股票中存在流通受限情况的说明</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1238"/>
        <w:gridCol w:w="1238"/>
        <w:gridCol w:w="2167"/>
        <w:gridCol w:w="1857"/>
        <w:gridCol w:w="1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615" w:type="pct"/>
            <w:shd w:val="clear" w:color="auto" w:fill="D9D9D9"/>
            <w:vAlign w:val="center"/>
          </w:tcPr>
          <w:p>
            <w:pPr>
              <w:spacing w:line="240" w:lineRule="auto"/>
              <w:jc w:val="center"/>
            </w:pPr>
            <w:r>
              <w:rPr>
                <w:rFonts w:ascii="宋体" w:hAnsi="宋体" w:eastAsia="宋体" w:cs="宋体"/>
                <w:b w:val="0"/>
              </w:rPr>
              <w:t>股票代码</w:t>
            </w:r>
          </w:p>
        </w:tc>
        <w:tc>
          <w:tcPr>
            <w:tcW w:w="615" w:type="pct"/>
            <w:shd w:val="clear" w:color="auto" w:fill="D9D9D9"/>
            <w:vAlign w:val="center"/>
          </w:tcPr>
          <w:p>
            <w:pPr>
              <w:spacing w:line="240" w:lineRule="auto"/>
              <w:jc w:val="center"/>
            </w:pPr>
            <w:r>
              <w:rPr>
                <w:rFonts w:ascii="宋体" w:hAnsi="宋体" w:eastAsia="宋体" w:cs="宋体"/>
                <w:b w:val="0"/>
              </w:rPr>
              <w:t>股票名称</w:t>
            </w:r>
          </w:p>
        </w:tc>
        <w:tc>
          <w:tcPr>
            <w:tcW w:w="1077" w:type="pct"/>
            <w:shd w:val="clear" w:color="auto" w:fill="D9D9D9"/>
            <w:vAlign w:val="center"/>
          </w:tcPr>
          <w:p>
            <w:pPr>
              <w:spacing w:line="240" w:lineRule="auto"/>
              <w:jc w:val="center"/>
            </w:pPr>
            <w:r>
              <w:rPr>
                <w:rFonts w:ascii="宋体" w:hAnsi="宋体" w:eastAsia="宋体" w:cs="宋体"/>
                <w:b w:val="0"/>
              </w:rPr>
              <w:t>流通受限部分的公允价值（元）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c>
          <w:tcPr>
            <w:tcW w:w="923" w:type="pct"/>
            <w:shd w:val="clear" w:color="auto" w:fill="D9D9D9"/>
            <w:vAlign w:val="center"/>
          </w:tcPr>
          <w:p>
            <w:pPr>
              <w:spacing w:line="240" w:lineRule="auto"/>
              <w:jc w:val="center"/>
            </w:pPr>
            <w:r>
              <w:rPr>
                <w:rFonts w:ascii="宋体" w:hAnsi="宋体" w:eastAsia="宋体" w:cs="宋体"/>
                <w:b w:val="0"/>
              </w:rPr>
              <w:t>流通受限情况说明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301308</w:t>
            </w:r>
          </w:p>
        </w:tc>
        <w:tc>
          <w:tcPr>
            <w:tcW w:w="0" w:type="dxa"/>
            <w:vAlign w:val="center"/>
          </w:tcPr>
          <w:p>
            <w:pPr>
              <w:spacing w:line="240" w:lineRule="auto"/>
              <w:jc w:val="left"/>
            </w:pPr>
            <w:r>
              <w:rPr>
                <w:rFonts w:ascii="宋体" w:hAnsi="宋体" w:eastAsia="宋体" w:cs="宋体"/>
                <w:b w:val="0"/>
              </w:rPr>
              <w:t>江波龙</w:t>
            </w:r>
          </w:p>
        </w:tc>
        <w:tc>
          <w:tcPr>
            <w:tcW w:w="0" w:type="dxa"/>
            <w:vAlign w:val="center"/>
          </w:tcPr>
          <w:p>
            <w:pPr>
              <w:spacing w:line="240" w:lineRule="auto"/>
              <w:jc w:val="right"/>
            </w:pPr>
            <w:r>
              <w:rPr>
                <w:rFonts w:ascii="宋体" w:hAnsi="宋体" w:eastAsia="宋体" w:cs="宋体"/>
                <w:b w:val="0"/>
              </w:rPr>
              <w:t>71,959,783.05</w:t>
            </w:r>
          </w:p>
        </w:tc>
        <w:tc>
          <w:tcPr>
            <w:tcW w:w="0" w:type="dxa"/>
            <w:vAlign w:val="center"/>
          </w:tcPr>
          <w:p>
            <w:pPr>
              <w:spacing w:line="240" w:lineRule="auto"/>
              <w:jc w:val="right"/>
            </w:pPr>
            <w:r>
              <w:rPr>
                <w:rFonts w:ascii="宋体" w:hAnsi="宋体" w:eastAsia="宋体" w:cs="宋体"/>
                <w:b w:val="0"/>
              </w:rPr>
              <w:t>1.03</w:t>
            </w:r>
          </w:p>
        </w:tc>
        <w:tc>
          <w:tcPr>
            <w:tcW w:w="0" w:type="dxa"/>
            <w:vAlign w:val="center"/>
          </w:tcPr>
          <w:p>
            <w:pPr>
              <w:spacing w:line="240" w:lineRule="auto"/>
              <w:jc w:val="left"/>
            </w:pPr>
            <w:r>
              <w:rPr>
                <w:rFonts w:ascii="宋体" w:hAnsi="宋体" w:eastAsia="宋体" w:cs="宋体"/>
                <w:b w:val="0"/>
              </w:rPr>
              <w:t>非公开发行限售</w:t>
            </w:r>
          </w:p>
        </w:tc>
      </w:tr>
    </w:tbl>
    <w:p/>
    <w:p>
      <w:pPr>
        <w:pStyle w:val="58"/>
      </w:pPr>
      <w:r>
        <w:rPr>
          <w:rStyle w:val="30"/>
          <w:rFonts w:ascii="宋体" w:hAnsi="宋体" w:eastAsia="宋体" w:cs="宋体"/>
          <w:b/>
        </w:rPr>
        <w:t>5.11.6 投资组合报告附注的其他文字描述部分</w:t>
      </w:r>
    </w:p>
    <w:p>
      <w:r>
        <w:rPr>
          <w:rFonts w:ascii="宋体" w:hAnsi="宋体" w:eastAsia="宋体" w:cs="宋体"/>
          <w:b w:val="0"/>
        </w:rPr>
        <w:t xml:space="preserve">    由于四舍五入原因，分项之和与合计项之间可能存在尾差。</w:t>
      </w:r>
    </w:p>
    <w:p>
      <w:pPr>
        <w:pStyle w:val="2"/>
        <w:jc w:val="center"/>
      </w:pPr>
      <w:r>
        <w:rPr>
          <w:rFonts w:ascii="宋体" w:hAnsi="宋体" w:eastAsia="宋体" w:cs="宋体"/>
        </w:rPr>
        <w:t>§6 开放式基金份额变动</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东方阿尔法科技智选混合发起A</w:t>
            </w:r>
          </w:p>
        </w:tc>
        <w:tc>
          <w:tcPr>
            <w:tcW w:w="1300" w:type="pct"/>
            <w:vAlign w:val="center"/>
          </w:tcPr>
          <w:p>
            <w:pPr>
              <w:spacing w:line="240" w:lineRule="auto"/>
              <w:jc w:val="center"/>
            </w:pPr>
            <w:r>
              <w:rPr>
                <w:rFonts w:ascii="宋体" w:hAnsi="宋体" w:eastAsia="宋体" w:cs="宋体"/>
                <w:b w:val="0"/>
              </w:rPr>
              <w:t>东方阿尔法科技智选混合发起C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报告期期初基金份额总额</w:t>
            </w:r>
          </w:p>
        </w:tc>
        <w:tc>
          <w:tcPr>
            <w:tcW w:w="1300" w:type="pct"/>
            <w:vAlign w:val="center"/>
          </w:tcPr>
          <w:p>
            <w:pPr>
              <w:spacing w:line="240" w:lineRule="auto"/>
              <w:jc w:val="right"/>
            </w:pPr>
            <w:r>
              <w:rPr>
                <w:rFonts w:ascii="宋体" w:hAnsi="宋体" w:eastAsia="宋体" w:cs="宋体"/>
                <w:b w:val="0"/>
              </w:rPr>
              <w:t>261,060,548.23</w:t>
            </w:r>
          </w:p>
        </w:tc>
        <w:tc>
          <w:tcPr>
            <w:tcW w:w="1300" w:type="pct"/>
            <w:vAlign w:val="center"/>
          </w:tcPr>
          <w:p>
            <w:pPr>
              <w:spacing w:line="240" w:lineRule="auto"/>
              <w:jc w:val="right"/>
            </w:pPr>
            <w:r>
              <w:rPr>
                <w:rFonts w:ascii="宋体" w:hAnsi="宋体" w:eastAsia="宋体" w:cs="宋体"/>
                <w:b w:val="0"/>
              </w:rPr>
              <w:t>6,179,773,371.60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报告期期间基金总申购份额</w:t>
            </w:r>
          </w:p>
        </w:tc>
        <w:tc>
          <w:tcPr>
            <w:tcW w:w="1300" w:type="pct"/>
            <w:vAlign w:val="center"/>
          </w:tcPr>
          <w:p>
            <w:pPr>
              <w:spacing w:line="240" w:lineRule="auto"/>
              <w:jc w:val="right"/>
            </w:pPr>
            <w:r>
              <w:rPr>
                <w:rFonts w:ascii="宋体" w:hAnsi="宋体" w:eastAsia="宋体" w:cs="宋体"/>
                <w:b w:val="0"/>
              </w:rPr>
              <w:t>186,942,693.81</w:t>
            </w:r>
          </w:p>
        </w:tc>
        <w:tc>
          <w:tcPr>
            <w:tcW w:w="1300" w:type="pct"/>
            <w:vAlign w:val="center"/>
          </w:tcPr>
          <w:p>
            <w:pPr>
              <w:spacing w:line="240" w:lineRule="auto"/>
              <w:jc w:val="right"/>
            </w:pPr>
            <w:r>
              <w:rPr>
                <w:rFonts w:ascii="宋体" w:hAnsi="宋体" w:eastAsia="宋体" w:cs="宋体"/>
                <w:b w:val="0"/>
              </w:rPr>
              <w:t>7,636,705,516.32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减：报告期期间基金总赎回份额</w:t>
            </w:r>
          </w:p>
        </w:tc>
        <w:tc>
          <w:tcPr>
            <w:tcW w:w="1300" w:type="pct"/>
            <w:vAlign w:val="center"/>
          </w:tcPr>
          <w:p>
            <w:pPr>
              <w:spacing w:line="240" w:lineRule="auto"/>
              <w:jc w:val="right"/>
            </w:pPr>
            <w:r>
              <w:rPr>
                <w:rFonts w:ascii="宋体" w:hAnsi="宋体" w:eastAsia="宋体" w:cs="宋体"/>
                <w:b w:val="0"/>
              </w:rPr>
              <w:t>229,067,810.12</w:t>
            </w:r>
          </w:p>
        </w:tc>
        <w:tc>
          <w:tcPr>
            <w:tcW w:w="1300" w:type="pct"/>
            <w:vAlign w:val="center"/>
          </w:tcPr>
          <w:p>
            <w:pPr>
              <w:spacing w:line="240" w:lineRule="auto"/>
              <w:jc w:val="right"/>
            </w:pPr>
            <w:r>
              <w:rPr>
                <w:rFonts w:ascii="宋体" w:hAnsi="宋体" w:eastAsia="宋体" w:cs="宋体"/>
                <w:b w:val="0"/>
              </w:rPr>
              <w:t>9,357,789,233.67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报告期期间基金拆分变动份额（份额减少以“-”填列）</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报告期期末基金份额总额</w:t>
            </w:r>
          </w:p>
        </w:tc>
        <w:tc>
          <w:tcPr>
            <w:tcW w:w="1300" w:type="pct"/>
            <w:vAlign w:val="center"/>
          </w:tcPr>
          <w:p>
            <w:pPr>
              <w:spacing w:line="240" w:lineRule="auto"/>
              <w:jc w:val="right"/>
            </w:pPr>
            <w:r>
              <w:rPr>
                <w:rFonts w:ascii="宋体" w:hAnsi="宋体" w:eastAsia="宋体" w:cs="宋体"/>
                <w:b w:val="0"/>
              </w:rPr>
              <w:t>218,935,431.92</w:t>
            </w:r>
          </w:p>
        </w:tc>
        <w:tc>
          <w:tcPr>
            <w:tcW w:w="1300" w:type="pct"/>
            <w:vAlign w:val="center"/>
          </w:tcPr>
          <w:p>
            <w:pPr>
              <w:spacing w:line="240" w:lineRule="auto"/>
              <w:jc w:val="right"/>
            </w:pPr>
            <w:r>
              <w:rPr>
                <w:rFonts w:ascii="宋体" w:hAnsi="宋体" w:eastAsia="宋体" w:cs="宋体"/>
                <w:b w:val="0"/>
              </w:rPr>
              <w:t>4,458,689,654.25</w:t>
            </w:r>
          </w:p>
        </w:tc>
      </w:tr>
    </w:tbl>
    <w:p>
      <w:pPr>
        <w:pStyle w:val="2"/>
        <w:jc w:val="center"/>
      </w:pPr>
      <w:r>
        <w:rPr>
          <w:rFonts w:ascii="宋体" w:hAnsi="宋体" w:eastAsia="宋体" w:cs="宋体"/>
        </w:rPr>
        <w:t>§7 基金管理人运用固有资金投资本基金情况</w:t>
      </w:r>
    </w:p>
    <w:p>
      <w:pPr>
        <w:pStyle w:val="3"/>
        <w:jc w:val="left"/>
      </w:pPr>
      <w:r>
        <w:rPr>
          <w:rFonts w:ascii="宋体" w:hAnsi="宋体" w:eastAsia="宋体" w:cs="宋体"/>
        </w:rPr>
        <w:t>7.1 基金管理人持有本基金份额变动情况</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2"/>
        <w:gridCol w:w="177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pct"/>
            <w:vAlign w:val="center"/>
          </w:tcPr>
          <w:p>
            <w:pPr>
              <w:spacing w:line="240" w:lineRule="auto"/>
              <w:jc w:val="center"/>
            </w:pPr>
          </w:p>
        </w:tc>
        <w:tc>
          <w:tcPr>
            <w:tcW w:w="950" w:type="pct"/>
            <w:vAlign w:val="center"/>
          </w:tcPr>
          <w:p>
            <w:pPr>
              <w:spacing w:line="240" w:lineRule="auto"/>
              <w:jc w:val="center"/>
            </w:pPr>
            <w:r>
              <w:rPr>
                <w:rFonts w:ascii="宋体" w:hAnsi="宋体" w:eastAsia="宋体" w:cs="宋体"/>
                <w:b w:val="0"/>
              </w:rPr>
              <w:t>东方阿尔法科技智选混合发起A</w:t>
            </w:r>
          </w:p>
        </w:tc>
        <w:tc>
          <w:tcPr>
            <w:tcW w:w="950" w:type="pct"/>
            <w:vAlign w:val="center"/>
          </w:tcPr>
          <w:p>
            <w:pPr>
              <w:spacing w:line="240" w:lineRule="auto"/>
              <w:jc w:val="center"/>
            </w:pPr>
            <w:r>
              <w:rPr>
                <w:rFonts w:ascii="宋体" w:hAnsi="宋体" w:eastAsia="宋体" w:cs="宋体"/>
                <w:b w:val="0"/>
              </w:rPr>
              <w:t>东方阿尔法科技智选混合发起C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pct"/>
            <w:vAlign w:val="center"/>
          </w:tcPr>
          <w:p>
            <w:pPr>
              <w:spacing w:line="240" w:lineRule="auto"/>
              <w:jc w:val="left"/>
            </w:pPr>
            <w:r>
              <w:rPr>
                <w:rFonts w:ascii="宋体" w:hAnsi="宋体" w:eastAsia="宋体" w:cs="宋体"/>
                <w:b w:val="0"/>
              </w:rPr>
              <w:t>报告期期初管理人持有的本基金份额</w:t>
            </w:r>
          </w:p>
        </w:tc>
        <w:tc>
          <w:tcPr>
            <w:tcW w:w="950" w:type="pct"/>
            <w:vAlign w:val="center"/>
          </w:tcPr>
          <w:p>
            <w:pPr>
              <w:spacing w:line="240" w:lineRule="auto"/>
              <w:jc w:val="right"/>
            </w:pPr>
            <w:r>
              <w:rPr>
                <w:rFonts w:ascii="宋体" w:hAnsi="宋体" w:eastAsia="宋体" w:cs="宋体"/>
                <w:b w:val="0"/>
              </w:rPr>
              <w:t>7,500,291.70</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报告期期间买入/申购总份额</w:t>
            </w:r>
          </w:p>
        </w:tc>
        <w:tc>
          <w:tcPr>
            <w:tcW w:w="950" w:type="pct"/>
            <w:vAlign w:val="center"/>
          </w:tcPr>
          <w:p>
            <w:pPr>
              <w:spacing w:line="240" w:lineRule="auto"/>
              <w:jc w:val="right"/>
            </w:pPr>
            <w:r>
              <w:rPr>
                <w:rFonts w:ascii="宋体" w:hAnsi="宋体" w:eastAsia="宋体" w:cs="宋体"/>
                <w:b w:val="0"/>
              </w:rPr>
              <w:t>-</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报告期期间卖出/赎回总份额</w:t>
            </w:r>
          </w:p>
        </w:tc>
        <w:tc>
          <w:tcPr>
            <w:tcW w:w="950" w:type="pct"/>
            <w:vAlign w:val="center"/>
          </w:tcPr>
          <w:p>
            <w:pPr>
              <w:spacing w:line="240" w:lineRule="auto"/>
              <w:jc w:val="right"/>
            </w:pPr>
            <w:r>
              <w:rPr>
                <w:rFonts w:ascii="宋体" w:hAnsi="宋体" w:eastAsia="宋体" w:cs="宋体"/>
                <w:b w:val="0"/>
              </w:rPr>
              <w:t>-</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报告期期末管理人持有的本基金份额</w:t>
            </w:r>
          </w:p>
        </w:tc>
        <w:tc>
          <w:tcPr>
            <w:tcW w:w="950" w:type="pct"/>
            <w:vAlign w:val="center"/>
          </w:tcPr>
          <w:p>
            <w:pPr>
              <w:spacing w:line="240" w:lineRule="auto"/>
              <w:jc w:val="right"/>
            </w:pPr>
            <w:r>
              <w:rPr>
                <w:rFonts w:ascii="宋体" w:hAnsi="宋体" w:eastAsia="宋体" w:cs="宋体"/>
                <w:b w:val="0"/>
              </w:rPr>
              <w:t>7,500,291.70</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报告期期末持有的本基金份额占基金总份额比例（%）</w:t>
            </w:r>
          </w:p>
        </w:tc>
        <w:tc>
          <w:tcPr>
            <w:tcW w:w="950" w:type="pct"/>
            <w:vAlign w:val="center"/>
          </w:tcPr>
          <w:p>
            <w:pPr>
              <w:spacing w:line="240" w:lineRule="auto"/>
              <w:jc w:val="right"/>
            </w:pPr>
            <w:r>
              <w:rPr>
                <w:rFonts w:ascii="宋体" w:hAnsi="宋体" w:eastAsia="宋体" w:cs="宋体"/>
                <w:b w:val="0"/>
              </w:rPr>
              <w:t>0.16</w:t>
            </w:r>
          </w:p>
        </w:tc>
        <w:tc>
          <w:tcPr>
            <w:tcW w:w="950" w:type="pct"/>
            <w:vAlign w:val="center"/>
          </w:tcPr>
          <w:p>
            <w:pPr>
              <w:spacing w:line="240" w:lineRule="auto"/>
              <w:jc w:val="right"/>
            </w:pPr>
            <w:r>
              <w:rPr>
                <w:rFonts w:ascii="宋体" w:hAnsi="宋体" w:eastAsia="宋体" w:cs="宋体"/>
                <w:b w:val="0"/>
              </w:rPr>
              <w:t>-</w:t>
            </w:r>
          </w:p>
        </w:tc>
      </w:tr>
    </w:tbl>
    <w:p>
      <w:r>
        <w:rPr>
          <w:rFonts w:ascii="宋体" w:hAnsi="宋体" w:eastAsia="宋体" w:cs="宋体"/>
          <w:b w:val="0"/>
        </w:rPr>
        <w:t>注：报告期期末持有的本基金份额占基金总份额比例的分母采用期末基金份额总额，不区分下属不同类别基金。</w:t>
      </w:r>
    </w:p>
    <w:p/>
    <w:p>
      <w:pPr>
        <w:pStyle w:val="3"/>
        <w:jc w:val="left"/>
      </w:pPr>
      <w:r>
        <w:rPr>
          <w:rFonts w:ascii="宋体" w:hAnsi="宋体" w:eastAsia="宋体" w:cs="宋体"/>
        </w:rPr>
        <w:t>7.2 基金管理人运用固有资金投资本基金交易明细</w:t>
      </w:r>
    </w:p>
    <w:p>
      <w:r>
        <w:rPr>
          <w:rFonts w:ascii="宋体" w:hAnsi="宋体" w:eastAsia="宋体" w:cs="宋体"/>
          <w:b w:val="0"/>
        </w:rPr>
        <w:t xml:space="preserve">    本报告期内，本基金管理人未运用固有资金投资本基金。</w:t>
      </w:r>
    </w:p>
    <w:p>
      <w:pPr>
        <w:pStyle w:val="2"/>
        <w:spacing w:line="240" w:lineRule="auto"/>
        <w:jc w:val="center"/>
      </w:pPr>
      <w:bookmarkStart w:id="1" w:name="_GoBack"/>
      <w:r>
        <w:rPr>
          <w:rFonts w:ascii="宋体" w:hAnsi="宋体" w:eastAsia="宋体" w:cs="宋体"/>
        </w:rPr>
        <w:t>§8 报告期末发起式基金发起资金持有份额情况</w:t>
      </w:r>
    </w:p>
    <w:bookmarkEnd w:id="1"/>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0"/>
        <w:gridCol w:w="1581"/>
        <w:gridCol w:w="1138"/>
        <w:gridCol w:w="1581"/>
        <w:gridCol w:w="1138"/>
        <w:gridCol w:w="1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692" w:type="pct"/>
            <w:shd w:val="clear" w:color="auto" w:fill="D9D9D9"/>
            <w:vAlign w:val="center"/>
          </w:tcPr>
          <w:p>
            <w:pPr>
              <w:spacing w:line="240" w:lineRule="auto"/>
              <w:jc w:val="center"/>
            </w:pPr>
            <w:r>
              <w:rPr>
                <w:rFonts w:ascii="宋体" w:hAnsi="宋体" w:eastAsia="宋体" w:cs="宋体"/>
                <w:b w:val="0"/>
              </w:rPr>
              <w:t>持有份额总数</w:t>
            </w:r>
          </w:p>
        </w:tc>
        <w:tc>
          <w:tcPr>
            <w:tcW w:w="692" w:type="pct"/>
            <w:shd w:val="clear" w:color="auto" w:fill="D9D9D9"/>
            <w:vAlign w:val="center"/>
          </w:tcPr>
          <w:p>
            <w:pPr>
              <w:spacing w:line="240" w:lineRule="auto"/>
              <w:jc w:val="center"/>
            </w:pPr>
            <w:r>
              <w:rPr>
                <w:rFonts w:ascii="宋体" w:hAnsi="宋体" w:eastAsia="宋体" w:cs="宋体"/>
                <w:b w:val="0"/>
              </w:rPr>
              <w:t>持有份额占基金总份额比例</w:t>
            </w:r>
          </w:p>
        </w:tc>
        <w:tc>
          <w:tcPr>
            <w:tcW w:w="692" w:type="pct"/>
            <w:shd w:val="clear" w:color="auto" w:fill="D9D9D9"/>
            <w:vAlign w:val="center"/>
          </w:tcPr>
          <w:p>
            <w:pPr>
              <w:spacing w:line="240" w:lineRule="auto"/>
              <w:jc w:val="center"/>
            </w:pPr>
            <w:r>
              <w:rPr>
                <w:rFonts w:ascii="宋体" w:hAnsi="宋体" w:eastAsia="宋体" w:cs="宋体"/>
                <w:b w:val="0"/>
              </w:rPr>
              <w:t>发起份额总数</w:t>
            </w:r>
          </w:p>
        </w:tc>
        <w:tc>
          <w:tcPr>
            <w:tcW w:w="692" w:type="pct"/>
            <w:shd w:val="clear" w:color="auto" w:fill="D9D9D9"/>
            <w:vAlign w:val="center"/>
          </w:tcPr>
          <w:p>
            <w:pPr>
              <w:spacing w:line="240" w:lineRule="auto"/>
              <w:jc w:val="center"/>
            </w:pPr>
            <w:r>
              <w:rPr>
                <w:rFonts w:ascii="宋体" w:hAnsi="宋体" w:eastAsia="宋体" w:cs="宋体"/>
                <w:b w:val="0"/>
              </w:rPr>
              <w:t>发起份额占基金总份额比例</w:t>
            </w:r>
          </w:p>
        </w:tc>
        <w:tc>
          <w:tcPr>
            <w:tcW w:w="692" w:type="pct"/>
            <w:shd w:val="clear" w:color="auto" w:fill="D9D9D9"/>
            <w:vAlign w:val="center"/>
          </w:tcPr>
          <w:p>
            <w:pPr>
              <w:spacing w:line="240" w:lineRule="auto"/>
              <w:jc w:val="center"/>
            </w:pPr>
            <w:r>
              <w:rPr>
                <w:rFonts w:ascii="宋体" w:hAnsi="宋体" w:eastAsia="宋体" w:cs="宋体"/>
                <w:b w:val="0"/>
              </w:rPr>
              <w:t>发起份额承诺持有期限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基金管理人固有资金</w:t>
            </w:r>
          </w:p>
        </w:tc>
        <w:tc>
          <w:tcPr>
            <w:tcW w:w="0" w:type="dxa"/>
            <w:vAlign w:val="center"/>
          </w:tcPr>
          <w:p>
            <w:pPr>
              <w:spacing w:line="240" w:lineRule="auto"/>
              <w:jc w:val="right"/>
            </w:pPr>
            <w:r>
              <w:rPr>
                <w:rFonts w:ascii="宋体" w:hAnsi="宋体" w:eastAsia="宋体" w:cs="宋体"/>
                <w:b w:val="0"/>
              </w:rPr>
              <w:t>7,500,291.70</w:t>
            </w:r>
          </w:p>
        </w:tc>
        <w:tc>
          <w:tcPr>
            <w:tcW w:w="0" w:type="dxa"/>
            <w:vAlign w:val="center"/>
          </w:tcPr>
          <w:p>
            <w:pPr>
              <w:spacing w:line="240" w:lineRule="auto"/>
              <w:jc w:val="right"/>
            </w:pPr>
            <w:r>
              <w:rPr>
                <w:rFonts w:ascii="宋体" w:hAnsi="宋体" w:eastAsia="宋体" w:cs="宋体"/>
                <w:b w:val="0"/>
              </w:rPr>
              <w:t>0.16%</w:t>
            </w:r>
          </w:p>
        </w:tc>
        <w:tc>
          <w:tcPr>
            <w:tcW w:w="0" w:type="dxa"/>
            <w:vAlign w:val="center"/>
          </w:tcPr>
          <w:p>
            <w:pPr>
              <w:spacing w:line="240" w:lineRule="auto"/>
              <w:jc w:val="right"/>
            </w:pPr>
            <w:r>
              <w:rPr>
                <w:rFonts w:ascii="宋体" w:hAnsi="宋体" w:eastAsia="宋体" w:cs="宋体"/>
                <w:b w:val="0"/>
              </w:rPr>
              <w:t>7,500,291.70</w:t>
            </w:r>
          </w:p>
        </w:tc>
        <w:tc>
          <w:tcPr>
            <w:tcW w:w="0" w:type="dxa"/>
            <w:vAlign w:val="center"/>
          </w:tcPr>
          <w:p>
            <w:pPr>
              <w:spacing w:line="240" w:lineRule="auto"/>
              <w:jc w:val="right"/>
            </w:pPr>
            <w:r>
              <w:rPr>
                <w:rFonts w:ascii="宋体" w:hAnsi="宋体" w:eastAsia="宋体" w:cs="宋体"/>
                <w:b w:val="0"/>
              </w:rPr>
              <w:t>0.16%</w:t>
            </w:r>
          </w:p>
        </w:tc>
        <w:tc>
          <w:tcPr>
            <w:tcW w:w="0" w:type="dxa"/>
            <w:vAlign w:val="center"/>
          </w:tcPr>
          <w:p>
            <w:pPr>
              <w:spacing w:line="240" w:lineRule="auto"/>
              <w:jc w:val="lef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基金管理人高级管理人员</w:t>
            </w:r>
          </w:p>
        </w:tc>
        <w:tc>
          <w:tcPr>
            <w:tcW w:w="0" w:type="dxa"/>
            <w:vAlign w:val="center"/>
          </w:tcPr>
          <w:p>
            <w:pPr>
              <w:spacing w:line="240" w:lineRule="auto"/>
              <w:jc w:val="right"/>
            </w:pPr>
            <w:r>
              <w:rPr>
                <w:rFonts w:ascii="宋体" w:hAnsi="宋体" w:eastAsia="宋体" w:cs="宋体"/>
                <w:b w:val="0"/>
              </w:rPr>
              <w:t>2,505,491.04</w:t>
            </w:r>
          </w:p>
        </w:tc>
        <w:tc>
          <w:tcPr>
            <w:tcW w:w="0" w:type="dxa"/>
            <w:vAlign w:val="center"/>
          </w:tcPr>
          <w:p>
            <w:pPr>
              <w:spacing w:line="240" w:lineRule="auto"/>
              <w:jc w:val="right"/>
            </w:pPr>
            <w:r>
              <w:rPr>
                <w:rFonts w:ascii="宋体" w:hAnsi="宋体" w:eastAsia="宋体" w:cs="宋体"/>
                <w:b w:val="0"/>
              </w:rPr>
              <w:t>0.05%</w:t>
            </w:r>
          </w:p>
        </w:tc>
        <w:tc>
          <w:tcPr>
            <w:tcW w:w="0" w:type="dxa"/>
            <w:vAlign w:val="center"/>
          </w:tcPr>
          <w:p>
            <w:pPr>
              <w:spacing w:line="240" w:lineRule="auto"/>
              <w:jc w:val="right"/>
            </w:pPr>
            <w:r>
              <w:rPr>
                <w:rFonts w:ascii="宋体" w:hAnsi="宋体" w:eastAsia="宋体" w:cs="宋体"/>
                <w:b w:val="0"/>
              </w:rPr>
              <w:t>2,505,491.04</w:t>
            </w:r>
          </w:p>
        </w:tc>
        <w:tc>
          <w:tcPr>
            <w:tcW w:w="0" w:type="dxa"/>
            <w:vAlign w:val="center"/>
          </w:tcPr>
          <w:p>
            <w:pPr>
              <w:spacing w:line="240" w:lineRule="auto"/>
              <w:jc w:val="right"/>
            </w:pPr>
            <w:r>
              <w:rPr>
                <w:rFonts w:ascii="宋体" w:hAnsi="宋体" w:eastAsia="宋体" w:cs="宋体"/>
                <w:b w:val="0"/>
              </w:rPr>
              <w:t>0.05%</w:t>
            </w:r>
          </w:p>
        </w:tc>
        <w:tc>
          <w:tcPr>
            <w:tcW w:w="0" w:type="dxa"/>
            <w:vAlign w:val="center"/>
          </w:tcPr>
          <w:p>
            <w:pPr>
              <w:spacing w:line="240" w:lineRule="auto"/>
              <w:jc w:val="lef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基金经理等人员</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基金管理人股东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10,005,782.74</w:t>
            </w:r>
          </w:p>
        </w:tc>
        <w:tc>
          <w:tcPr>
            <w:tcW w:w="0" w:type="dxa"/>
            <w:vAlign w:val="center"/>
          </w:tcPr>
          <w:p>
            <w:pPr>
              <w:spacing w:line="240" w:lineRule="auto"/>
              <w:jc w:val="right"/>
            </w:pPr>
            <w:r>
              <w:rPr>
                <w:rFonts w:ascii="宋体" w:hAnsi="宋体" w:eastAsia="宋体" w:cs="宋体"/>
                <w:b w:val="0"/>
              </w:rPr>
              <w:t>0.21%</w:t>
            </w:r>
          </w:p>
        </w:tc>
        <w:tc>
          <w:tcPr>
            <w:tcW w:w="0" w:type="dxa"/>
            <w:vAlign w:val="center"/>
          </w:tcPr>
          <w:p>
            <w:pPr>
              <w:spacing w:line="240" w:lineRule="auto"/>
              <w:jc w:val="right"/>
            </w:pPr>
            <w:r>
              <w:rPr>
                <w:rFonts w:ascii="宋体" w:hAnsi="宋体" w:eastAsia="宋体" w:cs="宋体"/>
                <w:b w:val="0"/>
              </w:rPr>
              <w:t>10,005,782.74</w:t>
            </w:r>
          </w:p>
        </w:tc>
        <w:tc>
          <w:tcPr>
            <w:tcW w:w="0" w:type="dxa"/>
            <w:vAlign w:val="center"/>
          </w:tcPr>
          <w:p>
            <w:pPr>
              <w:spacing w:line="240" w:lineRule="auto"/>
              <w:jc w:val="right"/>
            </w:pPr>
            <w:r>
              <w:rPr>
                <w:rFonts w:ascii="宋体" w:hAnsi="宋体" w:eastAsia="宋体" w:cs="宋体"/>
                <w:b w:val="0"/>
              </w:rPr>
              <w:t>0.21%</w:t>
            </w:r>
          </w:p>
        </w:tc>
        <w:tc>
          <w:tcPr>
            <w:tcW w:w="0" w:type="dxa"/>
            <w:vAlign w:val="center"/>
          </w:tcPr>
          <w:p>
            <w:pPr>
              <w:spacing w:line="240" w:lineRule="auto"/>
              <w:jc w:val="left"/>
            </w:pPr>
            <w:r>
              <w:rPr>
                <w:rFonts w:ascii="宋体" w:hAnsi="宋体" w:eastAsia="宋体" w:cs="宋体"/>
                <w:b w:val="0"/>
              </w:rPr>
              <w:t>-</w:t>
            </w:r>
          </w:p>
        </w:tc>
      </w:tr>
    </w:tbl>
    <w:p>
      <w:pPr>
        <w:pStyle w:val="2"/>
        <w:jc w:val="center"/>
      </w:pPr>
      <w:r>
        <w:rPr>
          <w:rFonts w:ascii="宋体" w:hAnsi="宋体" w:eastAsia="宋体" w:cs="宋体"/>
        </w:rPr>
        <w:t>§9 影响投资者决策的其他重要信息</w:t>
      </w:r>
    </w:p>
    <w:p>
      <w:pPr>
        <w:pStyle w:val="3"/>
        <w:jc w:val="left"/>
      </w:pPr>
      <w:r>
        <w:rPr>
          <w:rFonts w:ascii="宋体" w:hAnsi="宋体" w:eastAsia="宋体" w:cs="宋体"/>
        </w:rPr>
        <w:t>9.1 报告期内单一投资者持有基金份额比例达到或超过20%的情况</w:t>
      </w:r>
    </w:p>
    <w:p>
      <w:r>
        <w:rPr>
          <w:rFonts w:ascii="宋体" w:hAnsi="宋体" w:eastAsia="宋体" w:cs="宋体"/>
          <w:b w:val="0"/>
        </w:rPr>
        <w:t xml:space="preserve">    本报告期内，本基金不存在单一投资者持有基金份额比例达到或超过20%的情况。</w:t>
      </w:r>
    </w:p>
    <w:p/>
    <w:p>
      <w:pPr>
        <w:pStyle w:val="3"/>
        <w:jc w:val="left"/>
      </w:pPr>
      <w:r>
        <w:rPr>
          <w:rFonts w:ascii="宋体" w:hAnsi="宋体" w:eastAsia="宋体" w:cs="宋体"/>
        </w:rPr>
        <w:t>9.2 影响投资者决策的其他重要信息</w:t>
      </w:r>
    </w:p>
    <w:p>
      <w:r>
        <w:rPr>
          <w:rFonts w:ascii="宋体" w:hAnsi="宋体" w:eastAsia="宋体" w:cs="宋体"/>
          <w:b w:val="0"/>
        </w:rPr>
        <w:t xml:space="preserve">    无。</w:t>
      </w:r>
    </w:p>
    <w:p>
      <w:pPr>
        <w:pStyle w:val="2"/>
        <w:spacing w:line="240" w:lineRule="auto"/>
        <w:jc w:val="center"/>
      </w:pPr>
      <w:r>
        <w:rPr>
          <w:rFonts w:ascii="宋体" w:hAnsi="宋体" w:eastAsia="宋体" w:cs="宋体"/>
        </w:rPr>
        <w:t>§10 备查文件目录</w:t>
      </w:r>
    </w:p>
    <w:p>
      <w:pPr>
        <w:pStyle w:val="3"/>
        <w:jc w:val="left"/>
      </w:pPr>
      <w:r>
        <w:rPr>
          <w:rFonts w:ascii="宋体" w:hAnsi="宋体" w:eastAsia="宋体" w:cs="宋体"/>
        </w:rPr>
        <w:t>10.1 备查文件目录</w:t>
      </w:r>
    </w:p>
    <w:p>
      <w:r>
        <w:rPr>
          <w:rFonts w:ascii="宋体" w:hAnsi="宋体" w:eastAsia="宋体" w:cs="宋体"/>
          <w:b w:val="0"/>
        </w:rPr>
        <w:t xml:space="preserve">    1、中国证券监督管理委员会批准的东方阿尔法科技智选混合型发起式证券投资基金设立的文件；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2、《东方阿尔法科技智选混合型发起式证券投资基金基金合同》；</w:t>
      </w:r>
      <w:r>
        <w:rPr>
          <w:rFonts w:ascii="宋体" w:hAnsi="宋体" w:eastAsia="宋体" w:cs="宋体"/>
          <w:b w:val="0"/>
        </w:rPr>
        <w:br w:type="textWrapping"/>
      </w:r>
      <w:r>
        <w:rPr>
          <w:rFonts w:ascii="宋体" w:hAnsi="宋体" w:eastAsia="宋体" w:cs="宋体"/>
          <w:b w:val="0"/>
        </w:rPr>
        <w:t xml:space="preserve">    3、《东方阿尔法科技智选混合型发起式证券投资基金托管协议》；</w:t>
      </w:r>
      <w:r>
        <w:rPr>
          <w:rFonts w:ascii="宋体" w:hAnsi="宋体" w:eastAsia="宋体" w:cs="宋体"/>
          <w:b w:val="0"/>
        </w:rPr>
        <w:br w:type="textWrapping"/>
      </w:r>
      <w:r>
        <w:rPr>
          <w:rFonts w:ascii="宋体" w:hAnsi="宋体" w:eastAsia="宋体" w:cs="宋体"/>
          <w:b w:val="0"/>
        </w:rPr>
        <w:t xml:space="preserve">    4、《东方阿尔法科技智选混合型发起式证券投资基金招募说明书》（含更新）；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r>
        <w:rPr>
          <w:rFonts w:ascii="宋体" w:hAnsi="宋体" w:eastAsia="宋体" w:cs="宋体"/>
        </w:rPr>
        <w:t>10.2 存放地点</w:t>
      </w:r>
    </w:p>
    <w:p>
      <w:r>
        <w:rPr>
          <w:rFonts w:ascii="宋体" w:hAnsi="宋体" w:eastAsia="宋体" w:cs="宋体"/>
          <w:b w:val="0"/>
        </w:rPr>
        <w:t xml:space="preserve">    广东省深圳市深南大道6008号深圳特区报业大厦23BC。</w:t>
      </w:r>
    </w:p>
    <w:p/>
    <w:p>
      <w:pPr>
        <w:pStyle w:val="3"/>
        <w:jc w:val="left"/>
      </w:pPr>
      <w:r>
        <w:rPr>
          <w:rFonts w:ascii="宋体" w:hAnsi="宋体" w:eastAsia="宋体" w:cs="宋体"/>
        </w:rPr>
        <w:t>10.3 查阅方式</w:t>
      </w:r>
    </w:p>
    <w:p>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p/>
    <w:p/>
    <w:p>
      <w:pPr>
        <w:jc w:val="right"/>
      </w:pPr>
      <w:r>
        <w:rPr>
          <w:rFonts w:ascii="宋体" w:hAnsi="宋体" w:eastAsia="宋体" w:cs="宋体"/>
          <w:b/>
        </w:rPr>
        <w:t>东方阿尔法基金管理有限公司</w:t>
      </w:r>
    </w:p>
    <w:p>
      <w:pPr>
        <w:jc w:val="right"/>
      </w:pPr>
      <w:r>
        <w:rPr>
          <w:rFonts w:ascii="宋体" w:hAnsi="宋体" w:eastAsia="宋体" w:cs="宋体"/>
          <w:b/>
        </w:rPr>
        <w:t>二〇二六年十月二十六日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2</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2</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1</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东方阿尔法科技智选混合型发起式证券投资基金2026年第3季度报告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3E932B1"/>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qFormat/>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qFormat/>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qFormat/>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qFormat/>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qFormat/>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Words>
  <Characters>139</Characters>
  <Lines>1</Lines>
  <Paragraphs>1</Paragraphs>
  <TotalTime>51</TotalTime>
  <ScaleCrop>false</ScaleCrop>
  <LinksUpToDate>false</LinksUpToDate>
  <CharactersWithSpaces>162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2026-10-22T09:15:13Z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