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东方阿尔法瑞享混合型发起式证券投资基金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东方阿尔法瑞享混合发起</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025777</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2025年10月21日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463,255,815.47份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在有效控制组合风险并保持良好流动性的前提下，通过深入研究、优选个股、主动的投资管理方式力求实现组合资产的稳健增值。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本基金的投资策略主要有以下11个方面内容：</w:t>
              <w:br/>
            </w:r>
            <w:r>
              <w:rPr>
                <w:rFonts w:ascii="宋体" w:eastAsia="宋体" w:hAnsi="宋体" w:cs="宋体"/>
                <w:b w:val="0"/>
              </w:rPr>
              <w:t>1、大类资产配置策略</w:t>
              <w:br/>
            </w:r>
            <w:r>
              <w:rPr>
                <w:rFonts w:ascii="宋体" w:eastAsia="宋体" w:hAnsi="宋体" w:cs="宋体"/>
                <w:b w:val="0"/>
              </w:rPr>
              <w:t>本基金将根据国内外宏观经济情况、国内外证券市场估值水平阶段性不断调整权益类资产和其他资产之间的大类资产配置比例。</w:t>
              <w:br/>
            </w:r>
            <w:r>
              <w:rPr>
                <w:rFonts w:ascii="宋体" w:eastAsia="宋体" w:hAnsi="宋体" w:cs="宋体"/>
                <w:b w:val="0"/>
              </w:rPr>
              <w:t>2、个股优选策略</w:t>
              <w:br/>
            </w:r>
            <w:r>
              <w:rPr>
                <w:rFonts w:ascii="宋体" w:eastAsia="宋体" w:hAnsi="宋体" w:cs="宋体"/>
                <w:b w:val="0"/>
              </w:rPr>
              <w:t>基金管理人将采用定量分析与定性分析相结合的方式对上市公司进行分析，建立备选股票池，并以备选股票池成份股未来两年的PE衡量动态性价比作为选择其进入投资组合的重要依据。</w:t>
              <w:br/>
            </w:r>
            <w:r>
              <w:rPr>
                <w:rFonts w:ascii="宋体" w:eastAsia="宋体" w:hAnsi="宋体" w:cs="宋体"/>
                <w:b w:val="0"/>
              </w:rPr>
              <w:t xml:space="preserve">3、港股投资策略 </w:t>
              <w:br/>
            </w:r>
            <w:r>
              <w:rPr>
                <w:rFonts w:ascii="宋体" w:eastAsia="宋体" w:hAnsi="宋体" w:cs="宋体"/>
                <w:b w:val="0"/>
              </w:rPr>
              <w:t>本基金将通过内地与香港股票市场交易互联互通机制投资于香港股票市场，不使用合格境内机构投资者(QDII)境外投资额度进行境外投资。</w:t>
              <w:br/>
            </w:r>
            <w:r>
              <w:rPr>
                <w:rFonts w:ascii="宋体" w:eastAsia="宋体" w:hAnsi="宋体" w:cs="宋体"/>
                <w:b w:val="0"/>
              </w:rPr>
              <w:t>4、债券类资产投资策略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5、可转债（含分离交易可转债）及可交换债券投资策略</w:t>
              <w:br/>
            </w:r>
            <w:r>
              <w:rPr>
                <w:rFonts w:ascii="宋体" w:eastAsia="宋体" w:hAnsi="宋体" w:cs="宋体"/>
                <w:b w:val="0"/>
              </w:rPr>
              <w:t>对于可转换债券的投资，本基金在评估其偿债能力的同时兼顾公司的成长性，以期通过转换条款分享因股价上升带来的高收益。</w:t>
              <w:br/>
            </w:r>
            <w:r>
              <w:rPr>
                <w:rFonts w:ascii="宋体" w:eastAsia="宋体" w:hAnsi="宋体" w:cs="宋体"/>
                <w:b w:val="0"/>
              </w:rPr>
              <w:t>6、股指期货投资策略</w:t>
              <w:br/>
            </w:r>
            <w:r>
              <w:rPr>
                <w:rFonts w:ascii="宋体" w:eastAsia="宋体" w:hAnsi="宋体" w:cs="宋体"/>
                <w:b w:val="0"/>
              </w:rPr>
              <w:t>本基金将按照风险管理的原则，以套期保值为主要目的，参与股指期货的投资。此外，本基金还将运用股指期货来管理特殊情况下的流动性风险，如预期大额申购赎回、大量分红等。</w:t>
              <w:br/>
            </w:r>
            <w:r>
              <w:rPr>
                <w:rFonts w:ascii="宋体" w:eastAsia="宋体" w:hAnsi="宋体" w:cs="宋体"/>
                <w:b w:val="0"/>
              </w:rPr>
              <w:t>7、融资业务投资策略</w:t>
              <w:br/>
            </w:r>
            <w:r>
              <w:rPr>
                <w:rFonts w:ascii="宋体" w:eastAsia="宋体" w:hAnsi="宋体" w:cs="宋体"/>
                <w:b w:val="0"/>
              </w:rPr>
              <w:t>本基金参与融资业务，将综合考虑融资成本、保证金比例、冲抵保证金证券折算率、信用资质等条件选择合适的交易对手方。同时，在保障基金投资组合充足流动性以及有效控制融资杠杆风险的前提下，确定融资比例。</w:t>
              <w:br/>
            </w:r>
            <w:r>
              <w:rPr>
                <w:rFonts w:ascii="宋体" w:eastAsia="宋体" w:hAnsi="宋体" w:cs="宋体"/>
                <w:b w:val="0"/>
              </w:rPr>
              <w:t>8、国债期货投资策略</w:t>
              <w:br/>
            </w:r>
            <w:r>
              <w:rPr>
                <w:rFonts w:ascii="宋体" w:eastAsia="宋体" w:hAnsi="宋体" w:cs="宋体"/>
                <w:b w:val="0"/>
              </w:rPr>
              <w:t>本基金将按照风险管理的原则，以套期保值为主要目的，参与国债期货的投资，管理市场风险，故国债期货空头的合约价值主要与债券组合的多头价值相对应。</w:t>
              <w:br/>
            </w:r>
            <w:r>
              <w:rPr>
                <w:rFonts w:ascii="宋体" w:eastAsia="宋体" w:hAnsi="宋体" w:cs="宋体"/>
                <w:b w:val="0"/>
              </w:rPr>
              <w:t>9、资产支持证券投资策略</w:t>
              <w:br/>
            </w:r>
            <w:r>
              <w:rPr>
                <w:rFonts w:ascii="宋体" w:eastAsia="宋体" w:hAnsi="宋体" w:cs="宋体"/>
                <w:b w:val="0"/>
              </w:rPr>
              <w:t>本基金将综合运用久期管理、收益率曲线、个券选择以及把握市场交易机会等积极策略，在严格控制风险的情况下，结合信用研究和流动性管理，选择风险调整后收益高的品种进行投资，以期获得长期稳定收益。</w:t>
              <w:br/>
            </w:r>
            <w:r>
              <w:rPr>
                <w:rFonts w:ascii="宋体" w:eastAsia="宋体" w:hAnsi="宋体" w:cs="宋体"/>
                <w:b w:val="0"/>
              </w:rPr>
              <w:t xml:space="preserve">10、股票期权投资策略 </w:t>
              <w:br/>
            </w:r>
            <w:r>
              <w:rPr>
                <w:rFonts w:ascii="宋体" w:eastAsia="宋体" w:hAnsi="宋体" w:cs="宋体"/>
                <w:b w:val="0"/>
              </w:rPr>
              <w:t>本基金以套期保值为主要目的参与股票期权交易，结合投资目标、比例限制、风险收益特征以及法律法规的相关限定和要求，确定参与股票期权交易的投资时机和投资比例。</w:t>
              <w:br/>
            </w:r>
            <w:r>
              <w:rPr>
                <w:rFonts w:ascii="宋体" w:eastAsia="宋体" w:hAnsi="宋体" w:cs="宋体"/>
                <w:b w:val="0"/>
              </w:rPr>
              <w:t>11、存托凭证投资策略</w:t>
              <w:br/>
            </w:r>
            <w:r>
              <w:rPr>
                <w:rFonts w:ascii="宋体" w:eastAsia="宋体" w:hAnsi="宋体" w:cs="宋体"/>
                <w:b w:val="0"/>
              </w:rPr>
              <w:t>本基金在深入研究的基础上，通过定性分析和定量分析相结合的方式，选择投资价值高的存托凭证进行投资。</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中证800指数收益率×60%+中证综合债券指数收益率×20%+恒生指数收益率（按估值汇率折算）×20%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东方阿尔法瑞享混合发起A</w:t>
            </w:r>
          </w:p>
        </w:tc>
        <w:tc>
          <w:tcPr>
            <w:tcW w:w="1500" w:type="pct"/>
            <w:vAlign w:val="center"/>
          </w:tcPr>
          <w:p>
            <w:pPr>
              <w:spacing w:line="240" w:lineRule="auto"/>
              <w:jc w:val="left"/>
            </w:pPr>
            <w:r>
              <w:rPr>
                <w:rFonts w:ascii="宋体" w:eastAsia="宋体" w:hAnsi="宋体" w:cs="宋体"/>
                <w:b w:val="0"/>
              </w:rPr>
              <w:t>东方阿尔法瑞享混合发起C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025777</w:t>
            </w:r>
          </w:p>
        </w:tc>
        <w:tc>
          <w:tcPr>
            <w:tcW w:w="1500" w:type="pct"/>
            <w:vAlign w:val="center"/>
          </w:tcPr>
          <w:p>
            <w:pPr>
              <w:spacing w:line="240" w:lineRule="auto"/>
              <w:jc w:val="left"/>
            </w:pPr>
            <w:r>
              <w:rPr>
                <w:rFonts w:ascii="宋体" w:eastAsia="宋体" w:hAnsi="宋体" w:cs="宋体"/>
                <w:b w:val="0"/>
              </w:rPr>
              <w:t>025778</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21,514,148.03份</w:t>
            </w:r>
          </w:p>
        </w:tc>
        <w:tc>
          <w:tcPr>
            <w:tcW w:w="1500" w:type="pct"/>
            <w:vAlign w:val="center"/>
          </w:tcPr>
          <w:p>
            <w:pPr>
              <w:spacing w:line="240" w:lineRule="auto"/>
              <w:jc w:val="left"/>
            </w:pPr>
            <w:r>
              <w:rPr>
                <w:rFonts w:ascii="宋体" w:eastAsia="宋体" w:hAnsi="宋体" w:cs="宋体"/>
                <w:b w:val="0"/>
              </w:rPr>
              <w:t>441,741,667.44份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东方阿尔法瑞享混合发起A</w:t>
            </w:r>
          </w:p>
        </w:tc>
        <w:tc>
          <w:tcPr>
            <w:tcW w:w="1500" w:type="pct"/>
            <w:shd w:val="clear" w:color="auto" w:fill="D9D9D9"/>
            <w:vAlign w:val="center"/>
          </w:tcPr>
          <w:p>
            <w:pPr>
              <w:spacing w:line="240" w:lineRule="auto"/>
              <w:jc w:val="center"/>
            </w:pPr>
            <w:r>
              <w:rPr>
                <w:rFonts w:ascii="宋体" w:eastAsia="宋体" w:hAnsi="宋体" w:cs="宋体"/>
                <w:b w:val="0"/>
              </w:rPr>
              <w:t>东方阿尔法瑞享混合发起C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-10,277,356.42</w:t>
            </w:r>
          </w:p>
        </w:tc>
        <w:tc>
          <w:tcPr>
            <w:tcW w:w="1500" w:type="pct"/>
            <w:vAlign w:val="center"/>
          </w:tcPr>
          <w:p>
            <w:pPr>
              <w:spacing w:line="240" w:lineRule="auto"/>
              <w:jc w:val="right"/>
            </w:pPr>
            <w:r>
              <w:rPr>
                <w:rFonts w:ascii="宋体" w:eastAsia="宋体" w:hAnsi="宋体" w:cs="宋体"/>
                <w:b w:val="0"/>
              </w:rPr>
              <w:t>-260,152,554.29</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-8,678,947.56</w:t>
            </w:r>
          </w:p>
        </w:tc>
        <w:tc>
          <w:tcPr>
            <w:tcW w:w="1500" w:type="pct"/>
            <w:vAlign w:val="center"/>
          </w:tcPr>
          <w:p>
            <w:pPr>
              <w:spacing w:line="240" w:lineRule="auto"/>
              <w:jc w:val="right"/>
            </w:pPr>
            <w:r>
              <w:rPr>
                <w:rFonts w:ascii="宋体" w:eastAsia="宋体" w:hAnsi="宋体" w:cs="宋体"/>
                <w:b w:val="0"/>
              </w:rPr>
              <w:t>-253,677,026.78</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-0.3747</w:t>
            </w:r>
          </w:p>
        </w:tc>
        <w:tc>
          <w:tcPr>
            <w:tcW w:w="1500" w:type="pct"/>
            <w:vAlign w:val="center"/>
          </w:tcPr>
          <w:p>
            <w:pPr>
              <w:spacing w:line="240" w:lineRule="auto"/>
              <w:jc w:val="right"/>
            </w:pPr>
            <w:r>
              <w:rPr>
                <w:rFonts w:ascii="宋体" w:eastAsia="宋体" w:hAnsi="宋体" w:cs="宋体"/>
                <w:b w:val="0"/>
              </w:rPr>
              <w:t>-0.4433</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21,790,074.96</w:t>
            </w:r>
          </w:p>
        </w:tc>
        <w:tc>
          <w:tcPr>
            <w:tcW w:w="1500" w:type="pct"/>
            <w:vAlign w:val="center"/>
          </w:tcPr>
          <w:p>
            <w:pPr>
              <w:spacing w:line="240" w:lineRule="auto"/>
              <w:jc w:val="right"/>
            </w:pPr>
            <w:r>
              <w:rPr>
                <w:rFonts w:ascii="宋体" w:eastAsia="宋体" w:hAnsi="宋体" w:cs="宋体"/>
                <w:b w:val="0"/>
              </w:rPr>
              <w:t>446,253,643.53</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1.0128</w:t>
            </w:r>
          </w:p>
        </w:tc>
        <w:tc>
          <w:tcPr>
            <w:tcW w:w="1500" w:type="pct"/>
            <w:vAlign w:val="center"/>
          </w:tcPr>
          <w:p>
            <w:pPr>
              <w:spacing w:line="240" w:lineRule="auto"/>
              <w:jc w:val="right"/>
            </w:pPr>
            <w:r>
              <w:rPr>
                <w:rFonts w:ascii="宋体" w:eastAsia="宋体" w:hAnsi="宋体" w:cs="宋体"/>
                <w:b w:val="0"/>
              </w:rPr>
              <w:t>1.0102</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东方阿尔法瑞享混合发起A净值表现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-27.47%</w:t>
            </w:r>
          </w:p>
        </w:tc>
        <w:tc>
          <w:tcPr>
            <w:tcW w:w="0" w:type="dxa"/>
            <w:vAlign w:val="center"/>
          </w:tcPr>
          <w:p>
            <w:pPr>
              <w:spacing w:line="240" w:lineRule="auto"/>
              <w:jc w:val="right"/>
            </w:pPr>
            <w:r>
              <w:rPr>
                <w:rFonts w:ascii="宋体" w:eastAsia="宋体" w:hAnsi="宋体" w:cs="宋体"/>
                <w:b w:val="0"/>
              </w:rPr>
              <w:t>2.57%</w:t>
            </w:r>
          </w:p>
        </w:tc>
        <w:tc>
          <w:tcPr>
            <w:tcW w:w="0" w:type="dxa"/>
            <w:vAlign w:val="center"/>
          </w:tcPr>
          <w:p>
            <w:pPr>
              <w:spacing w:line="240" w:lineRule="auto"/>
              <w:jc w:val="right"/>
            </w:pPr>
            <w:r>
              <w:rPr>
                <w:rFonts w:ascii="宋体" w:eastAsia="宋体" w:hAnsi="宋体" w:cs="宋体"/>
                <w:b w:val="0"/>
              </w:rPr>
              <w:t>-7.12%</w:t>
            </w:r>
          </w:p>
        </w:tc>
        <w:tc>
          <w:tcPr>
            <w:tcW w:w="0" w:type="dxa"/>
            <w:vAlign w:val="center"/>
          </w:tcPr>
          <w:p>
            <w:pPr>
              <w:spacing w:line="240" w:lineRule="auto"/>
              <w:jc w:val="right"/>
            </w:pPr>
            <w:r>
              <w:rPr>
                <w:rFonts w:ascii="宋体" w:eastAsia="宋体" w:hAnsi="宋体" w:cs="宋体"/>
                <w:b w:val="0"/>
              </w:rPr>
              <w:t>0.92%</w:t>
            </w:r>
          </w:p>
        </w:tc>
        <w:tc>
          <w:tcPr>
            <w:tcW w:w="0" w:type="dxa"/>
            <w:vAlign w:val="center"/>
          </w:tcPr>
          <w:p>
            <w:pPr>
              <w:spacing w:line="240" w:lineRule="auto"/>
              <w:jc w:val="right"/>
            </w:pPr>
            <w:r>
              <w:rPr>
                <w:rFonts w:ascii="宋体" w:eastAsia="宋体" w:hAnsi="宋体" w:cs="宋体"/>
                <w:b w:val="0"/>
              </w:rPr>
              <w:t>-20.35%</w:t>
            </w:r>
          </w:p>
        </w:tc>
        <w:tc>
          <w:tcPr>
            <w:tcW w:w="0" w:type="dxa"/>
            <w:vAlign w:val="center"/>
          </w:tcPr>
          <w:p>
            <w:pPr>
              <w:spacing w:line="240" w:lineRule="auto"/>
              <w:jc w:val="right"/>
            </w:pPr>
            <w:r>
              <w:rPr>
                <w:rFonts w:ascii="宋体" w:eastAsia="宋体" w:hAnsi="宋体" w:cs="宋体"/>
                <w:b w:val="0"/>
              </w:rPr>
              <w:t>1.65%</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-25.29%</w:t>
            </w:r>
          </w:p>
        </w:tc>
        <w:tc>
          <w:tcPr>
            <w:tcW w:w="0" w:type="dxa"/>
            <w:vAlign w:val="center"/>
          </w:tcPr>
          <w:p>
            <w:pPr>
              <w:spacing w:line="240" w:lineRule="auto"/>
              <w:jc w:val="right"/>
            </w:pPr>
            <w:r>
              <w:rPr>
                <w:rFonts w:ascii="宋体" w:eastAsia="宋体" w:hAnsi="宋体" w:cs="宋体"/>
                <w:b w:val="0"/>
              </w:rPr>
              <w:t>2.81%</w:t>
            </w:r>
          </w:p>
        </w:tc>
        <w:tc>
          <w:tcPr>
            <w:tcW w:w="0" w:type="dxa"/>
            <w:vAlign w:val="center"/>
          </w:tcPr>
          <w:p>
            <w:pPr>
              <w:spacing w:line="240" w:lineRule="auto"/>
              <w:jc w:val="right"/>
            </w:pPr>
            <w:r>
              <w:rPr>
                <w:rFonts w:ascii="宋体" w:eastAsia="宋体" w:hAnsi="宋体" w:cs="宋体"/>
                <w:b w:val="0"/>
              </w:rPr>
              <w:t>-1.23%</w:t>
            </w:r>
          </w:p>
        </w:tc>
        <w:tc>
          <w:tcPr>
            <w:tcW w:w="0" w:type="dxa"/>
            <w:vAlign w:val="center"/>
          </w:tcPr>
          <w:p>
            <w:pPr>
              <w:spacing w:line="240" w:lineRule="auto"/>
              <w:jc w:val="right"/>
            </w:pPr>
            <w:r>
              <w:rPr>
                <w:rFonts w:ascii="宋体" w:eastAsia="宋体" w:hAnsi="宋体" w:cs="宋体"/>
                <w:b w:val="0"/>
              </w:rPr>
              <w:t>0.94%</w:t>
            </w:r>
          </w:p>
        </w:tc>
        <w:tc>
          <w:tcPr>
            <w:tcW w:w="0" w:type="dxa"/>
            <w:vAlign w:val="center"/>
          </w:tcPr>
          <w:p>
            <w:pPr>
              <w:spacing w:line="240" w:lineRule="auto"/>
              <w:jc w:val="right"/>
            </w:pPr>
            <w:r>
              <w:rPr>
                <w:rFonts w:ascii="宋体" w:eastAsia="宋体" w:hAnsi="宋体" w:cs="宋体"/>
                <w:b w:val="0"/>
              </w:rPr>
              <w:t>-24.06%</w:t>
            </w:r>
          </w:p>
        </w:tc>
        <w:tc>
          <w:tcPr>
            <w:tcW w:w="0" w:type="dxa"/>
            <w:vAlign w:val="center"/>
          </w:tcPr>
          <w:p>
            <w:pPr>
              <w:spacing w:line="240" w:lineRule="auto"/>
              <w:jc w:val="right"/>
            </w:pPr>
            <w:r>
              <w:rPr>
                <w:rFonts w:ascii="宋体" w:eastAsia="宋体" w:hAnsi="宋体" w:cs="宋体"/>
                <w:b w:val="0"/>
              </w:rPr>
              <w:t>1.87%</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1.28%</w:t>
            </w:r>
          </w:p>
        </w:tc>
        <w:tc>
          <w:tcPr>
            <w:tcW w:w="0" w:type="dxa"/>
            <w:vAlign w:val="center"/>
          </w:tcPr>
          <w:p>
            <w:pPr>
              <w:spacing w:line="240" w:lineRule="auto"/>
              <w:jc w:val="right"/>
            </w:pPr>
            <w:r>
              <w:rPr>
                <w:rFonts w:ascii="宋体" w:eastAsia="宋体" w:hAnsi="宋体" w:cs="宋体"/>
                <w:b w:val="0"/>
              </w:rPr>
              <w:t>2.83%</w:t>
            </w:r>
          </w:p>
        </w:tc>
        <w:tc>
          <w:tcPr>
            <w:tcW w:w="0" w:type="dxa"/>
            <w:vAlign w:val="center"/>
          </w:tcPr>
          <w:p>
            <w:pPr>
              <w:spacing w:line="240" w:lineRule="auto"/>
              <w:jc w:val="right"/>
            </w:pPr>
            <w:r>
              <w:rPr>
                <w:rFonts w:ascii="宋体" w:eastAsia="宋体" w:hAnsi="宋体" w:cs="宋体"/>
                <w:b w:val="0"/>
              </w:rPr>
              <w:t>-2.03%</w:t>
            </w:r>
          </w:p>
        </w:tc>
        <w:tc>
          <w:tcPr>
            <w:tcW w:w="0" w:type="dxa"/>
            <w:vAlign w:val="center"/>
          </w:tcPr>
          <w:p>
            <w:pPr>
              <w:spacing w:line="240" w:lineRule="auto"/>
              <w:jc w:val="right"/>
            </w:pPr>
            <w:r>
              <w:rPr>
                <w:rFonts w:ascii="宋体" w:eastAsia="宋体" w:hAnsi="宋体" w:cs="宋体"/>
                <w:b w:val="0"/>
              </w:rPr>
              <w:t>0.87%</w:t>
            </w:r>
          </w:p>
        </w:tc>
        <w:tc>
          <w:tcPr>
            <w:tcW w:w="0" w:type="dxa"/>
            <w:vAlign w:val="center"/>
          </w:tcPr>
          <w:p>
            <w:pPr>
              <w:spacing w:line="240" w:lineRule="auto"/>
              <w:jc w:val="right"/>
            </w:pPr>
            <w:r>
              <w:rPr>
                <w:rFonts w:ascii="宋体" w:eastAsia="宋体" w:hAnsi="宋体" w:cs="宋体"/>
                <w:b w:val="0"/>
              </w:rPr>
              <w:t>3.31%</w:t>
            </w:r>
          </w:p>
        </w:tc>
        <w:tc>
          <w:tcPr>
            <w:tcW w:w="0" w:type="dxa"/>
            <w:vAlign w:val="center"/>
          </w:tcPr>
          <w:p>
            <w:pPr>
              <w:spacing w:line="240" w:lineRule="auto"/>
              <w:jc w:val="right"/>
            </w:pPr>
            <w:r>
              <w:rPr>
                <w:rFonts w:ascii="宋体" w:eastAsia="宋体" w:hAnsi="宋体" w:cs="宋体"/>
                <w:b w:val="0"/>
              </w:rPr>
              <w:t>1.96%</w:t>
            </w:r>
          </w:p>
        </w:tc>
      </w:tr>
    </w:tbl>
    <w:p>
      <w:pPr>
        <w:jc w:val="left"/>
      </w:pPr>
      <w:r>
        <w:rPr>
          <w:rFonts w:ascii="宋体" w:eastAsia="宋体" w:hAnsi="宋体" w:cs="宋体"/>
          <w:b/>
        </w:rPr>
        <w:t>东方阿尔法瑞享混合发起C净值表现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-27.52%</w:t>
            </w:r>
          </w:p>
        </w:tc>
        <w:tc>
          <w:tcPr>
            <w:tcW w:w="0" w:type="dxa"/>
            <w:vAlign w:val="center"/>
          </w:tcPr>
          <w:p>
            <w:pPr>
              <w:spacing w:line="240" w:lineRule="auto"/>
              <w:jc w:val="right"/>
            </w:pPr>
            <w:r>
              <w:rPr>
                <w:rFonts w:ascii="宋体" w:eastAsia="宋体" w:hAnsi="宋体" w:cs="宋体"/>
                <w:b w:val="0"/>
              </w:rPr>
              <w:t>2.57%</w:t>
            </w:r>
          </w:p>
        </w:tc>
        <w:tc>
          <w:tcPr>
            <w:tcW w:w="0" w:type="dxa"/>
            <w:vAlign w:val="center"/>
          </w:tcPr>
          <w:p>
            <w:pPr>
              <w:spacing w:line="240" w:lineRule="auto"/>
              <w:jc w:val="right"/>
            </w:pPr>
            <w:r>
              <w:rPr>
                <w:rFonts w:ascii="宋体" w:eastAsia="宋体" w:hAnsi="宋体" w:cs="宋体"/>
                <w:b w:val="0"/>
              </w:rPr>
              <w:t>-7.12%</w:t>
            </w:r>
          </w:p>
        </w:tc>
        <w:tc>
          <w:tcPr>
            <w:tcW w:w="0" w:type="dxa"/>
            <w:vAlign w:val="center"/>
          </w:tcPr>
          <w:p>
            <w:pPr>
              <w:spacing w:line="240" w:lineRule="auto"/>
              <w:jc w:val="right"/>
            </w:pPr>
            <w:r>
              <w:rPr>
                <w:rFonts w:ascii="宋体" w:eastAsia="宋体" w:hAnsi="宋体" w:cs="宋体"/>
                <w:b w:val="0"/>
              </w:rPr>
              <w:t>0.92%</w:t>
            </w:r>
          </w:p>
        </w:tc>
        <w:tc>
          <w:tcPr>
            <w:tcW w:w="0" w:type="dxa"/>
            <w:vAlign w:val="center"/>
          </w:tcPr>
          <w:p>
            <w:pPr>
              <w:spacing w:line="240" w:lineRule="auto"/>
              <w:jc w:val="right"/>
            </w:pPr>
            <w:r>
              <w:rPr>
                <w:rFonts w:ascii="宋体" w:eastAsia="宋体" w:hAnsi="宋体" w:cs="宋体"/>
                <w:b w:val="0"/>
              </w:rPr>
              <w:t>-20.40%</w:t>
            </w:r>
          </w:p>
        </w:tc>
        <w:tc>
          <w:tcPr>
            <w:tcW w:w="0" w:type="dxa"/>
            <w:vAlign w:val="center"/>
          </w:tcPr>
          <w:p>
            <w:pPr>
              <w:spacing w:line="240" w:lineRule="auto"/>
              <w:jc w:val="right"/>
            </w:pPr>
            <w:r>
              <w:rPr>
                <w:rFonts w:ascii="宋体" w:eastAsia="宋体" w:hAnsi="宋体" w:cs="宋体"/>
                <w:b w:val="0"/>
              </w:rPr>
              <w:t>1.65%</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-25.41%</w:t>
            </w:r>
          </w:p>
        </w:tc>
        <w:tc>
          <w:tcPr>
            <w:tcW w:w="0" w:type="dxa"/>
            <w:vAlign w:val="center"/>
          </w:tcPr>
          <w:p>
            <w:pPr>
              <w:spacing w:line="240" w:lineRule="auto"/>
              <w:jc w:val="right"/>
            </w:pPr>
            <w:r>
              <w:rPr>
                <w:rFonts w:ascii="宋体" w:eastAsia="宋体" w:hAnsi="宋体" w:cs="宋体"/>
                <w:b w:val="0"/>
              </w:rPr>
              <w:t>2.81%</w:t>
            </w:r>
          </w:p>
        </w:tc>
        <w:tc>
          <w:tcPr>
            <w:tcW w:w="0" w:type="dxa"/>
            <w:vAlign w:val="center"/>
          </w:tcPr>
          <w:p>
            <w:pPr>
              <w:spacing w:line="240" w:lineRule="auto"/>
              <w:jc w:val="right"/>
            </w:pPr>
            <w:r>
              <w:rPr>
                <w:rFonts w:ascii="宋体" w:eastAsia="宋体" w:hAnsi="宋体" w:cs="宋体"/>
                <w:b w:val="0"/>
              </w:rPr>
              <w:t>-1.23%</w:t>
            </w:r>
          </w:p>
        </w:tc>
        <w:tc>
          <w:tcPr>
            <w:tcW w:w="0" w:type="dxa"/>
            <w:vAlign w:val="center"/>
          </w:tcPr>
          <w:p>
            <w:pPr>
              <w:spacing w:line="240" w:lineRule="auto"/>
              <w:jc w:val="right"/>
            </w:pPr>
            <w:r>
              <w:rPr>
                <w:rFonts w:ascii="宋体" w:eastAsia="宋体" w:hAnsi="宋体" w:cs="宋体"/>
                <w:b w:val="0"/>
              </w:rPr>
              <w:t>0.94%</w:t>
            </w:r>
          </w:p>
        </w:tc>
        <w:tc>
          <w:tcPr>
            <w:tcW w:w="0" w:type="dxa"/>
            <w:vAlign w:val="center"/>
          </w:tcPr>
          <w:p>
            <w:pPr>
              <w:spacing w:line="240" w:lineRule="auto"/>
              <w:jc w:val="right"/>
            </w:pPr>
            <w:r>
              <w:rPr>
                <w:rFonts w:ascii="宋体" w:eastAsia="宋体" w:hAnsi="宋体" w:cs="宋体"/>
                <w:b w:val="0"/>
              </w:rPr>
              <w:t>-24.18%</w:t>
            </w:r>
          </w:p>
        </w:tc>
        <w:tc>
          <w:tcPr>
            <w:tcW w:w="0" w:type="dxa"/>
            <w:vAlign w:val="center"/>
          </w:tcPr>
          <w:p>
            <w:pPr>
              <w:spacing w:line="240" w:lineRule="auto"/>
              <w:jc w:val="right"/>
            </w:pPr>
            <w:r>
              <w:rPr>
                <w:rFonts w:ascii="宋体" w:eastAsia="宋体" w:hAnsi="宋体" w:cs="宋体"/>
                <w:b w:val="0"/>
              </w:rPr>
              <w:t>1.87%</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1.02%</w:t>
            </w:r>
          </w:p>
        </w:tc>
        <w:tc>
          <w:tcPr>
            <w:tcW w:w="0" w:type="dxa"/>
            <w:vAlign w:val="center"/>
          </w:tcPr>
          <w:p>
            <w:pPr>
              <w:spacing w:line="240" w:lineRule="auto"/>
              <w:jc w:val="right"/>
            </w:pPr>
            <w:r>
              <w:rPr>
                <w:rFonts w:ascii="宋体" w:eastAsia="宋体" w:hAnsi="宋体" w:cs="宋体"/>
                <w:b w:val="0"/>
              </w:rPr>
              <w:t>2.83%</w:t>
            </w:r>
          </w:p>
        </w:tc>
        <w:tc>
          <w:tcPr>
            <w:tcW w:w="0" w:type="dxa"/>
            <w:vAlign w:val="center"/>
          </w:tcPr>
          <w:p>
            <w:pPr>
              <w:spacing w:line="240" w:lineRule="auto"/>
              <w:jc w:val="right"/>
            </w:pPr>
            <w:r>
              <w:rPr>
                <w:rFonts w:ascii="宋体" w:eastAsia="宋体" w:hAnsi="宋体" w:cs="宋体"/>
                <w:b w:val="0"/>
              </w:rPr>
              <w:t>-2.03%</w:t>
            </w:r>
          </w:p>
        </w:tc>
        <w:tc>
          <w:tcPr>
            <w:tcW w:w="0" w:type="dxa"/>
            <w:vAlign w:val="center"/>
          </w:tcPr>
          <w:p>
            <w:pPr>
              <w:spacing w:line="240" w:lineRule="auto"/>
              <w:jc w:val="right"/>
            </w:pPr>
            <w:r>
              <w:rPr>
                <w:rFonts w:ascii="宋体" w:eastAsia="宋体" w:hAnsi="宋体" w:cs="宋体"/>
                <w:b w:val="0"/>
              </w:rPr>
              <w:t>0.87%</w:t>
            </w:r>
          </w:p>
        </w:tc>
        <w:tc>
          <w:tcPr>
            <w:tcW w:w="0" w:type="dxa"/>
            <w:vAlign w:val="center"/>
          </w:tcPr>
          <w:p>
            <w:pPr>
              <w:spacing w:line="240" w:lineRule="auto"/>
              <w:jc w:val="right"/>
            </w:pPr>
            <w:r>
              <w:rPr>
                <w:rFonts w:ascii="宋体" w:eastAsia="宋体" w:hAnsi="宋体" w:cs="宋体"/>
                <w:b w:val="0"/>
              </w:rPr>
              <w:t>3.05%</w:t>
            </w:r>
          </w:p>
        </w:tc>
        <w:tc>
          <w:tcPr>
            <w:tcW w:w="0" w:type="dxa"/>
            <w:vAlign w:val="center"/>
          </w:tcPr>
          <w:p>
            <w:pPr>
              <w:spacing w:line="240" w:lineRule="auto"/>
              <w:jc w:val="right"/>
            </w:pPr>
            <w:r>
              <w:rPr>
                <w:rFonts w:ascii="宋体" w:eastAsia="宋体" w:hAnsi="宋体" w:cs="宋体"/>
                <w:b w:val="0"/>
              </w:rPr>
              <w:t>1.96%</w:t>
            </w:r>
          </w:p>
        </w:tc>
      </w:tr>
    </w:tbl>
    <w:p>
      <w:r>
        <w:rPr>
          <w:rFonts w:ascii="宋体" w:eastAsia="宋体" w:hAnsi="宋体" w:cs="宋体"/>
          <w:b w:val="0"/>
        </w:rPr>
        <w:t>注：本基金业绩比较基准为：中证800指数收益率×60%+中证综合债券指数收益率×20%+恒生指数收益率（按估值汇率折算）×20%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孙振波</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2025-10-21</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7年</w:t>
            </w:r>
          </w:p>
        </w:tc>
        <w:tc>
          <w:tcPr>
            <w:tcW w:w="0" w:type="dxa"/>
            <w:vAlign w:val="center"/>
          </w:tcPr>
          <w:p>
            <w:pPr>
              <w:spacing w:line="240" w:lineRule="auto"/>
              <w:jc w:val="left"/>
            </w:pPr>
            <w:r>
              <w:rPr>
                <w:rFonts w:ascii="宋体" w:eastAsia="宋体" w:hAnsi="宋体" w:cs="宋体"/>
                <w:b w:val="0"/>
              </w:rPr>
              <w:t>孙振波先生，中国科学技术大学理学学士，复旦大学理学硕士。于2019年6月入职东方阿尔法基金管理有限公司，历任研究员、基金经理助理。现任东方阿尔法基金管理有限公司基金经理。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年三季度，锂电产业链呈现“需求强现实、价格弱预期”的典型背离格局。终端需求并未走弱，全球储能延续高增。三季度中国储能企业披露的储能系统订单约94GWh，其中海外签约67.8GWh、占比达93%，欧洲与中东分别约31.2GWh和21.3GWh，海外大客户开始以多年框架协议提前锁定供应链。但碳酸锂价格却在三季度大幅下移，期货主力合约由6月末的163,360元/吨（LC2609）跌至9月末的118,420元/吨（LC2701），累计下跌27.53%。</w:t>
        <w:br/>
      </w:r>
      <w:r>
        <w:rPr>
          <w:rFonts w:ascii="宋体" w:eastAsia="宋体" w:hAnsi="宋体" w:cs="宋体"/>
          <w:b w:val="0"/>
        </w:rPr>
        <w:t xml:space="preserve">    价格走势可分三段。7月，枧下窝矿复产推进快于预期、澳矿发运创历史新高、锂电池消费税落地三重利空叠加，主力合约自16.5万元/吨附近下行至13.78万元/吨，月跌幅16.3%。8月，年内最大规模夏季检修叠加下游“金九银十”备货，价格自13.87万元/吨反弹至16.10万元/吨，月涨幅16.08%；8月26日宜春撤销枧下窝矿环评受理公示，复产时点延后，远期供给担忧一度缓解。9月则冲高回落：三方机构调整库存统计口径，隐性库存担忧升温，叠加下游排产下修与动力、储能电池新建项目审批收紧的传闻，盘面加速下行，月末收于11.8万元/吨附近。</w:t>
        <w:br/>
      </w:r>
      <w:r>
        <w:rPr>
          <w:rFonts w:ascii="宋体" w:eastAsia="宋体" w:hAnsi="宋体" w:cs="宋体"/>
          <w:b w:val="0"/>
        </w:rPr>
        <w:t xml:space="preserve">    需要坦率说明的是，二季报中管理人对“碳酸锂价格中枢维17万—22万元/吨”的判断偏于乐观，实际运行明显低于该区间。复盘偏差来源，主要是三个超预期变量：一是供给释放节奏快于预期，澳矿发运创新高、进口锂精矿集中到港，抵消了江西云母换证停产的影响；二是9月1日起锂电池消费税按2%起征，压制了中远期需求预期；三是库存口径调整使隐性库存显性化，市场对“持续去库”的定价基础被动摇。</w:t>
        <w:br/>
      </w:r>
      <w:r>
        <w:rPr>
          <w:rFonts w:ascii="宋体" w:eastAsia="宋体" w:hAnsi="宋体" w:cs="宋体"/>
          <w:b w:val="0"/>
        </w:rPr>
        <w:t xml:space="preserve">    但供给端的实质性收缩并未逆转。江西锂云母主产区仍处于停产换证阶段，枧下窝矿截至9月初尚未复产，其他云母矿陆续进入换证停产，矿山审核趋严下26—27年供给均受影响；9月九岭丰城基地焙烧窑停产检修、川能动力李家沟锂辉石矿全厂检修，合计影响数千吨产量；海外方面，巴西Sigma锂矿因环保问题被法院强制执行、永久暂停采矿活动，津巴布韦将于2027年1月起全面禁止锂精矿出口。库存层面，SMM大样本库存自7月起连续14周去化至10.78万吨、8月末进一步降至7.88万吨；即便按调整后口径，全行业库存约15万吨，9—11月仍有望维持每月约2万吨的去库节奏，年内或降至8万吨、不足全行业半月用量。低库存意味着价格向上的弹性并未消失，只是被悲观预期暂时压制。</w:t>
        <w:br/>
      </w:r>
      <w:r>
        <w:rPr>
          <w:rFonts w:ascii="宋体" w:eastAsia="宋体" w:hAnsi="宋体" w:cs="宋体"/>
          <w:b w:val="0"/>
        </w:rPr>
        <w:t xml:space="preserve">    基于“供给刚性收缩、需求增速仍高于供给、库存处历史低位”的判断，本基金在三季度维持锂矿产业链核心重仓，持仓结构总体稳定，未作方向性调整，延续“低成本资源龙头为底仓、垂直一体化锂盐加工为重点、优质勘探开发为中长期布局”的三层框架。</w:t>
        <w:br/>
      </w:r>
      <w:r>
        <w:rPr>
          <w:rFonts w:ascii="宋体" w:eastAsia="宋体" w:hAnsi="宋体" w:cs="宋体"/>
          <w:b w:val="0"/>
        </w:rPr>
        <w:t xml:space="preserve">    一是继续坚守全球低成本锂资源龙头作为压舱石。在价格下行阶段，成本曲线位置决定了企业的生存质量与反攻弹性。我们优先选择资源自给率高、现金成本处于全球曲线左端、无大额有息负债、产能扩张路径清晰的标的，避免单纯以价格弹性作为选股依据。</w:t>
        <w:br/>
      </w:r>
      <w:r>
        <w:rPr>
          <w:rFonts w:ascii="宋体" w:eastAsia="宋体" w:hAnsi="宋体" w:cs="宋体"/>
          <w:b w:val="0"/>
        </w:rPr>
        <w:t xml:space="preserve">    二是维持垂直一体化锂盐加工的配置。具备“矿山—锂盐”全链条能力的企业可平滑原料波动、稳定获取加工溢价，长协锁料能力亦强化了与下游电池厂的黏性；在行业集中度提升过程中，这类企业的份额与议价能力同步改善。</w:t>
        <w:br/>
      </w:r>
      <w:r>
        <w:rPr>
          <w:rFonts w:ascii="宋体" w:eastAsia="宋体" w:hAnsi="宋体" w:cs="宋体"/>
          <w:b w:val="0"/>
        </w:rPr>
        <w:t xml:space="preserve">    三是保留优质锂资源勘探开发的长期仓位。全球电气化仍将抬升锂需求中枢，成熟矿山增量有限，位于矿业友好地区、资源禀赋已验证、开发路径清晰的平台具备资源接续与资产重估的期权价值。</w:t>
        <w:br/>
      </w:r>
      <w:r>
        <w:rPr>
          <w:rFonts w:ascii="宋体" w:eastAsia="宋体" w:hAnsi="宋体" w:cs="宋体"/>
          <w:b w:val="0"/>
        </w:rPr>
        <w:t xml:space="preserve">    在保持锂矿作为核心持仓的同时，也适度进行了组合的分散，寻找其他行业的投资机会。除锂矿外，管理人在跨行业比较中还重点跟踪两个方向，它们的产业逻辑与锂矿均处于供给格局重塑之后、由订单而非预期驱动的阶段，作为下一阶段的重点研究储备：一是商业航天；二是CXO，定价将从“预期博弈”转向“成本与订单”，持续跟踪，择机纳入组合。</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瑞享混合发起A基金份额净值为1.0128元，本报告期内，该类基金份额净值增长率为-27.47%，同期业绩比较基准收益率为-7.12%；截至报告期末东方阿尔法瑞享混合发起C基金份额净值为1.0102元，本报告期内，该类基金份额净值增长率为-27.52%，同期业绩比较基准收益率为-7.12%。</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本基金为发起式基金，且截至本报告期末，本基金基金合同生效未满3年，暂不适用《公开募集证券投资基金运作管理办法》第四十一条第一款的规定。</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429,958,857.36</w:t>
            </w:r>
          </w:p>
        </w:tc>
        <w:tc>
          <w:tcPr>
            <w:tcW w:w="0" w:type="dxa"/>
            <w:vAlign w:val="center"/>
          </w:tcPr>
          <w:p>
            <w:pPr>
              <w:spacing w:line="240" w:lineRule="auto"/>
              <w:jc w:val="right"/>
            </w:pPr>
            <w:r>
              <w:rPr>
                <w:rFonts w:ascii="宋体" w:eastAsia="宋体" w:hAnsi="宋体" w:cs="宋体"/>
                <w:b w:val="0"/>
              </w:rPr>
              <w:t>90.85</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429,958,857.36</w:t>
            </w:r>
          </w:p>
        </w:tc>
        <w:tc>
          <w:tcPr>
            <w:tcW w:w="0" w:type="dxa"/>
            <w:vAlign w:val="center"/>
          </w:tcPr>
          <w:p>
            <w:pPr>
              <w:spacing w:line="240" w:lineRule="auto"/>
              <w:jc w:val="right"/>
            </w:pPr>
            <w:r>
              <w:rPr>
                <w:rFonts w:ascii="宋体" w:eastAsia="宋体" w:hAnsi="宋体" w:cs="宋体"/>
                <w:b w:val="0"/>
              </w:rPr>
              <w:t>90.85</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27,814,055.70</w:t>
            </w:r>
          </w:p>
        </w:tc>
        <w:tc>
          <w:tcPr>
            <w:tcW w:w="0" w:type="dxa"/>
            <w:vAlign w:val="center"/>
          </w:tcPr>
          <w:p>
            <w:pPr>
              <w:spacing w:line="240" w:lineRule="auto"/>
              <w:jc w:val="right"/>
            </w:pPr>
            <w:r>
              <w:rPr>
                <w:rFonts w:ascii="宋体" w:eastAsia="宋体" w:hAnsi="宋体" w:cs="宋体"/>
                <w:b w:val="0"/>
              </w:rPr>
              <w:t>5.88</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27,814,055.70</w:t>
            </w:r>
          </w:p>
        </w:tc>
        <w:tc>
          <w:tcPr>
            <w:tcW w:w="0" w:type="dxa"/>
            <w:vAlign w:val="center"/>
          </w:tcPr>
          <w:p>
            <w:pPr>
              <w:spacing w:line="240" w:lineRule="auto"/>
              <w:jc w:val="right"/>
            </w:pPr>
            <w:r>
              <w:rPr>
                <w:rFonts w:ascii="宋体" w:eastAsia="宋体" w:hAnsi="宋体" w:cs="宋体"/>
                <w:b w:val="0"/>
              </w:rPr>
              <w:t>5.88</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10,819,297.79</w:t>
            </w:r>
          </w:p>
        </w:tc>
        <w:tc>
          <w:tcPr>
            <w:tcW w:w="0" w:type="dxa"/>
            <w:vAlign w:val="center"/>
          </w:tcPr>
          <w:p>
            <w:pPr>
              <w:spacing w:line="240" w:lineRule="auto"/>
              <w:jc w:val="right"/>
            </w:pPr>
            <w:r>
              <w:rPr>
                <w:rFonts w:ascii="宋体" w:eastAsia="宋体" w:hAnsi="宋体" w:cs="宋体"/>
                <w:b w:val="0"/>
              </w:rPr>
              <w:t>2.29</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4,660,879.88</w:t>
            </w:r>
          </w:p>
        </w:tc>
        <w:tc>
          <w:tcPr>
            <w:tcW w:w="0" w:type="dxa"/>
            <w:vAlign w:val="center"/>
          </w:tcPr>
          <w:p>
            <w:pPr>
              <w:spacing w:line="240" w:lineRule="auto"/>
              <w:jc w:val="right"/>
            </w:pPr>
            <w:r>
              <w:rPr>
                <w:rFonts w:ascii="宋体" w:eastAsia="宋体" w:hAnsi="宋体" w:cs="宋体"/>
                <w:b w:val="0"/>
              </w:rPr>
              <w:t>0.98</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473,253,090.73</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注：报告期末本基金通过港股通交易机制投资的港股公允价值合计42,470,239.37元，占基金资产净值的比例为9.07%。</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155,724,371.24</w:t>
            </w:r>
          </w:p>
        </w:tc>
        <w:tc>
          <w:tcPr>
            <w:tcW w:w="0" w:type="dxa"/>
            <w:vAlign w:val="center"/>
          </w:tcPr>
          <w:p>
            <w:pPr>
              <w:spacing w:line="240" w:lineRule="auto"/>
              <w:jc w:val="right"/>
            </w:pPr>
            <w:r>
              <w:rPr>
                <w:rFonts w:ascii="宋体" w:eastAsia="宋体" w:hAnsi="宋体" w:cs="宋体"/>
                <w:b w:val="0"/>
              </w:rPr>
              <w:t>33.27</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155,652,080.69</w:t>
            </w:r>
          </w:p>
        </w:tc>
        <w:tc>
          <w:tcPr>
            <w:tcW w:w="0" w:type="dxa"/>
            <w:vAlign w:val="center"/>
          </w:tcPr>
          <w:p>
            <w:pPr>
              <w:spacing w:line="240" w:lineRule="auto"/>
              <w:jc w:val="right"/>
            </w:pPr>
            <w:r>
              <w:rPr>
                <w:rFonts w:ascii="宋体" w:eastAsia="宋体" w:hAnsi="宋体" w:cs="宋体"/>
                <w:b w:val="0"/>
              </w:rPr>
              <w:t>33.26</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444,668.06</w:t>
            </w:r>
          </w:p>
        </w:tc>
        <w:tc>
          <w:tcPr>
            <w:tcW w:w="0" w:type="dxa"/>
            <w:vAlign w:val="center"/>
          </w:tcPr>
          <w:p>
            <w:pPr>
              <w:spacing w:line="240" w:lineRule="auto"/>
              <w:jc w:val="right"/>
            </w:pPr>
            <w:r>
              <w:rPr>
                <w:rFonts w:ascii="宋体" w:eastAsia="宋体" w:hAnsi="宋体" w:cs="宋体"/>
                <w:b w:val="0"/>
              </w:rPr>
              <w:t>0.10</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30,409,594.00</w:t>
            </w:r>
          </w:p>
        </w:tc>
        <w:tc>
          <w:tcPr>
            <w:tcW w:w="0" w:type="dxa"/>
            <w:vAlign w:val="center"/>
          </w:tcPr>
          <w:p>
            <w:pPr>
              <w:spacing w:line="240" w:lineRule="auto"/>
              <w:jc w:val="right"/>
            </w:pPr>
            <w:r>
              <w:rPr>
                <w:rFonts w:ascii="宋体" w:eastAsia="宋体" w:hAnsi="宋体" w:cs="宋体"/>
                <w:b w:val="0"/>
              </w:rPr>
              <w:t>6.50</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45,257,904.00</w:t>
            </w:r>
          </w:p>
        </w:tc>
        <w:tc>
          <w:tcPr>
            <w:tcW w:w="0" w:type="dxa"/>
            <w:vAlign w:val="center"/>
          </w:tcPr>
          <w:p>
            <w:pPr>
              <w:spacing w:line="240" w:lineRule="auto"/>
              <w:jc w:val="right"/>
            </w:pPr>
            <w:r>
              <w:rPr>
                <w:rFonts w:ascii="宋体" w:eastAsia="宋体" w:hAnsi="宋体" w:cs="宋体"/>
                <w:b w:val="0"/>
              </w:rPr>
              <w:t>9.67</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387,488,617.99</w:t>
            </w:r>
          </w:p>
        </w:tc>
        <w:tc>
          <w:tcPr>
            <w:tcW w:w="0" w:type="dxa"/>
            <w:vAlign w:val="center"/>
          </w:tcPr>
          <w:p>
            <w:pPr>
              <w:spacing w:line="240" w:lineRule="auto"/>
              <w:jc w:val="right"/>
            </w:pPr>
            <w:r>
              <w:rPr>
                <w:rFonts w:ascii="宋体" w:eastAsia="宋体" w:hAnsi="宋体" w:cs="宋体"/>
                <w:b w:val="0"/>
              </w:rPr>
              <w:t>82.79</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原材料</w:t>
            </w:r>
          </w:p>
        </w:tc>
        <w:tc>
          <w:tcPr>
            <w:tcW w:w="0" w:type="dxa"/>
            <w:vAlign w:val="center"/>
          </w:tcPr>
          <w:p>
            <w:pPr>
              <w:spacing w:line="240" w:lineRule="auto"/>
              <w:jc w:val="right"/>
            </w:pPr>
            <w:r>
              <w:rPr>
                <w:rFonts w:ascii="宋体" w:eastAsia="宋体" w:hAnsi="宋体" w:cs="宋体"/>
                <w:b w:val="0"/>
              </w:rPr>
              <w:t>7,883,338.70</w:t>
            </w:r>
          </w:p>
        </w:tc>
        <w:tc>
          <w:tcPr>
            <w:tcW w:w="0" w:type="dxa"/>
            <w:vAlign w:val="center"/>
          </w:tcPr>
          <w:p>
            <w:pPr>
              <w:spacing w:line="240" w:lineRule="auto"/>
              <w:jc w:val="right"/>
            </w:pPr>
            <w:r>
              <w:rPr>
                <w:rFonts w:ascii="宋体" w:eastAsia="宋体" w:hAnsi="宋体" w:cs="宋体"/>
                <w:b w:val="0"/>
              </w:rPr>
              <w:t>1.68</w:t>
            </w:r>
          </w:p>
        </w:tc>
      </w:tr>
      <w:tr>
        <w:tblPrEx>
          <w:tblW w:w="5000" w:type="pct"/>
        </w:tblPrEx>
        <w:tc>
          <w:tcPr>
            <w:tcW w:w="0" w:type="dxa"/>
            <w:vAlign w:val="center"/>
          </w:tcPr>
          <w:p>
            <w:pPr>
              <w:spacing w:line="240" w:lineRule="auto"/>
              <w:jc w:val="left"/>
            </w:pPr>
            <w:r>
              <w:rPr>
                <w:rFonts w:ascii="宋体" w:eastAsia="宋体" w:hAnsi="宋体" w:cs="宋体"/>
                <w:b w:val="0"/>
              </w:rPr>
              <w:t>医疗保健</w:t>
            </w:r>
          </w:p>
        </w:tc>
        <w:tc>
          <w:tcPr>
            <w:tcW w:w="0" w:type="dxa"/>
            <w:vAlign w:val="center"/>
          </w:tcPr>
          <w:p>
            <w:pPr>
              <w:spacing w:line="240" w:lineRule="auto"/>
              <w:jc w:val="right"/>
            </w:pPr>
            <w:r>
              <w:rPr>
                <w:rFonts w:ascii="宋体" w:eastAsia="宋体" w:hAnsi="宋体" w:cs="宋体"/>
                <w:b w:val="0"/>
              </w:rPr>
              <w:t>34,586,900.67</w:t>
            </w:r>
          </w:p>
        </w:tc>
        <w:tc>
          <w:tcPr>
            <w:tcW w:w="0" w:type="dxa"/>
            <w:vAlign w:val="center"/>
          </w:tcPr>
          <w:p>
            <w:pPr>
              <w:spacing w:line="240" w:lineRule="auto"/>
              <w:jc w:val="right"/>
            </w:pPr>
            <w:r>
              <w:rPr>
                <w:rFonts w:ascii="宋体" w:eastAsia="宋体" w:hAnsi="宋体" w:cs="宋体"/>
                <w:b w:val="0"/>
              </w:rPr>
              <w:t>7.39</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42,470,239.37</w:t>
            </w:r>
          </w:p>
        </w:tc>
        <w:tc>
          <w:tcPr>
            <w:tcW w:w="0" w:type="dxa"/>
            <w:vAlign w:val="center"/>
          </w:tcPr>
          <w:p>
            <w:pPr>
              <w:spacing w:line="240" w:lineRule="auto"/>
              <w:jc w:val="right"/>
            </w:pPr>
            <w:r>
              <w:rPr>
                <w:rFonts w:ascii="宋体" w:eastAsia="宋体" w:hAnsi="宋体" w:cs="宋体"/>
                <w:b w:val="0"/>
              </w:rPr>
              <w:t>9.07</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600338</w:t>
            </w:r>
          </w:p>
        </w:tc>
        <w:tc>
          <w:tcPr>
            <w:tcW w:w="0" w:type="dxa"/>
            <w:vAlign w:val="center"/>
          </w:tcPr>
          <w:p>
            <w:pPr>
              <w:spacing w:line="240" w:lineRule="auto"/>
              <w:jc w:val="left"/>
            </w:pPr>
            <w:r>
              <w:rPr>
                <w:rFonts w:ascii="宋体" w:eastAsia="宋体" w:hAnsi="宋体" w:cs="宋体"/>
                <w:b w:val="0"/>
              </w:rPr>
              <w:t>西藏珠峰</w:t>
            </w:r>
          </w:p>
        </w:tc>
        <w:tc>
          <w:tcPr>
            <w:tcW w:w="0" w:type="dxa"/>
            <w:vAlign w:val="center"/>
          </w:tcPr>
          <w:p>
            <w:pPr>
              <w:spacing w:line="240" w:lineRule="auto"/>
              <w:jc w:val="right"/>
            </w:pPr>
            <w:r>
              <w:rPr>
                <w:rFonts w:ascii="宋体" w:eastAsia="宋体" w:hAnsi="宋体" w:cs="宋体"/>
                <w:b w:val="0"/>
              </w:rPr>
              <w:t>2,749,600</w:t>
            </w:r>
          </w:p>
        </w:tc>
        <w:tc>
          <w:tcPr>
            <w:tcW w:w="0" w:type="dxa"/>
            <w:vAlign w:val="center"/>
          </w:tcPr>
          <w:p>
            <w:pPr>
              <w:spacing w:line="240" w:lineRule="auto"/>
              <w:jc w:val="right"/>
            </w:pPr>
            <w:r>
              <w:rPr>
                <w:rFonts w:ascii="宋体" w:eastAsia="宋体" w:hAnsi="宋体" w:cs="宋体"/>
                <w:b w:val="0"/>
              </w:rPr>
              <w:t>32,995,200.00</w:t>
            </w:r>
          </w:p>
        </w:tc>
        <w:tc>
          <w:tcPr>
            <w:tcW w:w="0" w:type="dxa"/>
            <w:vAlign w:val="center"/>
          </w:tcPr>
          <w:p>
            <w:pPr>
              <w:spacing w:line="240" w:lineRule="auto"/>
              <w:jc w:val="right"/>
            </w:pPr>
            <w:r>
              <w:rPr>
                <w:rFonts w:ascii="宋体" w:eastAsia="宋体" w:hAnsi="宋体" w:cs="宋体"/>
                <w:b w:val="0"/>
              </w:rPr>
              <w:t>7.05</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000762</w:t>
            </w:r>
          </w:p>
        </w:tc>
        <w:tc>
          <w:tcPr>
            <w:tcW w:w="0" w:type="dxa"/>
            <w:vAlign w:val="center"/>
          </w:tcPr>
          <w:p>
            <w:pPr>
              <w:spacing w:line="240" w:lineRule="auto"/>
              <w:jc w:val="left"/>
            </w:pPr>
            <w:r>
              <w:rPr>
                <w:rFonts w:ascii="宋体" w:eastAsia="宋体" w:hAnsi="宋体" w:cs="宋体"/>
                <w:b w:val="0"/>
              </w:rPr>
              <w:t>西藏矿业</w:t>
            </w:r>
          </w:p>
        </w:tc>
        <w:tc>
          <w:tcPr>
            <w:tcW w:w="0" w:type="dxa"/>
            <w:vAlign w:val="center"/>
          </w:tcPr>
          <w:p>
            <w:pPr>
              <w:spacing w:line="240" w:lineRule="auto"/>
              <w:jc w:val="right"/>
            </w:pPr>
            <w:r>
              <w:rPr>
                <w:rFonts w:ascii="宋体" w:eastAsia="宋体" w:hAnsi="宋体" w:cs="宋体"/>
                <w:b w:val="0"/>
              </w:rPr>
              <w:t>1,489,000</w:t>
            </w:r>
          </w:p>
        </w:tc>
        <w:tc>
          <w:tcPr>
            <w:tcW w:w="0" w:type="dxa"/>
            <w:vAlign w:val="center"/>
          </w:tcPr>
          <w:p>
            <w:pPr>
              <w:spacing w:line="240" w:lineRule="auto"/>
              <w:jc w:val="right"/>
            </w:pPr>
            <w:r>
              <w:rPr>
                <w:rFonts w:ascii="宋体" w:eastAsia="宋体" w:hAnsi="宋体" w:cs="宋体"/>
                <w:b w:val="0"/>
              </w:rPr>
              <w:t>30,881,860.00</w:t>
            </w:r>
          </w:p>
        </w:tc>
        <w:tc>
          <w:tcPr>
            <w:tcW w:w="0" w:type="dxa"/>
            <w:vAlign w:val="center"/>
          </w:tcPr>
          <w:p>
            <w:pPr>
              <w:spacing w:line="240" w:lineRule="auto"/>
              <w:jc w:val="right"/>
            </w:pPr>
            <w:r>
              <w:rPr>
                <w:rFonts w:ascii="宋体" w:eastAsia="宋体" w:hAnsi="宋体" w:cs="宋体"/>
                <w:b w:val="0"/>
              </w:rPr>
              <w:t>6.60</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600773</w:t>
            </w:r>
          </w:p>
        </w:tc>
        <w:tc>
          <w:tcPr>
            <w:tcW w:w="0" w:type="dxa"/>
            <w:vAlign w:val="center"/>
          </w:tcPr>
          <w:p>
            <w:pPr>
              <w:spacing w:line="240" w:lineRule="auto"/>
              <w:jc w:val="left"/>
            </w:pPr>
            <w:r>
              <w:rPr>
                <w:rFonts w:ascii="宋体" w:eastAsia="宋体" w:hAnsi="宋体" w:cs="宋体"/>
                <w:b w:val="0"/>
              </w:rPr>
              <w:t>西藏城投</w:t>
            </w:r>
          </w:p>
        </w:tc>
        <w:tc>
          <w:tcPr>
            <w:tcW w:w="0" w:type="dxa"/>
            <w:vAlign w:val="center"/>
          </w:tcPr>
          <w:p>
            <w:pPr>
              <w:spacing w:line="240" w:lineRule="auto"/>
              <w:jc w:val="right"/>
            </w:pPr>
            <w:r>
              <w:rPr>
                <w:rFonts w:ascii="宋体" w:eastAsia="宋体" w:hAnsi="宋体" w:cs="宋体"/>
                <w:b w:val="0"/>
              </w:rPr>
              <w:t>3,096,700</w:t>
            </w:r>
          </w:p>
        </w:tc>
        <w:tc>
          <w:tcPr>
            <w:tcW w:w="0" w:type="dxa"/>
            <w:vAlign w:val="center"/>
          </w:tcPr>
          <w:p>
            <w:pPr>
              <w:spacing w:line="240" w:lineRule="auto"/>
              <w:jc w:val="right"/>
            </w:pPr>
            <w:r>
              <w:rPr>
                <w:rFonts w:ascii="宋体" w:eastAsia="宋体" w:hAnsi="宋体" w:cs="宋体"/>
                <w:b w:val="0"/>
              </w:rPr>
              <w:t>30,409,594.00</w:t>
            </w:r>
          </w:p>
        </w:tc>
        <w:tc>
          <w:tcPr>
            <w:tcW w:w="0" w:type="dxa"/>
            <w:vAlign w:val="center"/>
          </w:tcPr>
          <w:p>
            <w:pPr>
              <w:spacing w:line="240" w:lineRule="auto"/>
              <w:jc w:val="right"/>
            </w:pPr>
            <w:r>
              <w:rPr>
                <w:rFonts w:ascii="宋体" w:eastAsia="宋体" w:hAnsi="宋体" w:cs="宋体"/>
                <w:b w:val="0"/>
              </w:rPr>
              <w:t>6.50</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300390</w:t>
            </w:r>
          </w:p>
        </w:tc>
        <w:tc>
          <w:tcPr>
            <w:tcW w:w="0" w:type="dxa"/>
            <w:vAlign w:val="center"/>
          </w:tcPr>
          <w:p>
            <w:pPr>
              <w:spacing w:line="240" w:lineRule="auto"/>
              <w:jc w:val="left"/>
            </w:pPr>
            <w:r>
              <w:rPr>
                <w:rFonts w:ascii="宋体" w:eastAsia="宋体" w:hAnsi="宋体" w:cs="宋体"/>
                <w:b w:val="0"/>
              </w:rPr>
              <w:t>天华新能</w:t>
            </w:r>
          </w:p>
        </w:tc>
        <w:tc>
          <w:tcPr>
            <w:tcW w:w="0" w:type="dxa"/>
            <w:vAlign w:val="center"/>
          </w:tcPr>
          <w:p>
            <w:pPr>
              <w:spacing w:line="240" w:lineRule="auto"/>
              <w:jc w:val="right"/>
            </w:pPr>
            <w:r>
              <w:rPr>
                <w:rFonts w:ascii="宋体" w:eastAsia="宋体" w:hAnsi="宋体" w:cs="宋体"/>
                <w:b w:val="0"/>
              </w:rPr>
              <w:t>531,210</w:t>
            </w:r>
          </w:p>
        </w:tc>
        <w:tc>
          <w:tcPr>
            <w:tcW w:w="0" w:type="dxa"/>
            <w:vAlign w:val="center"/>
          </w:tcPr>
          <w:p>
            <w:pPr>
              <w:spacing w:line="240" w:lineRule="auto"/>
              <w:jc w:val="right"/>
            </w:pPr>
            <w:r>
              <w:rPr>
                <w:rFonts w:ascii="宋体" w:eastAsia="宋体" w:hAnsi="宋体" w:cs="宋体"/>
                <w:b w:val="0"/>
              </w:rPr>
              <w:t>26,077,098.90</w:t>
            </w:r>
          </w:p>
        </w:tc>
        <w:tc>
          <w:tcPr>
            <w:tcW w:w="0" w:type="dxa"/>
            <w:vAlign w:val="center"/>
          </w:tcPr>
          <w:p>
            <w:pPr>
              <w:spacing w:line="240" w:lineRule="auto"/>
              <w:jc w:val="right"/>
            </w:pPr>
            <w:r>
              <w:rPr>
                <w:rFonts w:ascii="宋体" w:eastAsia="宋体" w:hAnsi="宋体" w:cs="宋体"/>
                <w:b w:val="0"/>
              </w:rPr>
              <w:t>5.57</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002240</w:t>
            </w:r>
          </w:p>
        </w:tc>
        <w:tc>
          <w:tcPr>
            <w:tcW w:w="0" w:type="dxa"/>
            <w:vAlign w:val="center"/>
          </w:tcPr>
          <w:p>
            <w:pPr>
              <w:spacing w:line="240" w:lineRule="auto"/>
              <w:jc w:val="left"/>
            </w:pPr>
            <w:r>
              <w:rPr>
                <w:rFonts w:ascii="宋体" w:eastAsia="宋体" w:hAnsi="宋体" w:cs="宋体"/>
                <w:b w:val="0"/>
              </w:rPr>
              <w:t>盛新锂能</w:t>
            </w:r>
          </w:p>
        </w:tc>
        <w:tc>
          <w:tcPr>
            <w:tcW w:w="0" w:type="dxa"/>
            <w:vAlign w:val="center"/>
          </w:tcPr>
          <w:p>
            <w:pPr>
              <w:spacing w:line="240" w:lineRule="auto"/>
              <w:jc w:val="right"/>
            </w:pPr>
            <w:r>
              <w:rPr>
                <w:rFonts w:ascii="宋体" w:eastAsia="宋体" w:hAnsi="宋体" w:cs="宋体"/>
                <w:b w:val="0"/>
              </w:rPr>
              <w:t>990,967</w:t>
            </w:r>
          </w:p>
        </w:tc>
        <w:tc>
          <w:tcPr>
            <w:tcW w:w="0" w:type="dxa"/>
            <w:vAlign w:val="center"/>
          </w:tcPr>
          <w:p>
            <w:pPr>
              <w:spacing w:line="240" w:lineRule="auto"/>
              <w:jc w:val="right"/>
            </w:pPr>
            <w:r>
              <w:rPr>
                <w:rFonts w:ascii="宋体" w:eastAsia="宋体" w:hAnsi="宋体" w:cs="宋体"/>
                <w:b w:val="0"/>
              </w:rPr>
              <w:t>24,784,084.67</w:t>
            </w:r>
          </w:p>
        </w:tc>
        <w:tc>
          <w:tcPr>
            <w:tcW w:w="0" w:type="dxa"/>
            <w:vAlign w:val="center"/>
          </w:tcPr>
          <w:p>
            <w:pPr>
              <w:spacing w:line="240" w:lineRule="auto"/>
              <w:jc w:val="right"/>
            </w:pPr>
            <w:r>
              <w:rPr>
                <w:rFonts w:ascii="宋体" w:eastAsia="宋体" w:hAnsi="宋体" w:cs="宋体"/>
                <w:b w:val="0"/>
              </w:rPr>
              <w:t>5.30</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000688</w:t>
            </w:r>
          </w:p>
        </w:tc>
        <w:tc>
          <w:tcPr>
            <w:tcW w:w="0" w:type="dxa"/>
            <w:vAlign w:val="center"/>
          </w:tcPr>
          <w:p>
            <w:pPr>
              <w:spacing w:line="240" w:lineRule="auto"/>
              <w:jc w:val="left"/>
            </w:pPr>
            <w:r>
              <w:rPr>
                <w:rFonts w:ascii="宋体" w:eastAsia="宋体" w:hAnsi="宋体" w:cs="宋体"/>
                <w:b w:val="0"/>
              </w:rPr>
              <w:t>国城矿业</w:t>
            </w:r>
          </w:p>
        </w:tc>
        <w:tc>
          <w:tcPr>
            <w:tcW w:w="0" w:type="dxa"/>
            <w:vAlign w:val="center"/>
          </w:tcPr>
          <w:p>
            <w:pPr>
              <w:spacing w:line="240" w:lineRule="auto"/>
              <w:jc w:val="right"/>
            </w:pPr>
            <w:r>
              <w:rPr>
                <w:rFonts w:ascii="宋体" w:eastAsia="宋体" w:hAnsi="宋体" w:cs="宋体"/>
                <w:b w:val="0"/>
              </w:rPr>
              <w:t>971,122</w:t>
            </w:r>
          </w:p>
        </w:tc>
        <w:tc>
          <w:tcPr>
            <w:tcW w:w="0" w:type="dxa"/>
            <w:vAlign w:val="center"/>
          </w:tcPr>
          <w:p>
            <w:pPr>
              <w:spacing w:line="240" w:lineRule="auto"/>
              <w:jc w:val="right"/>
            </w:pPr>
            <w:r>
              <w:rPr>
                <w:rFonts w:ascii="宋体" w:eastAsia="宋体" w:hAnsi="宋体" w:cs="宋体"/>
                <w:b w:val="0"/>
              </w:rPr>
              <w:t>23,539,997.28</w:t>
            </w:r>
          </w:p>
        </w:tc>
        <w:tc>
          <w:tcPr>
            <w:tcW w:w="0" w:type="dxa"/>
            <w:vAlign w:val="center"/>
          </w:tcPr>
          <w:p>
            <w:pPr>
              <w:spacing w:line="240" w:lineRule="auto"/>
              <w:jc w:val="right"/>
            </w:pPr>
            <w:r>
              <w:rPr>
                <w:rFonts w:ascii="宋体" w:eastAsia="宋体" w:hAnsi="宋体" w:cs="宋体"/>
                <w:b w:val="0"/>
              </w:rPr>
              <w:t>5.03</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001203</w:t>
            </w:r>
          </w:p>
        </w:tc>
        <w:tc>
          <w:tcPr>
            <w:tcW w:w="0" w:type="dxa"/>
            <w:vAlign w:val="center"/>
          </w:tcPr>
          <w:p>
            <w:pPr>
              <w:spacing w:line="240" w:lineRule="auto"/>
              <w:jc w:val="left"/>
            </w:pPr>
            <w:r>
              <w:rPr>
                <w:rFonts w:ascii="宋体" w:eastAsia="宋体" w:hAnsi="宋体" w:cs="宋体"/>
                <w:b w:val="0"/>
              </w:rPr>
              <w:t>大中矿业</w:t>
            </w:r>
          </w:p>
        </w:tc>
        <w:tc>
          <w:tcPr>
            <w:tcW w:w="0" w:type="dxa"/>
            <w:vAlign w:val="center"/>
          </w:tcPr>
          <w:p>
            <w:pPr>
              <w:spacing w:line="240" w:lineRule="auto"/>
              <w:jc w:val="right"/>
            </w:pPr>
            <w:r>
              <w:rPr>
                <w:rFonts w:ascii="宋体" w:eastAsia="宋体" w:hAnsi="宋体" w:cs="宋体"/>
                <w:b w:val="0"/>
              </w:rPr>
              <w:t>1,042,334</w:t>
            </w:r>
          </w:p>
        </w:tc>
        <w:tc>
          <w:tcPr>
            <w:tcW w:w="0" w:type="dxa"/>
            <w:vAlign w:val="center"/>
          </w:tcPr>
          <w:p>
            <w:pPr>
              <w:spacing w:line="240" w:lineRule="auto"/>
              <w:jc w:val="right"/>
            </w:pPr>
            <w:r>
              <w:rPr>
                <w:rFonts w:ascii="宋体" w:eastAsia="宋体" w:hAnsi="宋体" w:cs="宋体"/>
                <w:b w:val="0"/>
              </w:rPr>
              <w:t>23,223,201.52</w:t>
            </w:r>
          </w:p>
        </w:tc>
        <w:tc>
          <w:tcPr>
            <w:tcW w:w="0" w:type="dxa"/>
            <w:vAlign w:val="center"/>
          </w:tcPr>
          <w:p>
            <w:pPr>
              <w:spacing w:line="240" w:lineRule="auto"/>
              <w:jc w:val="right"/>
            </w:pPr>
            <w:r>
              <w:rPr>
                <w:rFonts w:ascii="宋体" w:eastAsia="宋体" w:hAnsi="宋体" w:cs="宋体"/>
                <w:b w:val="0"/>
              </w:rPr>
              <w:t>4.96</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000408</w:t>
            </w:r>
          </w:p>
        </w:tc>
        <w:tc>
          <w:tcPr>
            <w:tcW w:w="0" w:type="dxa"/>
            <w:vAlign w:val="center"/>
          </w:tcPr>
          <w:p>
            <w:pPr>
              <w:spacing w:line="240" w:lineRule="auto"/>
              <w:jc w:val="left"/>
            </w:pPr>
            <w:r>
              <w:rPr>
                <w:rFonts w:ascii="宋体" w:eastAsia="宋体" w:hAnsi="宋体" w:cs="宋体"/>
                <w:b w:val="0"/>
              </w:rPr>
              <w:t>藏格矿业</w:t>
            </w:r>
          </w:p>
        </w:tc>
        <w:tc>
          <w:tcPr>
            <w:tcW w:w="0" w:type="dxa"/>
            <w:vAlign w:val="center"/>
          </w:tcPr>
          <w:p>
            <w:pPr>
              <w:spacing w:line="240" w:lineRule="auto"/>
              <w:jc w:val="right"/>
            </w:pPr>
            <w:r>
              <w:rPr>
                <w:rFonts w:ascii="宋体" w:eastAsia="宋体" w:hAnsi="宋体" w:cs="宋体"/>
                <w:b w:val="0"/>
              </w:rPr>
              <w:t>318,881</w:t>
            </w:r>
          </w:p>
        </w:tc>
        <w:tc>
          <w:tcPr>
            <w:tcW w:w="0" w:type="dxa"/>
            <w:vAlign w:val="center"/>
          </w:tcPr>
          <w:p>
            <w:pPr>
              <w:spacing w:line="240" w:lineRule="auto"/>
              <w:jc w:val="right"/>
            </w:pPr>
            <w:r>
              <w:rPr>
                <w:rFonts w:ascii="宋体" w:eastAsia="宋体" w:hAnsi="宋体" w:cs="宋体"/>
                <w:b w:val="0"/>
              </w:rPr>
              <w:t>22,532,131.46</w:t>
            </w:r>
          </w:p>
        </w:tc>
        <w:tc>
          <w:tcPr>
            <w:tcW w:w="0" w:type="dxa"/>
            <w:vAlign w:val="center"/>
          </w:tcPr>
          <w:p>
            <w:pPr>
              <w:spacing w:line="240" w:lineRule="auto"/>
              <w:jc w:val="right"/>
            </w:pPr>
            <w:r>
              <w:rPr>
                <w:rFonts w:ascii="宋体" w:eastAsia="宋体" w:hAnsi="宋体" w:cs="宋体"/>
                <w:b w:val="0"/>
              </w:rPr>
              <w:t>4.81</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002497</w:t>
            </w:r>
          </w:p>
        </w:tc>
        <w:tc>
          <w:tcPr>
            <w:tcW w:w="0" w:type="dxa"/>
            <w:vAlign w:val="center"/>
          </w:tcPr>
          <w:p>
            <w:pPr>
              <w:spacing w:line="240" w:lineRule="auto"/>
              <w:jc w:val="left"/>
            </w:pPr>
            <w:r>
              <w:rPr>
                <w:rFonts w:ascii="宋体" w:eastAsia="宋体" w:hAnsi="宋体" w:cs="宋体"/>
                <w:b w:val="0"/>
              </w:rPr>
              <w:t>雅化集团</w:t>
            </w:r>
          </w:p>
        </w:tc>
        <w:tc>
          <w:tcPr>
            <w:tcW w:w="0" w:type="dxa"/>
            <w:vAlign w:val="center"/>
          </w:tcPr>
          <w:p>
            <w:pPr>
              <w:spacing w:line="240" w:lineRule="auto"/>
              <w:jc w:val="right"/>
            </w:pPr>
            <w:r>
              <w:rPr>
                <w:rFonts w:ascii="宋体" w:eastAsia="宋体" w:hAnsi="宋体" w:cs="宋体"/>
                <w:b w:val="0"/>
              </w:rPr>
              <w:t>1,366,776</w:t>
            </w:r>
          </w:p>
        </w:tc>
        <w:tc>
          <w:tcPr>
            <w:tcW w:w="0" w:type="dxa"/>
            <w:vAlign w:val="center"/>
          </w:tcPr>
          <w:p>
            <w:pPr>
              <w:spacing w:line="240" w:lineRule="auto"/>
              <w:jc w:val="right"/>
            </w:pPr>
            <w:r>
              <w:rPr>
                <w:rFonts w:ascii="宋体" w:eastAsia="宋体" w:hAnsi="宋体" w:cs="宋体"/>
                <w:b w:val="0"/>
              </w:rPr>
              <w:t>21,458,383.20</w:t>
            </w:r>
          </w:p>
        </w:tc>
        <w:tc>
          <w:tcPr>
            <w:tcW w:w="0" w:type="dxa"/>
            <w:vAlign w:val="center"/>
          </w:tcPr>
          <w:p>
            <w:pPr>
              <w:spacing w:line="240" w:lineRule="auto"/>
              <w:jc w:val="right"/>
            </w:pPr>
            <w:r>
              <w:rPr>
                <w:rFonts w:ascii="宋体" w:eastAsia="宋体" w:hAnsi="宋体" w:cs="宋体"/>
                <w:b w:val="0"/>
              </w:rPr>
              <w:t>4.58</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002192</w:t>
            </w:r>
          </w:p>
        </w:tc>
        <w:tc>
          <w:tcPr>
            <w:tcW w:w="0" w:type="dxa"/>
            <w:vAlign w:val="center"/>
          </w:tcPr>
          <w:p>
            <w:pPr>
              <w:spacing w:line="240" w:lineRule="auto"/>
              <w:jc w:val="left"/>
            </w:pPr>
            <w:r>
              <w:rPr>
                <w:rFonts w:ascii="宋体" w:eastAsia="宋体" w:hAnsi="宋体" w:cs="宋体"/>
                <w:b w:val="0"/>
              </w:rPr>
              <w:t>融捷股份</w:t>
            </w:r>
          </w:p>
        </w:tc>
        <w:tc>
          <w:tcPr>
            <w:tcW w:w="0" w:type="dxa"/>
            <w:vAlign w:val="center"/>
          </w:tcPr>
          <w:p>
            <w:pPr>
              <w:spacing w:line="240" w:lineRule="auto"/>
              <w:jc w:val="right"/>
            </w:pPr>
            <w:r>
              <w:rPr>
                <w:rFonts w:ascii="宋体" w:eastAsia="宋体" w:hAnsi="宋体" w:cs="宋体"/>
                <w:b w:val="0"/>
              </w:rPr>
              <w:t>328,916</w:t>
            </w:r>
          </w:p>
        </w:tc>
        <w:tc>
          <w:tcPr>
            <w:tcW w:w="0" w:type="dxa"/>
            <w:vAlign w:val="center"/>
          </w:tcPr>
          <w:p>
            <w:pPr>
              <w:spacing w:line="240" w:lineRule="auto"/>
              <w:jc w:val="right"/>
            </w:pPr>
            <w:r>
              <w:rPr>
                <w:rFonts w:ascii="宋体" w:eastAsia="宋体" w:hAnsi="宋体" w:cs="宋体"/>
                <w:b w:val="0"/>
              </w:rPr>
              <w:t>18,550,862.40</w:t>
            </w:r>
          </w:p>
        </w:tc>
        <w:tc>
          <w:tcPr>
            <w:tcW w:w="0" w:type="dxa"/>
            <w:vAlign w:val="center"/>
          </w:tcPr>
          <w:p>
            <w:pPr>
              <w:spacing w:line="240" w:lineRule="auto"/>
              <w:jc w:val="right"/>
            </w:pPr>
            <w:r>
              <w:rPr>
                <w:rFonts w:ascii="宋体" w:eastAsia="宋体" w:hAnsi="宋体" w:cs="宋体"/>
                <w:b w:val="0"/>
              </w:rPr>
              <w:t>3.96</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27,814,055.70</w:t>
            </w:r>
          </w:p>
        </w:tc>
        <w:tc>
          <w:tcPr>
            <w:tcW w:w="0" w:type="dxa"/>
            <w:vAlign w:val="center"/>
          </w:tcPr>
          <w:p>
            <w:pPr>
              <w:spacing w:line="240" w:lineRule="auto"/>
              <w:jc w:val="right"/>
            </w:pPr>
            <w:r>
              <w:rPr>
                <w:rFonts w:ascii="宋体" w:eastAsia="宋体" w:hAnsi="宋体" w:cs="宋体"/>
                <w:b w:val="0"/>
              </w:rPr>
              <w:t>5.94</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27,814,055.70</w:t>
            </w:r>
          </w:p>
        </w:tc>
        <w:tc>
          <w:tcPr>
            <w:tcW w:w="0" w:type="dxa"/>
            <w:vAlign w:val="center"/>
          </w:tcPr>
          <w:p>
            <w:pPr>
              <w:spacing w:line="240" w:lineRule="auto"/>
              <w:jc w:val="right"/>
            </w:pPr>
            <w:r>
              <w:rPr>
                <w:rFonts w:ascii="宋体" w:eastAsia="宋体" w:hAnsi="宋体" w:cs="宋体"/>
                <w:b w:val="0"/>
              </w:rPr>
              <w:t>5.94</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019835</w:t>
            </w:r>
          </w:p>
        </w:tc>
        <w:tc>
          <w:tcPr>
            <w:tcW w:w="0" w:type="dxa"/>
            <w:vAlign w:val="center"/>
          </w:tcPr>
          <w:p>
            <w:pPr>
              <w:spacing w:line="240" w:lineRule="auto"/>
              <w:jc w:val="left"/>
            </w:pPr>
            <w:r>
              <w:rPr>
                <w:rFonts w:ascii="宋体" w:eastAsia="宋体" w:hAnsi="宋体" w:cs="宋体"/>
                <w:b w:val="0"/>
              </w:rPr>
              <w:t>26国债09</w:t>
            </w:r>
          </w:p>
        </w:tc>
        <w:tc>
          <w:tcPr>
            <w:tcW w:w="0" w:type="dxa"/>
            <w:vAlign w:val="center"/>
          </w:tcPr>
          <w:p>
            <w:pPr>
              <w:spacing w:line="240" w:lineRule="auto"/>
              <w:jc w:val="right"/>
            </w:pPr>
            <w:r>
              <w:rPr>
                <w:rFonts w:ascii="宋体" w:eastAsia="宋体" w:hAnsi="宋体" w:cs="宋体"/>
                <w:b w:val="0"/>
              </w:rPr>
              <w:t>277,000</w:t>
            </w:r>
          </w:p>
        </w:tc>
        <w:tc>
          <w:tcPr>
            <w:tcW w:w="0" w:type="dxa"/>
            <w:vAlign w:val="center"/>
          </w:tcPr>
          <w:p>
            <w:pPr>
              <w:spacing w:line="240" w:lineRule="auto"/>
              <w:jc w:val="right"/>
            </w:pPr>
            <w:r>
              <w:rPr>
                <w:rFonts w:ascii="宋体" w:eastAsia="宋体" w:hAnsi="宋体" w:cs="宋体"/>
                <w:b w:val="0"/>
              </w:rPr>
              <w:t>27,814,055.70</w:t>
            </w:r>
          </w:p>
        </w:tc>
        <w:tc>
          <w:tcPr>
            <w:tcW w:w="0" w:type="dxa"/>
            <w:vAlign w:val="center"/>
          </w:tcPr>
          <w:p>
            <w:pPr>
              <w:spacing w:line="240" w:lineRule="auto"/>
              <w:jc w:val="right"/>
            </w:pPr>
            <w:r>
              <w:rPr>
                <w:rFonts w:ascii="宋体" w:eastAsia="宋体" w:hAnsi="宋体" w:cs="宋体"/>
                <w:b w:val="0"/>
              </w:rPr>
              <w:t>5.94</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4,660,879.88</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4,660,879.88</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东方阿尔法瑞享混合发起A</w:t>
            </w:r>
          </w:p>
        </w:tc>
        <w:tc>
          <w:tcPr>
            <w:tcW w:w="1300" w:type="pct"/>
            <w:vAlign w:val="center"/>
          </w:tcPr>
          <w:p>
            <w:pPr>
              <w:spacing w:line="240" w:lineRule="auto"/>
              <w:jc w:val="center"/>
            </w:pPr>
            <w:r>
              <w:rPr>
                <w:rFonts w:ascii="宋体" w:eastAsia="宋体" w:hAnsi="宋体" w:cs="宋体"/>
                <w:b w:val="0"/>
              </w:rPr>
              <w:t>东方阿尔法瑞享混合发起C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22,741,024.90</w:t>
            </w:r>
          </w:p>
        </w:tc>
        <w:tc>
          <w:tcPr>
            <w:tcW w:w="1300" w:type="pct"/>
            <w:vAlign w:val="center"/>
          </w:tcPr>
          <w:p>
            <w:pPr>
              <w:spacing w:line="240" w:lineRule="auto"/>
              <w:jc w:val="right"/>
            </w:pPr>
            <w:r>
              <w:rPr>
                <w:rFonts w:ascii="宋体" w:eastAsia="宋体" w:hAnsi="宋体" w:cs="宋体"/>
                <w:b w:val="0"/>
              </w:rPr>
              <w:t>840,510,298.41</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8,212,842.69</w:t>
            </w:r>
          </w:p>
        </w:tc>
        <w:tc>
          <w:tcPr>
            <w:tcW w:w="1300" w:type="pct"/>
            <w:vAlign w:val="center"/>
          </w:tcPr>
          <w:p>
            <w:pPr>
              <w:spacing w:line="240" w:lineRule="auto"/>
              <w:jc w:val="right"/>
            </w:pPr>
            <w:r>
              <w:rPr>
                <w:rFonts w:ascii="宋体" w:eastAsia="宋体" w:hAnsi="宋体" w:cs="宋体"/>
                <w:b w:val="0"/>
              </w:rPr>
              <w:t>650,797,810.53</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9,439,719.56</w:t>
            </w:r>
          </w:p>
        </w:tc>
        <w:tc>
          <w:tcPr>
            <w:tcW w:w="1300" w:type="pct"/>
            <w:vAlign w:val="center"/>
          </w:tcPr>
          <w:p>
            <w:pPr>
              <w:spacing w:line="240" w:lineRule="auto"/>
              <w:jc w:val="right"/>
            </w:pPr>
            <w:r>
              <w:rPr>
                <w:rFonts w:ascii="宋体" w:eastAsia="宋体" w:hAnsi="宋体" w:cs="宋体"/>
                <w:b w:val="0"/>
              </w:rPr>
              <w:t>1,049,566,441.50</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21,514,148.03</w:t>
            </w:r>
          </w:p>
        </w:tc>
        <w:tc>
          <w:tcPr>
            <w:tcW w:w="1300" w:type="pct"/>
            <w:vAlign w:val="center"/>
          </w:tcPr>
          <w:p>
            <w:pPr>
              <w:spacing w:line="240" w:lineRule="auto"/>
              <w:jc w:val="right"/>
            </w:pPr>
            <w:r>
              <w:rPr>
                <w:rFonts w:ascii="宋体" w:eastAsia="宋体" w:hAnsi="宋体" w:cs="宋体"/>
                <w:b w:val="0"/>
              </w:rPr>
              <w:t>441,741,667.44</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5602"/>
        <w:gridCol w:w="1729"/>
        <w:gridCol w:w="172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3077" w:type="pct"/>
            <w:vAlign w:val="center"/>
          </w:tcPr>
          <w:p>
            <w:pPr>
              <w:spacing w:line="240" w:lineRule="auto"/>
              <w:jc w:val="center"/>
            </w:pPr>
          </w:p>
        </w:tc>
        <w:tc>
          <w:tcPr>
            <w:tcW w:w="950" w:type="pct"/>
            <w:vAlign w:val="center"/>
          </w:tcPr>
          <w:p>
            <w:pPr>
              <w:spacing w:line="240" w:lineRule="auto"/>
              <w:jc w:val="center"/>
            </w:pPr>
            <w:r>
              <w:rPr>
                <w:rFonts w:ascii="宋体" w:eastAsia="宋体" w:hAnsi="宋体" w:cs="宋体"/>
                <w:b w:val="0"/>
              </w:rPr>
              <w:t>东方阿尔法瑞享混合发起A</w:t>
            </w:r>
          </w:p>
        </w:tc>
        <w:tc>
          <w:tcPr>
            <w:tcW w:w="950" w:type="pct"/>
            <w:vAlign w:val="center"/>
          </w:tcPr>
          <w:p>
            <w:pPr>
              <w:spacing w:line="240" w:lineRule="auto"/>
              <w:jc w:val="center"/>
            </w:pPr>
            <w:r>
              <w:rPr>
                <w:rFonts w:ascii="宋体" w:eastAsia="宋体" w:hAnsi="宋体" w:cs="宋体"/>
                <w:b w:val="0"/>
              </w:rPr>
              <w:t>东方阿尔法瑞享混合发起C</w:t>
            </w:r>
          </w:p>
        </w:tc>
      </w:tr>
      <w:tr>
        <w:tblPrEx>
          <w:tblW w:w="5000" w:type="pct"/>
          <w:tblLayout w:type="fixed"/>
        </w:tblPrEx>
        <w:tc>
          <w:tcPr>
            <w:tcW w:w="3077" w:type="pct"/>
            <w:vAlign w:val="center"/>
          </w:tcPr>
          <w:p>
            <w:pPr>
              <w:spacing w:line="240" w:lineRule="auto"/>
              <w:jc w:val="left"/>
            </w:pPr>
            <w:r>
              <w:rPr>
                <w:rFonts w:ascii="宋体" w:eastAsia="宋体" w:hAnsi="宋体" w:cs="宋体"/>
                <w:b w:val="0"/>
              </w:rPr>
              <w:t>报告期期初管理人持有的本基金份额</w:t>
            </w:r>
          </w:p>
        </w:tc>
        <w:tc>
          <w:tcPr>
            <w:tcW w:w="950" w:type="pct"/>
            <w:vAlign w:val="center"/>
          </w:tcPr>
          <w:p>
            <w:pPr>
              <w:spacing w:line="240" w:lineRule="auto"/>
              <w:jc w:val="right"/>
            </w:pPr>
            <w:r>
              <w:rPr>
                <w:rFonts w:ascii="宋体" w:eastAsia="宋体" w:hAnsi="宋体" w:cs="宋体"/>
                <w:b w:val="0"/>
              </w:rPr>
              <w:t>5,000,583.45</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报告期期间买入/申购总份额</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报告期期间卖出/赎回总份额</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报告期期末管理人持有的本基金份额</w:t>
            </w:r>
          </w:p>
        </w:tc>
        <w:tc>
          <w:tcPr>
            <w:tcW w:w="950" w:type="pct"/>
            <w:vAlign w:val="center"/>
          </w:tcPr>
          <w:p>
            <w:pPr>
              <w:spacing w:line="240" w:lineRule="auto"/>
              <w:jc w:val="right"/>
            </w:pPr>
            <w:r>
              <w:rPr>
                <w:rFonts w:ascii="宋体" w:eastAsia="宋体" w:hAnsi="宋体" w:cs="宋体"/>
                <w:b w:val="0"/>
              </w:rPr>
              <w:t>5,000,583.45</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报告期期末持有的本基金份额占基金总份额比例（%）</w:t>
            </w:r>
          </w:p>
        </w:tc>
        <w:tc>
          <w:tcPr>
            <w:tcW w:w="950" w:type="pct"/>
            <w:vAlign w:val="center"/>
          </w:tcPr>
          <w:p>
            <w:pPr>
              <w:spacing w:line="240" w:lineRule="auto"/>
              <w:jc w:val="right"/>
            </w:pPr>
            <w:r>
              <w:rPr>
                <w:rFonts w:ascii="宋体" w:eastAsia="宋体" w:hAnsi="宋体" w:cs="宋体"/>
                <w:b w:val="0"/>
              </w:rPr>
              <w:t>1.08</w:t>
            </w:r>
          </w:p>
        </w:tc>
        <w:tc>
          <w:tcPr>
            <w:tcW w:w="950" w:type="pct"/>
            <w:vAlign w:val="center"/>
          </w:tcPr>
          <w:p>
            <w:pPr>
              <w:spacing w:line="240" w:lineRule="auto"/>
              <w:jc w:val="right"/>
            </w:pPr>
            <w:r>
              <w:rPr>
                <w:rFonts w:ascii="宋体" w:eastAsia="宋体" w:hAnsi="宋体" w:cs="宋体"/>
                <w:b w:val="0"/>
              </w:rPr>
              <w:t>-</w:t>
            </w:r>
          </w:p>
        </w:tc>
      </w:tr>
    </w:tbl>
    <w:p>
      <w:r>
        <w:rPr>
          <w:rFonts w:ascii="宋体" w:eastAsia="宋体" w:hAnsi="宋体" w:cs="宋体"/>
          <w:b w:val="0"/>
        </w:rPr>
        <w:t>注：报告期期末持有的本基金份额占基金总份额比例的分母采用期末基金份额总额，不区分下属不同类别基金。</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项目</w:t>
            </w:r>
          </w:p>
        </w:tc>
        <w:tc>
          <w:tcPr>
            <w:tcW w:w="692" w:type="pct"/>
            <w:shd w:val="clear" w:color="auto" w:fill="D9D9D9"/>
            <w:vAlign w:val="center"/>
          </w:tcPr>
          <w:p>
            <w:pPr>
              <w:spacing w:line="240" w:lineRule="auto"/>
              <w:jc w:val="center"/>
            </w:pPr>
            <w:r>
              <w:rPr>
                <w:rFonts w:ascii="宋体" w:eastAsia="宋体" w:hAnsi="宋体" w:cs="宋体"/>
                <w:b w:val="0"/>
              </w:rPr>
              <w:t>持有份额总数</w:t>
            </w:r>
          </w:p>
        </w:tc>
        <w:tc>
          <w:tcPr>
            <w:tcW w:w="692" w:type="pct"/>
            <w:shd w:val="clear" w:color="auto" w:fill="D9D9D9"/>
            <w:vAlign w:val="center"/>
          </w:tcPr>
          <w:p>
            <w:pPr>
              <w:spacing w:line="240" w:lineRule="auto"/>
              <w:jc w:val="center"/>
            </w:pPr>
            <w:r>
              <w:rPr>
                <w:rFonts w:ascii="宋体" w:eastAsia="宋体" w:hAnsi="宋体" w:cs="宋体"/>
                <w:b w:val="0"/>
              </w:rPr>
              <w:t>持有份额占基金总份额比例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发起份额总数</w:t>
            </w:r>
          </w:p>
        </w:tc>
        <w:tc>
          <w:tcPr>
            <w:tcW w:w="692" w:type="pct"/>
            <w:shd w:val="clear" w:color="auto" w:fill="D9D9D9"/>
            <w:vAlign w:val="center"/>
          </w:tcPr>
          <w:p>
            <w:pPr>
              <w:spacing w:line="240" w:lineRule="auto"/>
              <w:jc w:val="center"/>
            </w:pPr>
            <w:r>
              <w:rPr>
                <w:rFonts w:ascii="宋体" w:eastAsia="宋体" w:hAnsi="宋体" w:cs="宋体"/>
                <w:b w:val="0"/>
              </w:rPr>
              <w:t>发起份额占基金总份额比例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发起份额承诺持有期限</w:t>
            </w:r>
          </w:p>
        </w:tc>
      </w:tr>
      <w:tr>
        <w:tblPrEx>
          <w:tblW w:w="5000" w:type="pct"/>
        </w:tblPrEx>
        <w:tc>
          <w:tcPr>
            <w:tcW w:w="0" w:type="dxa"/>
            <w:vAlign w:val="center"/>
          </w:tcPr>
          <w:p>
            <w:pPr>
              <w:spacing w:line="240" w:lineRule="auto"/>
              <w:jc w:val="left"/>
            </w:pPr>
            <w:r>
              <w:rPr>
                <w:rFonts w:ascii="宋体" w:eastAsia="宋体" w:hAnsi="宋体" w:cs="宋体"/>
                <w:b w:val="0"/>
              </w:rPr>
              <w:t>基金管理人固有资金</w:t>
            </w:r>
          </w:p>
        </w:tc>
        <w:tc>
          <w:tcPr>
            <w:tcW w:w="0" w:type="dxa"/>
            <w:vAlign w:val="center"/>
          </w:tcPr>
          <w:p>
            <w:pPr>
              <w:spacing w:line="240" w:lineRule="auto"/>
              <w:jc w:val="right"/>
            </w:pPr>
            <w:r>
              <w:rPr>
                <w:rFonts w:ascii="宋体" w:eastAsia="宋体" w:hAnsi="宋体" w:cs="宋体"/>
                <w:b w:val="0"/>
              </w:rPr>
              <w:t>5,000,583.45</w:t>
            </w:r>
          </w:p>
        </w:tc>
        <w:tc>
          <w:tcPr>
            <w:tcW w:w="0" w:type="dxa"/>
            <w:vAlign w:val="center"/>
          </w:tcPr>
          <w:p>
            <w:pPr>
              <w:spacing w:line="240" w:lineRule="auto"/>
              <w:jc w:val="right"/>
            </w:pPr>
            <w:r>
              <w:rPr>
                <w:rFonts w:ascii="宋体" w:eastAsia="宋体" w:hAnsi="宋体" w:cs="宋体"/>
                <w:b w:val="0"/>
              </w:rPr>
              <w:t>1.08%</w:t>
            </w:r>
          </w:p>
        </w:tc>
        <w:tc>
          <w:tcPr>
            <w:tcW w:w="0" w:type="dxa"/>
            <w:vAlign w:val="center"/>
          </w:tcPr>
          <w:p>
            <w:pPr>
              <w:spacing w:line="240" w:lineRule="auto"/>
              <w:jc w:val="right"/>
            </w:pPr>
            <w:r>
              <w:rPr>
                <w:rFonts w:ascii="宋体" w:eastAsia="宋体" w:hAnsi="宋体" w:cs="宋体"/>
                <w:b w:val="0"/>
              </w:rPr>
              <w:t>5,000,583.45</w:t>
            </w:r>
          </w:p>
        </w:tc>
        <w:tc>
          <w:tcPr>
            <w:tcW w:w="0" w:type="dxa"/>
            <w:vAlign w:val="center"/>
          </w:tcPr>
          <w:p>
            <w:pPr>
              <w:spacing w:line="240" w:lineRule="auto"/>
              <w:jc w:val="right"/>
            </w:pPr>
            <w:r>
              <w:rPr>
                <w:rFonts w:ascii="宋体" w:eastAsia="宋体" w:hAnsi="宋体" w:cs="宋体"/>
                <w:b w:val="0"/>
              </w:rPr>
              <w:t>1.08%</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基金管理人高级管理人员</w:t>
            </w:r>
          </w:p>
        </w:tc>
        <w:tc>
          <w:tcPr>
            <w:tcW w:w="0" w:type="dxa"/>
            <w:vAlign w:val="center"/>
          </w:tcPr>
          <w:p>
            <w:pPr>
              <w:spacing w:line="240" w:lineRule="auto"/>
              <w:jc w:val="right"/>
            </w:pPr>
            <w:r>
              <w:rPr>
                <w:rFonts w:ascii="宋体" w:eastAsia="宋体" w:hAnsi="宋体" w:cs="宋体"/>
                <w:b w:val="0"/>
              </w:rPr>
              <w:t>4,502,163.68</w:t>
            </w:r>
          </w:p>
        </w:tc>
        <w:tc>
          <w:tcPr>
            <w:tcW w:w="0" w:type="dxa"/>
            <w:vAlign w:val="center"/>
          </w:tcPr>
          <w:p>
            <w:pPr>
              <w:spacing w:line="240" w:lineRule="auto"/>
              <w:jc w:val="right"/>
            </w:pPr>
            <w:r>
              <w:rPr>
                <w:rFonts w:ascii="宋体" w:eastAsia="宋体" w:hAnsi="宋体" w:cs="宋体"/>
                <w:b w:val="0"/>
              </w:rPr>
              <w:t>0.97%</w:t>
            </w:r>
          </w:p>
        </w:tc>
        <w:tc>
          <w:tcPr>
            <w:tcW w:w="0" w:type="dxa"/>
            <w:vAlign w:val="center"/>
          </w:tcPr>
          <w:p>
            <w:pPr>
              <w:spacing w:line="240" w:lineRule="auto"/>
              <w:jc w:val="right"/>
            </w:pPr>
            <w:r>
              <w:rPr>
                <w:rFonts w:ascii="宋体" w:eastAsia="宋体" w:hAnsi="宋体" w:cs="宋体"/>
                <w:b w:val="0"/>
              </w:rPr>
              <w:t>4,502,163.68</w:t>
            </w:r>
          </w:p>
        </w:tc>
        <w:tc>
          <w:tcPr>
            <w:tcW w:w="0" w:type="dxa"/>
            <w:vAlign w:val="center"/>
          </w:tcPr>
          <w:p>
            <w:pPr>
              <w:spacing w:line="240" w:lineRule="auto"/>
              <w:jc w:val="right"/>
            </w:pPr>
            <w:r>
              <w:rPr>
                <w:rFonts w:ascii="宋体" w:eastAsia="宋体" w:hAnsi="宋体" w:cs="宋体"/>
                <w:b w:val="0"/>
              </w:rPr>
              <w:t>0.97%</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基金经理等人员</w:t>
            </w:r>
          </w:p>
        </w:tc>
        <w:tc>
          <w:tcPr>
            <w:tcW w:w="0" w:type="dxa"/>
            <w:vAlign w:val="center"/>
          </w:tcPr>
          <w:p>
            <w:pPr>
              <w:spacing w:line="240" w:lineRule="auto"/>
              <w:jc w:val="right"/>
            </w:pPr>
            <w:r>
              <w:rPr>
                <w:rFonts w:ascii="宋体" w:eastAsia="宋体" w:hAnsi="宋体" w:cs="宋体"/>
                <w:b w:val="0"/>
              </w:rPr>
              <w:t>509,448.23</w:t>
            </w:r>
          </w:p>
        </w:tc>
        <w:tc>
          <w:tcPr>
            <w:tcW w:w="0" w:type="dxa"/>
            <w:vAlign w:val="center"/>
          </w:tcPr>
          <w:p>
            <w:pPr>
              <w:spacing w:line="240" w:lineRule="auto"/>
              <w:jc w:val="right"/>
            </w:pPr>
            <w:r>
              <w:rPr>
                <w:rFonts w:ascii="宋体" w:eastAsia="宋体" w:hAnsi="宋体" w:cs="宋体"/>
                <w:b w:val="0"/>
              </w:rPr>
              <w:t>0.11%</w:t>
            </w:r>
          </w:p>
        </w:tc>
        <w:tc>
          <w:tcPr>
            <w:tcW w:w="0" w:type="dxa"/>
            <w:vAlign w:val="center"/>
          </w:tcPr>
          <w:p>
            <w:pPr>
              <w:spacing w:line="240" w:lineRule="auto"/>
              <w:jc w:val="right"/>
            </w:pPr>
            <w:r>
              <w:rPr>
                <w:rFonts w:ascii="宋体" w:eastAsia="宋体" w:hAnsi="宋体" w:cs="宋体"/>
                <w:b w:val="0"/>
              </w:rPr>
              <w:t>509,448.23</w:t>
            </w:r>
          </w:p>
        </w:tc>
        <w:tc>
          <w:tcPr>
            <w:tcW w:w="0" w:type="dxa"/>
            <w:vAlign w:val="center"/>
          </w:tcPr>
          <w:p>
            <w:pPr>
              <w:spacing w:line="240" w:lineRule="auto"/>
              <w:jc w:val="right"/>
            </w:pPr>
            <w:r>
              <w:rPr>
                <w:rFonts w:ascii="宋体" w:eastAsia="宋体" w:hAnsi="宋体" w:cs="宋体"/>
                <w:b w:val="0"/>
              </w:rPr>
              <w:t>0.11%</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基金管理人股东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10,012,195.36</w:t>
            </w:r>
          </w:p>
        </w:tc>
        <w:tc>
          <w:tcPr>
            <w:tcW w:w="0" w:type="dxa"/>
            <w:vAlign w:val="center"/>
          </w:tcPr>
          <w:p>
            <w:pPr>
              <w:spacing w:line="240" w:lineRule="auto"/>
              <w:jc w:val="right"/>
            </w:pPr>
            <w:r>
              <w:rPr>
                <w:rFonts w:ascii="宋体" w:eastAsia="宋体" w:hAnsi="宋体" w:cs="宋体"/>
                <w:b w:val="0"/>
              </w:rPr>
              <w:t>2.16%</w:t>
            </w:r>
          </w:p>
        </w:tc>
        <w:tc>
          <w:tcPr>
            <w:tcW w:w="0" w:type="dxa"/>
            <w:vAlign w:val="center"/>
          </w:tcPr>
          <w:p>
            <w:pPr>
              <w:spacing w:line="240" w:lineRule="auto"/>
              <w:jc w:val="right"/>
            </w:pPr>
            <w:r>
              <w:rPr>
                <w:rFonts w:ascii="宋体" w:eastAsia="宋体" w:hAnsi="宋体" w:cs="宋体"/>
                <w:b w:val="0"/>
              </w:rPr>
              <w:t>10,012,195.36</w:t>
            </w:r>
          </w:p>
        </w:tc>
        <w:tc>
          <w:tcPr>
            <w:tcW w:w="0" w:type="dxa"/>
            <w:vAlign w:val="center"/>
          </w:tcPr>
          <w:p>
            <w:pPr>
              <w:spacing w:line="240" w:lineRule="auto"/>
              <w:jc w:val="right"/>
            </w:pPr>
            <w:r>
              <w:rPr>
                <w:rFonts w:ascii="宋体" w:eastAsia="宋体" w:hAnsi="宋体" w:cs="宋体"/>
                <w:b w:val="0"/>
              </w:rPr>
              <w:t>2.16%</w:t>
            </w:r>
          </w:p>
        </w:tc>
        <w:tc>
          <w:tcPr>
            <w:tcW w:w="0" w:type="dxa"/>
            <w:vAlign w:val="center"/>
          </w:tcPr>
          <w:p>
            <w:pPr>
              <w:spacing w:line="240" w:lineRule="auto"/>
              <w:jc w:val="left"/>
            </w:pPr>
            <w:r>
              <w:rPr>
                <w:rFonts w:ascii="宋体" w:eastAsia="宋体" w:hAnsi="宋体" w:cs="宋体"/>
                <w:b w:val="0"/>
              </w:rPr>
              <w:t>-</w:t>
            </w:r>
          </w:p>
        </w:tc>
      </w:tr>
    </w:tbl>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133"/>
        <w:gridCol w:w="1133"/>
        <w:gridCol w:w="1133"/>
        <w:gridCol w:w="1133"/>
        <w:gridCol w:w="1133"/>
        <w:gridCol w:w="1133"/>
        <w:gridCol w:w="1133"/>
        <w:gridCol w:w="113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 w:type="pct"/>
            <w:vMerge w:val="restart"/>
            <w:shd w:val="clear" w:color="auto" w:fill="D9D9D9"/>
            <w:vAlign w:val="center"/>
          </w:tcPr>
          <w:p>
            <w:pPr>
              <w:spacing w:line="240" w:lineRule="auto"/>
              <w:jc w:val="center"/>
            </w:pPr>
            <w:r>
              <w:rPr>
                <w:rFonts w:ascii="宋体" w:eastAsia="宋体" w:hAnsi="宋体" w:cs="宋体"/>
                <w:b w:val="0"/>
              </w:rPr>
              <w:t>投资者类别</w:t>
            </w:r>
          </w:p>
        </w:tc>
        <w:tc>
          <w:tcPr>
            <w:tcW w:w="3192" w:type="pct"/>
            <w:gridSpan w:val="5"/>
            <w:shd w:val="clear" w:color="auto" w:fill="D9D9D9"/>
            <w:vAlign w:val="center"/>
          </w:tcPr>
          <w:p>
            <w:pPr>
              <w:spacing w:line="240" w:lineRule="auto"/>
              <w:jc w:val="center"/>
            </w:pPr>
            <w:r>
              <w:rPr>
                <w:rFonts w:ascii="宋体" w:eastAsia="宋体" w:hAnsi="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eastAsia="宋体" w:hAnsi="宋体" w:cs="宋体"/>
                <w:b w:val="0"/>
              </w:rPr>
              <w:t>报告期末持有基金情况</w:t>
            </w:r>
          </w:p>
        </w:tc>
      </w:tr>
      <w:tr>
        <w:tblPrEx>
          <w:tblW w:w="5000" w:type="pct"/>
        </w:tblPrEx>
        <w:tc>
          <w:tcPr>
            <w:vMerge/>
          </w:tcPr>
          <w:p/>
        </w:tc>
        <w:tc>
          <w:tcPr>
            <w:tcW w:w="269" w:type="pct"/>
            <w:shd w:val="clear" w:color="auto" w:fill="D9D9D9"/>
            <w:vAlign w:val="center"/>
          </w:tcPr>
          <w:p>
            <w:pPr>
              <w:spacing w:line="240" w:lineRule="auto"/>
              <w:jc w:val="center"/>
            </w:pPr>
            <w:r>
              <w:rPr>
                <w:rFonts w:ascii="宋体" w:eastAsia="宋体" w:hAnsi="宋体" w:cs="宋体"/>
                <w:b w:val="0"/>
              </w:rPr>
              <w:t>序号</w:t>
            </w:r>
          </w:p>
        </w:tc>
        <w:tc>
          <w:tcPr>
            <w:tcW w:w="1346" w:type="pct"/>
            <w:shd w:val="clear" w:color="auto" w:fill="D9D9D9"/>
            <w:vAlign w:val="center"/>
          </w:tcPr>
          <w:p>
            <w:pPr>
              <w:spacing w:line="240" w:lineRule="auto"/>
              <w:jc w:val="center"/>
            </w:pPr>
            <w:r>
              <w:rPr>
                <w:rFonts w:ascii="宋体" w:eastAsia="宋体" w:hAnsi="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eastAsia="宋体" w:hAnsi="宋体" w:cs="宋体"/>
                <w:b w:val="0"/>
              </w:rPr>
              <w:t>期初份额</w:t>
            </w:r>
          </w:p>
        </w:tc>
        <w:tc>
          <w:tcPr>
            <w:tcW w:w="615" w:type="pct"/>
            <w:shd w:val="clear" w:color="auto" w:fill="D9D9D9"/>
            <w:vAlign w:val="center"/>
          </w:tcPr>
          <w:p>
            <w:pPr>
              <w:spacing w:line="240" w:lineRule="auto"/>
              <w:jc w:val="center"/>
            </w:pPr>
            <w:r>
              <w:rPr>
                <w:rFonts w:ascii="宋体" w:eastAsia="宋体" w:hAnsi="宋体" w:cs="宋体"/>
                <w:b w:val="0"/>
              </w:rPr>
              <w:t>申购份额</w:t>
            </w:r>
          </w:p>
        </w:tc>
        <w:tc>
          <w:tcPr>
            <w:tcW w:w="615" w:type="pct"/>
            <w:shd w:val="clear" w:color="auto" w:fill="D9D9D9"/>
            <w:vAlign w:val="center"/>
          </w:tcPr>
          <w:p>
            <w:pPr>
              <w:spacing w:line="240" w:lineRule="auto"/>
              <w:jc w:val="center"/>
            </w:pPr>
            <w:r>
              <w:rPr>
                <w:rFonts w:ascii="宋体" w:eastAsia="宋体" w:hAnsi="宋体" w:cs="宋体"/>
                <w:b w:val="0"/>
              </w:rPr>
              <w:t>赎回份额</w:t>
            </w:r>
          </w:p>
        </w:tc>
        <w:tc>
          <w:tcPr>
            <w:tcW w:w="615" w:type="pct"/>
            <w:shd w:val="clear" w:color="auto" w:fill="D9D9D9"/>
            <w:vAlign w:val="center"/>
          </w:tcPr>
          <w:p>
            <w:pPr>
              <w:spacing w:line="240" w:lineRule="auto"/>
              <w:jc w:val="center"/>
            </w:pPr>
            <w:r>
              <w:rPr>
                <w:rFonts w:ascii="宋体" w:eastAsia="宋体" w:hAnsi="宋体" w:cs="宋体"/>
                <w:b w:val="0"/>
              </w:rPr>
              <w:t>持有份额</w:t>
            </w:r>
          </w:p>
        </w:tc>
        <w:tc>
          <w:tcPr>
            <w:tcW w:w="538" w:type="pct"/>
            <w:shd w:val="clear" w:color="auto" w:fill="D9D9D9"/>
            <w:vAlign w:val="center"/>
          </w:tcPr>
          <w:p>
            <w:pPr>
              <w:spacing w:line="240" w:lineRule="auto"/>
              <w:jc w:val="center"/>
            </w:pPr>
            <w:r>
              <w:rPr>
                <w:rFonts w:ascii="宋体" w:eastAsia="宋体" w:hAnsi="宋体" w:cs="宋体"/>
                <w:b w:val="0"/>
              </w:rPr>
              <w:t>份额占比</w:t>
            </w:r>
          </w:p>
        </w:tc>
      </w:tr>
      <w:tr>
        <w:tblPrEx>
          <w:tblW w:w="5000" w:type="pct"/>
        </w:tblPrEx>
        <w:tc>
          <w:tcPr>
            <w:tcW w:w="0" w:type="dxa"/>
            <w:vAlign w:val="center"/>
          </w:tcPr>
          <w:p>
            <w:pPr>
              <w:spacing w:line="240" w:lineRule="auto"/>
              <w:jc w:val="center"/>
            </w:pPr>
            <w:r>
              <w:rPr>
                <w:rFonts w:ascii="宋体" w:eastAsia="宋体" w:hAnsi="宋体" w:cs="宋体"/>
                <w:b w:val="0"/>
              </w:rPr>
              <w:t>机构</w:t>
            </w:r>
          </w:p>
        </w:tc>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center"/>
            </w:pPr>
            <w:r>
              <w:rPr>
                <w:rFonts w:ascii="宋体" w:eastAsia="宋体" w:hAnsi="宋体" w:cs="宋体"/>
                <w:b w:val="0"/>
              </w:rPr>
              <w:t>2026年07月06日-2026年07月27日</w:t>
            </w:r>
          </w:p>
        </w:tc>
        <w:tc>
          <w:tcPr>
            <w:tcW w:w="0" w:type="dxa"/>
            <w:vAlign w:val="center"/>
          </w:tcPr>
          <w:p>
            <w:pPr>
              <w:spacing w:line="240" w:lineRule="auto"/>
              <w:jc w:val="right"/>
            </w:pPr>
            <w:r>
              <w:rPr>
                <w:rFonts w:ascii="宋体" w:eastAsia="宋体" w:hAnsi="宋体" w:cs="宋体"/>
                <w:b w:val="0"/>
              </w:rPr>
              <w:t>164,607,528.43</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164,607,528.43</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gridSpan w:val="8"/>
            <w:vAlign w:val="center"/>
          </w:tcPr>
          <w:p>
            <w:pPr>
              <w:spacing w:line="240" w:lineRule="auto"/>
              <w:jc w:val="center"/>
            </w:pPr>
            <w:r>
              <w:rPr>
                <w:rFonts w:ascii="宋体" w:eastAsia="宋体" w:hAnsi="宋体" w:cs="宋体"/>
                <w:b w:val="0"/>
              </w:rPr>
              <w:t>产品特有风险</w:t>
            </w:r>
          </w:p>
        </w:tc>
      </w:tr>
      <w:tr>
        <w:tblPrEx>
          <w:tblW w:w="5000" w:type="pct"/>
        </w:tblPrEx>
        <w:tc>
          <w:tcPr>
            <w:tcW w:w="0" w:type="dxa"/>
            <w:gridSpan w:val="8"/>
            <w:vAlign w:val="center"/>
          </w:tcPr>
          <w:p>
            <w:pPr>
              <w:spacing w:line="240" w:lineRule="auto"/>
              <w:jc w:val="left"/>
            </w:pPr>
            <w:r>
              <w:rPr>
                <w:rFonts w:ascii="宋体" w:eastAsia="宋体" w:hAnsi="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br/>
            </w:r>
            <w:r>
              <w:rPr>
                <w:rFonts w:ascii="宋体" w:eastAsia="宋体" w:hAnsi="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br/>
            </w:r>
            <w:r>
              <w:rPr>
                <w:rFonts w:ascii="宋体" w:eastAsia="宋体" w:hAnsi="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br/>
            </w:r>
            <w:r>
              <w:rPr>
                <w:rFonts w:ascii="宋体" w:eastAsia="宋体" w:hAnsi="宋体" w:cs="宋体"/>
                <w:b w:val="0"/>
              </w:rPr>
              <w:t xml:space="preserve">    3、单一投资者巨额赎回可能导致本基金在短时间内无法变现足够的资产予以应对，可能会导致基金仓位调整困难，发生流动性风险。</w:t>
              <w:br/>
            </w:r>
            <w:r>
              <w:rPr>
                <w:rFonts w:ascii="宋体" w:eastAsia="宋体" w:hAnsi="宋体" w:cs="宋体"/>
                <w:b w:val="0"/>
              </w:rPr>
              <w:t xml:space="preserve">    4、持有基金份额占比较高的投资者在召开基金份额持有人大会并对重大事项进行投票表决时，可能拥有较大话语权。</w:t>
              <w:br/>
            </w:r>
            <w:r>
              <w:rPr>
                <w:rFonts w:ascii="宋体" w:eastAsia="宋体" w:hAnsi="宋体" w:cs="宋体"/>
                <w:b w:val="0"/>
              </w:rPr>
              <w:t xml:space="preserve">    5、超出基金管理人允许的单一投资者持有基金份额比例的申购申请不被确认的风险。</w:t>
            </w:r>
          </w:p>
        </w:tc>
      </w:tr>
    </w:tbl>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1、中国证券监督管理委员会批准的东方阿尔法瑞享混合型发起式证券投资基金设立的文件；</w:t>
        <w:br/>
      </w:r>
      <w:r>
        <w:rPr>
          <w:rFonts w:ascii="宋体" w:eastAsia="宋体" w:hAnsi="宋体" w:cs="宋体"/>
          <w:b w:val="0"/>
        </w:rPr>
        <w:t xml:space="preserve">    2、《东方阿尔法瑞享混合型发起式证券投资基金基金合同》；</w:t>
        <w:br/>
      </w:r>
      <w:r>
        <w:rPr>
          <w:rFonts w:ascii="宋体" w:eastAsia="宋体" w:hAnsi="宋体" w:cs="宋体"/>
          <w:b w:val="0"/>
        </w:rPr>
        <w:t xml:space="preserve">    3、《东方阿尔法瑞享混合型发起式证券投资基金托管协议》；</w:t>
        <w:br/>
      </w:r>
      <w:r>
        <w:rPr>
          <w:rFonts w:ascii="宋体" w:eastAsia="宋体" w:hAnsi="宋体" w:cs="宋体"/>
          <w:b w:val="0"/>
        </w:rPr>
        <w:t xml:space="preserve">    4、《东方阿尔法瑞享混合型发起式证券投资基金招募说明书》（含更新）；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东方阿尔法瑞享混合型发起式证券投资基金2026年第3季度报告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