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rsidR="00033BEA" w:rsidP="00A76644" w14:paraId="1326CD91" w14:textId="77777777">
      <w:pPr>
        <w:pStyle w:val="TOC1"/>
        <w:tabs>
          <w:tab w:val="right" w:leader="dot" w:pos="9080"/>
        </w:tabs>
        <w:spacing w:before="72" w:after="120"/>
        <w:jc w:val="center"/>
        <w:rPr>
          <w:rFonts w:ascii="宋体" w:hAnsi="宋体"/>
          <w:b/>
          <w:bCs/>
          <w:sz w:val="24"/>
        </w:rPr>
      </w:pPr>
    </w:p>
    <w:p w:rsidR="00033BEA" w:rsidP="00A76644" w14:paraId="52A90100" w14:textId="77777777">
      <w:pPr>
        <w:pStyle w:val="TOC1"/>
        <w:tabs>
          <w:tab w:val="right" w:leader="dot" w:pos="9080"/>
        </w:tabs>
        <w:spacing w:before="72" w:after="120"/>
        <w:jc w:val="center"/>
        <w:rPr>
          <w:rFonts w:ascii="宋体" w:hAnsi="宋体"/>
          <w:b/>
          <w:bCs/>
          <w:sz w:val="24"/>
        </w:rPr>
      </w:pPr>
    </w:p>
    <w:p w:rsidR="00396EB6" w:rsidRPr="00421707" w:rsidP="001663E4" w14:paraId="38984839"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东方阿尔法科技甄选混合型发起式证券投资基金</w:t>
      </w:r>
    </w:p>
    <w:p w:rsidR="00396EB6" w:rsidRPr="00421707" w:rsidP="001663E4" w14:paraId="451789C6" w14:textId="77777777">
      <w:pPr>
        <w:pStyle w:val="TOC1"/>
        <w:tabs>
          <w:tab w:val="right" w:leader="dot" w:pos="9080"/>
        </w:tabs>
        <w:jc w:val="center"/>
        <w:rPr>
          <w:rFonts w:ascii="黑体" w:eastAsia="黑体" w:hAnsi="黑体"/>
          <w:b/>
          <w:bCs/>
          <w:sz w:val="36"/>
          <w:szCs w:val="36"/>
        </w:rPr>
      </w:pPr>
      <w:r w:rsidRPr="00421707">
        <w:rPr>
          <w:rFonts w:ascii="黑体" w:eastAsia="黑体" w:hAnsi="黑体" w:hint="eastAsia"/>
          <w:b/>
          <w:bCs/>
          <w:sz w:val="36"/>
          <w:szCs w:val="36"/>
        </w:rPr>
        <w:t>2026年第3季度报告</w:t>
      </w:r>
    </w:p>
    <w:p w:rsidR="00695511" w:rsidRPr="00A76644" w:rsidP="00421707" w14:paraId="330D4D51" w14:textId="77777777">
      <w:pPr>
        <w:pStyle w:val="TOC1"/>
        <w:tabs>
          <w:tab w:val="right" w:leader="dot" w:pos="9080"/>
        </w:tabs>
        <w:spacing w:line="480" w:lineRule="auto"/>
        <w:jc w:val="center"/>
        <w:rPr>
          <w:rFonts w:ascii="宋体" w:eastAsia="宋体" w:hAnsi="宋体" w:cs="宋体"/>
          <w:b/>
          <w:bCs/>
          <w:sz w:val="24"/>
        </w:rPr>
      </w:pPr>
      <w:r>
        <w:rPr>
          <w:rFonts w:ascii="宋体" w:eastAsia="宋体" w:hAnsi="宋体" w:cs="宋体" w:hint="eastAsia"/>
          <w:b/>
          <w:bCs/>
          <w:sz w:val="24"/>
        </w:rPr>
        <w:t>2026年09月30日</w:t>
      </w:r>
    </w:p>
    <w:p w:rsidR="00514F66" w:rsidRPr="00514F66" w:rsidP="00514F66" w14:paraId="205BF4D8" w14:textId="77777777">
      <w:pPr>
        <w:pStyle w:val="TOC1"/>
        <w:tabs>
          <w:tab w:val="right" w:leader="dot" w:pos="9080"/>
        </w:tabs>
        <w:spacing w:before="72" w:after="120"/>
        <w:jc w:val="center"/>
        <w:rPr>
          <w:rFonts w:ascii="宋体" w:hAnsi="宋体"/>
          <w:b/>
          <w:bCs/>
          <w:sz w:val="24"/>
        </w:rPr>
      </w:pPr>
    </w:p>
    <w:p w:rsidR="00514F66" w:rsidRPr="00514F66" w:rsidP="00514F66" w14:paraId="02CCC2D6" w14:textId="77777777">
      <w:pPr>
        <w:pStyle w:val="TOC1"/>
        <w:tabs>
          <w:tab w:val="right" w:leader="dot" w:pos="9080"/>
        </w:tabs>
        <w:spacing w:before="72" w:after="120"/>
        <w:jc w:val="center"/>
        <w:rPr>
          <w:rFonts w:ascii="宋体" w:hAnsi="宋体"/>
          <w:b/>
          <w:bCs/>
          <w:sz w:val="24"/>
        </w:rPr>
      </w:pPr>
    </w:p>
    <w:p w:rsidR="00514F66" w:rsidRPr="00514F66" w:rsidP="00514F66" w14:paraId="045B4059" w14:textId="77777777">
      <w:pPr>
        <w:pStyle w:val="TOC1"/>
        <w:tabs>
          <w:tab w:val="right" w:leader="dot" w:pos="9080"/>
        </w:tabs>
        <w:spacing w:before="72" w:after="120"/>
        <w:jc w:val="center"/>
        <w:rPr>
          <w:rFonts w:ascii="宋体" w:hAnsi="宋体"/>
          <w:b/>
          <w:bCs/>
          <w:sz w:val="24"/>
        </w:rPr>
      </w:pPr>
    </w:p>
    <w:p w:rsidR="00514F66" w:rsidRPr="00514F66" w:rsidP="00514F66" w14:paraId="3BC03714" w14:textId="77777777">
      <w:pPr>
        <w:pStyle w:val="TOC1"/>
        <w:tabs>
          <w:tab w:val="right" w:leader="dot" w:pos="9080"/>
        </w:tabs>
        <w:spacing w:before="72" w:after="120"/>
        <w:jc w:val="center"/>
        <w:rPr>
          <w:rFonts w:ascii="宋体" w:hAnsi="宋体"/>
          <w:b/>
          <w:bCs/>
          <w:sz w:val="24"/>
        </w:rPr>
      </w:pPr>
    </w:p>
    <w:p w:rsidR="00514F66" w:rsidRPr="00514F66" w:rsidP="00514F66" w14:paraId="580DD332" w14:textId="77777777">
      <w:pPr>
        <w:pStyle w:val="TOC1"/>
        <w:tabs>
          <w:tab w:val="right" w:leader="dot" w:pos="9080"/>
        </w:tabs>
        <w:spacing w:before="72" w:after="120"/>
        <w:jc w:val="center"/>
        <w:rPr>
          <w:rFonts w:ascii="宋体" w:hAnsi="宋体"/>
          <w:b/>
          <w:bCs/>
          <w:sz w:val="24"/>
        </w:rPr>
      </w:pPr>
    </w:p>
    <w:p w:rsidR="00514F66" w:rsidRPr="00514F66" w:rsidP="00514F66" w14:paraId="256C0706" w14:textId="77777777">
      <w:pPr>
        <w:pStyle w:val="TOC1"/>
        <w:tabs>
          <w:tab w:val="right" w:leader="dot" w:pos="9080"/>
        </w:tabs>
        <w:spacing w:before="72" w:after="120"/>
        <w:jc w:val="center"/>
        <w:rPr>
          <w:rFonts w:ascii="宋体" w:hAnsi="宋体"/>
          <w:b/>
          <w:bCs/>
          <w:sz w:val="24"/>
        </w:rPr>
      </w:pPr>
    </w:p>
    <w:p w:rsidR="00514F66" w:rsidRPr="00514F66" w:rsidP="00514F66" w14:paraId="3C562D33" w14:textId="77777777">
      <w:pPr>
        <w:pStyle w:val="TOC1"/>
        <w:tabs>
          <w:tab w:val="right" w:leader="dot" w:pos="9080"/>
        </w:tabs>
        <w:spacing w:before="72" w:after="120"/>
        <w:jc w:val="center"/>
        <w:rPr>
          <w:rFonts w:ascii="宋体" w:hAnsi="宋体"/>
          <w:b/>
          <w:bCs/>
          <w:sz w:val="24"/>
        </w:rPr>
      </w:pPr>
    </w:p>
    <w:p w:rsidR="00514F66" w:rsidRPr="00514F66" w:rsidP="00514F66" w14:paraId="5110C3F6" w14:textId="77777777">
      <w:pPr>
        <w:pStyle w:val="TOC1"/>
        <w:tabs>
          <w:tab w:val="right" w:leader="dot" w:pos="9080"/>
        </w:tabs>
        <w:spacing w:before="72" w:after="120"/>
        <w:jc w:val="center"/>
        <w:rPr>
          <w:rFonts w:ascii="宋体" w:hAnsi="宋体"/>
          <w:b/>
          <w:bCs/>
          <w:sz w:val="24"/>
        </w:rPr>
      </w:pPr>
    </w:p>
    <w:p w:rsidR="00514F66" w:rsidRPr="00514F66" w:rsidP="00514F66" w14:paraId="0B3A8452" w14:textId="77777777">
      <w:pPr>
        <w:pStyle w:val="TOC1"/>
        <w:tabs>
          <w:tab w:val="right" w:leader="dot" w:pos="9080"/>
        </w:tabs>
        <w:spacing w:before="72" w:after="120"/>
        <w:jc w:val="center"/>
        <w:rPr>
          <w:rFonts w:ascii="宋体" w:hAnsi="宋体"/>
          <w:b/>
          <w:bCs/>
          <w:sz w:val="24"/>
        </w:rPr>
      </w:pPr>
    </w:p>
    <w:p w:rsidR="00514F66" w:rsidRPr="00514F66" w:rsidP="00514F66" w14:paraId="5EF2E9FF" w14:textId="77777777">
      <w:pPr>
        <w:pStyle w:val="TOC1"/>
        <w:tabs>
          <w:tab w:val="right" w:leader="dot" w:pos="9080"/>
        </w:tabs>
        <w:spacing w:before="72" w:after="120"/>
        <w:jc w:val="center"/>
        <w:rPr>
          <w:rFonts w:ascii="宋体" w:hAnsi="宋体"/>
          <w:b/>
          <w:bCs/>
          <w:sz w:val="24"/>
        </w:rPr>
      </w:pPr>
    </w:p>
    <w:p w:rsidR="00514F66" w:rsidRPr="00514F66" w:rsidP="00514F66" w14:paraId="2807BBEC" w14:textId="77777777">
      <w:pPr>
        <w:pStyle w:val="TOC1"/>
        <w:tabs>
          <w:tab w:val="right" w:leader="dot" w:pos="9080"/>
        </w:tabs>
        <w:spacing w:before="72" w:after="120"/>
        <w:jc w:val="center"/>
        <w:rPr>
          <w:rFonts w:ascii="宋体" w:hAnsi="宋体"/>
          <w:b/>
          <w:bCs/>
          <w:sz w:val="24"/>
        </w:rPr>
      </w:pPr>
    </w:p>
    <w:p w:rsidR="00514F66" w:rsidRPr="00514F66" w:rsidP="00514F66" w14:paraId="4BC10FDF" w14:textId="77777777">
      <w:pPr>
        <w:pStyle w:val="TOC1"/>
        <w:tabs>
          <w:tab w:val="right" w:leader="dot" w:pos="9080"/>
        </w:tabs>
        <w:spacing w:before="72" w:after="120"/>
        <w:jc w:val="center"/>
        <w:rPr>
          <w:rFonts w:ascii="宋体" w:hAnsi="宋体"/>
          <w:b/>
          <w:bCs/>
          <w:sz w:val="24"/>
        </w:rPr>
      </w:pPr>
    </w:p>
    <w:p w:rsidR="00514F66" w:rsidRPr="00514F66" w:rsidP="00514F66" w14:paraId="488AAE42" w14:textId="77777777">
      <w:pPr>
        <w:pStyle w:val="TOC1"/>
        <w:tabs>
          <w:tab w:val="right" w:leader="dot" w:pos="9080"/>
        </w:tabs>
        <w:spacing w:before="72" w:after="120"/>
        <w:jc w:val="center"/>
        <w:rPr>
          <w:rFonts w:ascii="宋体" w:hAnsi="宋体"/>
          <w:b/>
          <w:bCs/>
          <w:sz w:val="24"/>
        </w:rPr>
      </w:pPr>
    </w:p>
    <w:p w:rsidR="00514F66" w:rsidRPr="00514F66" w:rsidP="00514F66" w14:paraId="0B4C086D" w14:textId="77777777">
      <w:pPr>
        <w:pStyle w:val="TOC1"/>
        <w:tabs>
          <w:tab w:val="right" w:leader="dot" w:pos="9080"/>
        </w:tabs>
        <w:spacing w:before="72" w:after="120"/>
        <w:jc w:val="center"/>
        <w:rPr>
          <w:rFonts w:ascii="宋体" w:hAnsi="宋体"/>
          <w:b/>
          <w:bCs/>
          <w:sz w:val="24"/>
        </w:rPr>
      </w:pPr>
    </w:p>
    <w:p w:rsidR="00514F66" w:rsidRPr="00514F66" w:rsidP="00514F66" w14:paraId="7EEBE708" w14:textId="77777777">
      <w:pPr>
        <w:pStyle w:val="TOC1"/>
        <w:tabs>
          <w:tab w:val="right" w:leader="dot" w:pos="9080"/>
        </w:tabs>
        <w:spacing w:before="72" w:after="120"/>
        <w:jc w:val="center"/>
        <w:rPr>
          <w:rFonts w:ascii="宋体" w:hAnsi="宋体"/>
          <w:b/>
          <w:bCs/>
          <w:sz w:val="24"/>
        </w:rPr>
      </w:pPr>
    </w:p>
    <w:p w:rsidR="00396EB6" w:rsidP="00421707" w14:paraId="3B0B08E8"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基金管理人:</w:t>
      </w:r>
      <w:r>
        <w:rPr>
          <w:rFonts w:ascii="宋体" w:eastAsia="宋体" w:hAnsi="宋体" w:cs="宋体"/>
          <w:b/>
          <w:color w:val="auto"/>
          <w:sz w:val="24"/>
          <w:u w:val="none"/>
        </w:rPr>
        <w:t>东方阿尔法基金管理有限公司</w:t>
      </w:r>
    </w:p>
    <w:p w:rsidR="00396EB6" w:rsidP="00421707" w14:paraId="31616E72"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基金托管人:</w:t>
      </w:r>
      <w:r>
        <w:rPr>
          <w:rFonts w:ascii="宋体" w:eastAsia="宋体" w:hAnsi="宋体" w:cs="宋体"/>
          <w:b/>
          <w:color w:val="auto"/>
          <w:sz w:val="24"/>
          <w:u w:val="none"/>
        </w:rPr>
        <w:t>招商银行股份有限公司</w:t>
      </w:r>
    </w:p>
    <w:p w:rsidR="00396EB6" w:rsidP="00421707" w14:paraId="01D6CDCE" w14:textId="77777777">
      <w:pPr>
        <w:pStyle w:val="TOC1"/>
        <w:tabs>
          <w:tab w:val="right" w:leader="dot" w:pos="9080"/>
        </w:tabs>
        <w:spacing w:line="360" w:lineRule="auto"/>
        <w:jc w:val="center"/>
        <w:rPr>
          <w:rFonts w:ascii="宋体" w:eastAsia="宋体" w:hAnsi="宋体" w:cs="宋体"/>
          <w:b/>
          <w:bCs/>
          <w:sz w:val="24"/>
        </w:rPr>
      </w:pPr>
      <w:r>
        <w:rPr>
          <w:rFonts w:ascii="宋体" w:eastAsia="宋体" w:hAnsi="宋体" w:cs="宋体" w:hint="eastAsia"/>
          <w:b/>
          <w:bCs/>
          <w:sz w:val="24"/>
        </w:rPr>
        <w:t>报告送出日期:</w:t>
      </w:r>
      <w:r>
        <w:rPr>
          <w:rFonts w:ascii="宋体" w:eastAsia="宋体" w:hAnsi="宋体" w:cs="宋体"/>
          <w:b/>
          <w:color w:val="auto"/>
          <w:sz w:val="24"/>
          <w:u w:val="none"/>
        </w:rPr>
        <w:t>2026年10月26日</w:t>
      </w:r>
    </w:p>
    <w:p w:rsidR="00396EB6" w:rsidP="00A76644" w14:paraId="28A208C4" w14:textId="77777777">
      <w:pPr>
        <w:jc w:val="center"/>
      </w:pPr>
      <w:r>
        <w:br w:type="page"/>
      </w:r>
    </w:p>
    <w:p w:rsidR="00C370BD" w:rsidRPr="00C370BD" w:rsidP="00801225" w14:paraId="6B371222" w14:textId="77777777">
      <w:pPr>
        <w:pStyle w:val="Heading1"/>
        <w:spacing w:line="576" w:lineRule="auto"/>
        <w:jc w:val="center"/>
        <w:rPr>
          <w:rFonts w:ascii="宋体" w:eastAsia="宋体" w:hAnsi="宋体"/>
          <w:sz w:val="24"/>
          <w:szCs w:val="24"/>
        </w:rPr>
      </w:pPr>
      <w:bookmarkStart w:id="0" w:name="_Toc73379713"/>
      <w:r w:rsidRPr="00C370BD">
        <w:rPr>
          <w:rFonts w:ascii="宋体" w:eastAsia="宋体" w:hAnsi="宋体" w:hint="eastAsia"/>
          <w:bCs w:val="0"/>
          <w:sz w:val="24"/>
          <w:szCs w:val="24"/>
        </w:rPr>
        <w:t>§1 重要提示</w:t>
      </w:r>
      <w:bookmarkEnd w:id="0"/>
    </w:p>
    <w:p w:rsidR="00F07C93" w:rsidP="00E67AEA" w14:paraId="7F352D6E" w14:textId="35951F40">
      <w:pPr>
        <w:widowControl/>
        <w:rPr>
          <w:rFonts w:ascii="宋体" w:eastAsia="宋体" w:hAnsi="宋体"/>
        </w:rPr>
      </w:pPr>
      <w:r>
        <w:t xml:space="preserve">    基金管理人的董事会及董事保证本报告所载资料不存在虚假记载、误导性陈述或重大遗漏，并对其内容的真实性、准确性和完整性承担个别及连带责任。</w:t>
        <w:cr/>
        <w:t xml:space="preserve">    基金托管人招商银行股份有限公司根据本基金合同规定，于2026年10月23日复核了本报告中的财务指标、净值表现和投资组合报告等内容，保证复核内容不存在虚假记载、误导性陈述或者重大遗漏。</w:t>
        <w:cr/>
        <w:t xml:space="preserve">    基金管理人承诺以诚实信用、勤勉尽责的原则管理和运用基金资产，但不保证基金一定盈利。</w:t>
        <w:cr/>
        <w:t xml:space="preserve">    基金的过往业绩并不代表其未来表现。投资有风险，投资者在做出投资决策前应仔细阅读本基金的招募说明书。</w:t>
        <w:cr/>
        <w:t xml:space="preserve">    本报告中财务资料未经审计。</w:t>
        <w:cr/>
        <w:t xml:space="preserve">    本报告期自2026年07月01日起至2026年09月30日止。</w:t>
      </w:r>
    </w:p>
    <w:p/>
    <w:p>
      <w:pPr>
        <w:pStyle w:val="Heading1"/>
        <w:jc w:val="center"/>
      </w:pPr>
      <w:r>
        <w:rPr>
          <w:rFonts w:ascii="宋体" w:eastAsia="宋体" w:hAnsi="宋体" w:cs="宋体"/>
        </w:rPr>
        <w:t>§2 基金产品概况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Align w:val="center"/>
          </w:tcPr>
          <w:p>
            <w:pPr>
              <w:spacing w:line="240" w:lineRule="auto"/>
              <w:jc w:val="left"/>
            </w:pPr>
            <w:r>
              <w:rPr>
                <w:rFonts w:ascii="宋体" w:eastAsia="宋体" w:hAnsi="宋体" w:cs="宋体"/>
                <w:b w:val="0"/>
              </w:rPr>
              <w:t>基金简称</w:t>
            </w:r>
          </w:p>
        </w:tc>
        <w:tc>
          <w:tcPr>
            <w:tcW w:w="3077" w:type="pct"/>
            <w:gridSpan w:val="2"/>
            <w:vAlign w:val="center"/>
          </w:tcPr>
          <w:p>
            <w:pPr>
              <w:spacing w:line="240" w:lineRule="auto"/>
              <w:jc w:val="left"/>
            </w:pPr>
            <w:r>
              <w:rPr>
                <w:rFonts w:ascii="宋体" w:eastAsia="宋体" w:hAnsi="宋体" w:cs="宋体"/>
                <w:b w:val="0"/>
              </w:rPr>
              <w:t>东方阿尔法科技甄选混合发起</w:t>
            </w:r>
          </w:p>
        </w:tc>
      </w:tr>
      <w:tr>
        <w:tblPrEx>
          <w:tblW w:w="5000" w:type="pct"/>
        </w:tblPrEx>
        <w:tc>
          <w:tcPr>
            <w:tcW w:w="1923" w:type="pct"/>
            <w:vAlign w:val="center"/>
          </w:tcPr>
          <w:p>
            <w:pPr>
              <w:spacing w:line="240" w:lineRule="auto"/>
              <w:jc w:val="left"/>
            </w:pPr>
            <w:r>
              <w:rPr>
                <w:rFonts w:ascii="宋体" w:eastAsia="宋体" w:hAnsi="宋体" w:cs="宋体"/>
                <w:b w:val="0"/>
              </w:rPr>
              <w:t>基金主代码</w:t>
            </w:r>
          </w:p>
        </w:tc>
        <w:tc>
          <w:tcPr>
            <w:tcW w:w="0" w:type="dxa"/>
            <w:gridSpan w:val="2"/>
            <w:vAlign w:val="center"/>
          </w:tcPr>
          <w:p>
            <w:pPr>
              <w:spacing w:line="240" w:lineRule="auto"/>
              <w:jc w:val="left"/>
            </w:pPr>
            <w:r>
              <w:rPr>
                <w:rFonts w:ascii="宋体" w:eastAsia="宋体" w:hAnsi="宋体" w:cs="宋体"/>
                <w:b w:val="0"/>
              </w:rPr>
              <w:t>025792</w:t>
            </w:r>
          </w:p>
        </w:tc>
      </w:tr>
      <w:tr>
        <w:tblPrEx>
          <w:tblW w:w="5000" w:type="pct"/>
        </w:tblPrEx>
        <w:tc>
          <w:tcPr>
            <w:tcW w:w="1923" w:type="pct"/>
            <w:vAlign w:val="center"/>
          </w:tcPr>
          <w:p>
            <w:pPr>
              <w:spacing w:line="240" w:lineRule="auto"/>
              <w:jc w:val="left"/>
            </w:pPr>
            <w:r>
              <w:rPr>
                <w:rFonts w:ascii="宋体" w:eastAsia="宋体" w:hAnsi="宋体" w:cs="宋体"/>
                <w:b w:val="0"/>
              </w:rPr>
              <w:t>基金运作方式</w:t>
            </w:r>
          </w:p>
        </w:tc>
        <w:tc>
          <w:tcPr>
            <w:tcW w:w="0" w:type="dxa"/>
            <w:gridSpan w:val="2"/>
            <w:vAlign w:val="center"/>
          </w:tcPr>
          <w:p>
            <w:pPr>
              <w:spacing w:line="240" w:lineRule="auto"/>
              <w:jc w:val="left"/>
            </w:pPr>
            <w:r>
              <w:rPr>
                <w:rFonts w:ascii="宋体" w:eastAsia="宋体" w:hAnsi="宋体" w:cs="宋体"/>
                <w:b w:val="0"/>
              </w:rPr>
              <w:t>契约型开放式</w:t>
            </w:r>
          </w:p>
        </w:tc>
      </w:tr>
      <w:tr>
        <w:tblPrEx>
          <w:tblW w:w="5000" w:type="pct"/>
        </w:tblPrEx>
        <w:tc>
          <w:tcPr>
            <w:tcW w:w="1923" w:type="pct"/>
            <w:vAlign w:val="center"/>
          </w:tcPr>
          <w:p>
            <w:pPr>
              <w:spacing w:line="240" w:lineRule="auto"/>
              <w:jc w:val="left"/>
            </w:pPr>
            <w:r>
              <w:rPr>
                <w:rFonts w:ascii="宋体" w:eastAsia="宋体" w:hAnsi="宋体" w:cs="宋体"/>
                <w:b w:val="0"/>
              </w:rPr>
              <w:t>基金合同生效日</w:t>
            </w:r>
          </w:p>
        </w:tc>
        <w:tc>
          <w:tcPr>
            <w:tcW w:w="0" w:type="dxa"/>
            <w:gridSpan w:val="2"/>
            <w:vAlign w:val="center"/>
          </w:tcPr>
          <w:p>
            <w:pPr>
              <w:spacing w:line="240" w:lineRule="auto"/>
              <w:jc w:val="left"/>
            </w:pPr>
            <w:r>
              <w:rPr>
                <w:rFonts w:ascii="宋体" w:eastAsia="宋体" w:hAnsi="宋体" w:cs="宋体"/>
                <w:b w:val="0"/>
              </w:rPr>
              <w:t>2025年10月30日</w:t>
            </w:r>
          </w:p>
        </w:tc>
      </w:tr>
      <w:tr>
        <w:tblPrEx>
          <w:tblW w:w="5000" w:type="pct"/>
        </w:tblPrEx>
        <w:tc>
          <w:tcPr>
            <w:tcW w:w="1923" w:type="pct"/>
            <w:vAlign w:val="center"/>
          </w:tcPr>
          <w:p>
            <w:pPr>
              <w:spacing w:line="240" w:lineRule="auto"/>
              <w:jc w:val="left"/>
            </w:pPr>
            <w:r>
              <w:rPr>
                <w:rFonts w:ascii="宋体" w:eastAsia="宋体" w:hAnsi="宋体" w:cs="宋体"/>
                <w:b w:val="0"/>
              </w:rPr>
              <w:t>报告期末基金份额总额</w:t>
            </w:r>
          </w:p>
        </w:tc>
        <w:tc>
          <w:tcPr>
            <w:tcW w:w="0" w:type="dxa"/>
            <w:gridSpan w:val="2"/>
            <w:vAlign w:val="center"/>
          </w:tcPr>
          <w:p>
            <w:pPr>
              <w:spacing w:line="240" w:lineRule="auto"/>
              <w:jc w:val="left"/>
            </w:pPr>
            <w:r>
              <w:rPr>
                <w:rFonts w:ascii="宋体" w:eastAsia="宋体" w:hAnsi="宋体" w:cs="宋体"/>
                <w:b w:val="0"/>
              </w:rPr>
              <w:t>529,614,777.63份</w:t>
            </w:r>
          </w:p>
        </w:tc>
      </w:tr>
      <w:tr>
        <w:tblPrEx>
          <w:tblW w:w="5000" w:type="pct"/>
        </w:tblPrEx>
        <w:tc>
          <w:tcPr>
            <w:tcW w:w="1923" w:type="pct"/>
            <w:vAlign w:val="center"/>
          </w:tcPr>
          <w:p>
            <w:pPr>
              <w:spacing w:line="240" w:lineRule="auto"/>
              <w:jc w:val="left"/>
            </w:pPr>
            <w:r>
              <w:rPr>
                <w:rFonts w:ascii="宋体" w:eastAsia="宋体" w:hAnsi="宋体" w:cs="宋体"/>
                <w:b w:val="0"/>
              </w:rPr>
              <w:t>投资目标</w:t>
            </w:r>
          </w:p>
        </w:tc>
        <w:tc>
          <w:tcPr>
            <w:tcW w:w="2592" w:type="pct"/>
            <w:gridSpan w:val="2"/>
            <w:vAlign w:val="center"/>
          </w:tcPr>
          <w:p>
            <w:pPr>
              <w:spacing w:line="240" w:lineRule="auto"/>
              <w:jc w:val="left"/>
            </w:pPr>
            <w:r>
              <w:rPr>
                <w:rFonts w:ascii="宋体" w:eastAsia="宋体" w:hAnsi="宋体" w:cs="宋体"/>
                <w:b w:val="0"/>
              </w:rPr>
              <w:t>本基金主要投资科技主题相关的上市公司股票，采用积极主动的投资策略，在有效控制投资组合风险的前提下，力争获取超越业绩比较基准的投资回报，实现基金资产的长期稳健增值。</w:t>
            </w:r>
          </w:p>
        </w:tc>
      </w:tr>
      <w:tr>
        <w:tblPrEx>
          <w:tblW w:w="5000" w:type="pct"/>
        </w:tblPrEx>
        <w:tc>
          <w:tcPr>
            <w:tcW w:w="1923" w:type="pct"/>
            <w:vAlign w:val="center"/>
          </w:tcPr>
          <w:p>
            <w:pPr>
              <w:spacing w:line="240" w:lineRule="auto"/>
              <w:jc w:val="left"/>
            </w:pPr>
            <w:r>
              <w:rPr>
                <w:rFonts w:ascii="宋体" w:eastAsia="宋体" w:hAnsi="宋体" w:cs="宋体"/>
                <w:b w:val="0"/>
              </w:rPr>
              <w:t>投资策略</w:t>
            </w:r>
          </w:p>
        </w:tc>
        <w:tc>
          <w:tcPr>
            <w:tcW w:w="0" w:type="dxa"/>
            <w:gridSpan w:val="2"/>
            <w:vAlign w:val="center"/>
          </w:tcPr>
          <w:p>
            <w:pPr>
              <w:spacing w:line="240" w:lineRule="auto"/>
              <w:jc w:val="left"/>
            </w:pPr>
            <w:r>
              <w:rPr>
                <w:rFonts w:ascii="宋体" w:eastAsia="宋体" w:hAnsi="宋体" w:cs="宋体"/>
                <w:b w:val="0"/>
              </w:rPr>
              <w:t>本基金的投资策略主要有以下11个方面内容：</w:t>
              <w:br/>
            </w:r>
            <w:r>
              <w:rPr>
                <w:rFonts w:ascii="宋体" w:eastAsia="宋体" w:hAnsi="宋体" w:cs="宋体"/>
                <w:b w:val="0"/>
              </w:rPr>
              <w:t>1、大类资产配置策略</w:t>
              <w:br/>
            </w:r>
            <w:r>
              <w:rPr>
                <w:rFonts w:ascii="宋体" w:eastAsia="宋体" w:hAnsi="宋体" w:cs="宋体"/>
                <w:b w:val="0"/>
              </w:rPr>
              <w:t>本基金将根据国内外宏观经济情况、国内外证券市场估值水平阶段性不断调整权益类资产和其他资产之间的大类资产配置比例。</w:t>
              <w:br/>
            </w:r>
            <w:r>
              <w:rPr>
                <w:rFonts w:ascii="宋体" w:eastAsia="宋体" w:hAnsi="宋体" w:cs="宋体"/>
                <w:b w:val="0"/>
              </w:rPr>
              <w:t>2、股票投资策略</w:t>
              <w:br/>
            </w:r>
            <w:r>
              <w:rPr>
                <w:rFonts w:ascii="宋体" w:eastAsia="宋体" w:hAnsi="宋体" w:cs="宋体"/>
                <w:b w:val="0"/>
              </w:rPr>
              <w:t>本基金通过定性与定量相结合的积极投资策略，自下而上地精选价值被低估并且具有良好基本面的符合科技主题的股票构建投资组合。</w:t>
              <w:br/>
            </w:r>
            <w:r>
              <w:rPr>
                <w:rFonts w:ascii="宋体" w:eastAsia="宋体" w:hAnsi="宋体" w:cs="宋体"/>
                <w:b w:val="0"/>
              </w:rPr>
              <w:t>3、存托凭证投资策略</w:t>
              <w:br/>
            </w:r>
            <w:r>
              <w:rPr>
                <w:rFonts w:ascii="宋体" w:eastAsia="宋体" w:hAnsi="宋体" w:cs="宋体"/>
                <w:b w:val="0"/>
              </w:rPr>
              <w:t>本基金在深入研究的基础上，通过定性分析和定量分析相结合的方式，选择投资价值高的存托凭证进行投资。</w:t>
              <w:br/>
            </w:r>
            <w:r>
              <w:rPr>
                <w:rFonts w:ascii="宋体" w:eastAsia="宋体" w:hAnsi="宋体" w:cs="宋体"/>
                <w:b w:val="0"/>
              </w:rPr>
              <w:t>4、债券类资产投资策略</w:t>
              <w:br/>
            </w:r>
            <w:r>
              <w:rPr>
                <w:rFonts w:ascii="宋体" w:eastAsia="宋体" w:hAnsi="宋体" w:cs="宋体"/>
                <w:b w:val="0"/>
              </w:rPr>
              <w:t>本基金的债券投资将采取较为积极的策略，通过利率预测分析、收益率曲线变动分析、债券信用分析、收益率利差分析等，研判各类属固定收益类资产的风险趋势与收益预期，精选个券进行投资。</w:t>
              <w:br/>
            </w:r>
            <w:r>
              <w:rPr>
                <w:rFonts w:ascii="宋体" w:eastAsia="宋体" w:hAnsi="宋体" w:cs="宋体"/>
                <w:b w:val="0"/>
              </w:rPr>
              <w:t xml:space="preserve">5、港股投资策略 </w:t>
              <w:br/>
            </w:r>
            <w:r>
              <w:rPr>
                <w:rFonts w:ascii="宋体" w:eastAsia="宋体" w:hAnsi="宋体" w:cs="宋体"/>
                <w:b w:val="0"/>
              </w:rPr>
              <w:t>本基金将通过内地与香港股票市场交易互联互通机制投资于香港股票市场，不使用合格境内机构投资者(QDII)境外投资额度进行境外投资。</w:t>
              <w:br/>
            </w:r>
            <w:r>
              <w:rPr>
                <w:rFonts w:ascii="宋体" w:eastAsia="宋体" w:hAnsi="宋体" w:cs="宋体"/>
                <w:b w:val="0"/>
              </w:rPr>
              <w:t>6、可转债（含分离交易可转债）及可交换债券投资策略</w:t>
              <w:br/>
            </w:r>
            <w:r>
              <w:rPr>
                <w:rFonts w:ascii="宋体" w:eastAsia="宋体" w:hAnsi="宋体" w:cs="宋体"/>
                <w:b w:val="0"/>
              </w:rPr>
              <w:t>对于可转换债券的投资，本基金在评估其偿债能力的同时兼顾公司的成长性，以期通过转换条款分享因股价上升带来的高收益。</w:t>
              <w:br/>
            </w:r>
            <w:r>
              <w:rPr>
                <w:rFonts w:ascii="宋体" w:eastAsia="宋体" w:hAnsi="宋体" w:cs="宋体"/>
                <w:b w:val="0"/>
              </w:rPr>
              <w:t>7、股指期货投资策略</w:t>
              <w:br/>
            </w:r>
            <w:r>
              <w:rPr>
                <w:rFonts w:ascii="宋体" w:eastAsia="宋体" w:hAnsi="宋体" w:cs="宋体"/>
                <w:b w:val="0"/>
              </w:rPr>
              <w:t>本基金将按照风险管理的原则，以套期保值为主要目的，参与股指期货的投资。此外，本基金还将运用股指期货来管理特殊情况下的流动性风险，如预期大额申购赎回、大量分红等。</w:t>
              <w:br/>
            </w:r>
            <w:r>
              <w:rPr>
                <w:rFonts w:ascii="宋体" w:eastAsia="宋体" w:hAnsi="宋体" w:cs="宋体"/>
                <w:b w:val="0"/>
              </w:rPr>
              <w:t>8、融资业务投资策略</w:t>
              <w:br/>
            </w:r>
            <w:r>
              <w:rPr>
                <w:rFonts w:ascii="宋体" w:eastAsia="宋体" w:hAnsi="宋体" w:cs="宋体"/>
                <w:b w:val="0"/>
              </w:rPr>
              <w:t>本基金如参与融资业务，将综合考虑融资成本、保证金比例、冲抵保证金证券折算率、信用资质等条件选择合适的交易对手方。同时，在保障基金投资组合充足流动性以及有效控制融资杠杆风险的前提下，确定融资比例。</w:t>
              <w:br/>
            </w:r>
            <w:r>
              <w:rPr>
                <w:rFonts w:ascii="宋体" w:eastAsia="宋体" w:hAnsi="宋体" w:cs="宋体"/>
                <w:b w:val="0"/>
              </w:rPr>
              <w:t>9、股票期权投资策略</w:t>
              <w:br/>
            </w:r>
            <w:r>
              <w:rPr>
                <w:rFonts w:ascii="宋体" w:eastAsia="宋体" w:hAnsi="宋体" w:cs="宋体"/>
                <w:b w:val="0"/>
              </w:rPr>
              <w:t>本基金以套期保值为主要目的参与股票期权交易，结合投资目标、比例限制、风险收益特征以及法律法规的相关限定和要求，确定参与股票期权交易的投资时机和投资比例。</w:t>
              <w:br/>
            </w:r>
            <w:r>
              <w:rPr>
                <w:rFonts w:ascii="宋体" w:eastAsia="宋体" w:hAnsi="宋体" w:cs="宋体"/>
                <w:b w:val="0"/>
              </w:rPr>
              <w:t>10、国债期货投资策略</w:t>
              <w:br/>
            </w:r>
            <w:r>
              <w:rPr>
                <w:rFonts w:ascii="宋体" w:eastAsia="宋体" w:hAnsi="宋体" w:cs="宋体"/>
                <w:b w:val="0"/>
              </w:rPr>
              <w:t>本基金以套期保值为主要目的，参与国债期货的投资，管理市场风险，故国债期货空头的合约价值主要与债券组合的多头价值相对应。</w:t>
              <w:br/>
            </w:r>
            <w:r>
              <w:rPr>
                <w:rFonts w:ascii="宋体" w:eastAsia="宋体" w:hAnsi="宋体" w:cs="宋体"/>
                <w:b w:val="0"/>
              </w:rPr>
              <w:t>11、资产支持证券投资策略</w:t>
              <w:br/>
            </w:r>
            <w:r>
              <w:rPr>
                <w:rFonts w:ascii="宋体" w:eastAsia="宋体" w:hAnsi="宋体" w:cs="宋体"/>
                <w:b w:val="0"/>
              </w:rPr>
              <w:t>本基金将综合运用久期管理、收益率曲线、个券选择以及把握市场交易机会等积极策略，在严格控制风险的情况下，结合信用研究和流动性管理，选择风险调整后收益高的品种进行投资，以期获得长期稳定收益。</w:t>
            </w:r>
          </w:p>
        </w:tc>
      </w:tr>
      <w:tr>
        <w:tblPrEx>
          <w:tblW w:w="5000" w:type="pct"/>
        </w:tblPrEx>
        <w:tc>
          <w:tcPr>
            <w:tcW w:w="1923" w:type="pct"/>
            <w:vAlign w:val="center"/>
          </w:tcPr>
          <w:p>
            <w:pPr>
              <w:spacing w:line="240" w:lineRule="auto"/>
              <w:jc w:val="left"/>
            </w:pPr>
            <w:r>
              <w:rPr>
                <w:rFonts w:ascii="宋体" w:eastAsia="宋体" w:hAnsi="宋体" w:cs="宋体"/>
                <w:b w:val="0"/>
              </w:rPr>
              <w:t>业绩比较基准</w:t>
            </w:r>
          </w:p>
        </w:tc>
        <w:tc>
          <w:tcPr>
            <w:tcW w:w="0" w:type="dxa"/>
            <w:gridSpan w:val="2"/>
            <w:vAlign w:val="center"/>
          </w:tcPr>
          <w:p>
            <w:pPr>
              <w:spacing w:line="240" w:lineRule="auto"/>
              <w:jc w:val="left"/>
            </w:pPr>
            <w:r>
              <w:rPr>
                <w:rFonts w:ascii="宋体" w:eastAsia="宋体" w:hAnsi="宋体" w:cs="宋体"/>
                <w:b w:val="0"/>
              </w:rPr>
              <w:t>中国战略新兴产业成份指数收益率*70%+中债-综合指数(全价)收益率*20%+恒生科技指数收益率(按估值汇率折算)*10%</w:t>
            </w:r>
          </w:p>
        </w:tc>
      </w:tr>
      <w:tr>
        <w:tblPrEx>
          <w:tblW w:w="5000" w:type="pct"/>
        </w:tblPrEx>
        <w:tc>
          <w:tcPr>
            <w:tcW w:w="1923" w:type="pct"/>
            <w:vAlign w:val="center"/>
          </w:tcPr>
          <w:p>
            <w:pPr>
              <w:spacing w:line="240" w:lineRule="auto"/>
              <w:jc w:val="left"/>
            </w:pPr>
            <w:r>
              <w:rPr>
                <w:rFonts w:ascii="宋体" w:eastAsia="宋体" w:hAnsi="宋体" w:cs="宋体"/>
                <w:b w:val="0"/>
              </w:rPr>
              <w:t>风险收益特征</w:t>
            </w:r>
          </w:p>
        </w:tc>
        <w:tc>
          <w:tcPr>
            <w:tcW w:w="2592" w:type="pct"/>
            <w:gridSpan w:val="2"/>
            <w:vAlign w:val="center"/>
          </w:tcPr>
          <w:p>
            <w:pPr>
              <w:spacing w:line="240" w:lineRule="auto"/>
              <w:jc w:val="left"/>
            </w:pPr>
            <w:r>
              <w:rPr>
                <w:rFonts w:ascii="宋体" w:eastAsia="宋体" w:hAnsi="宋体" w:cs="宋体"/>
                <w:b w:val="0"/>
              </w:rPr>
              <w:t>本基金为混合型基金，其预期收益和风险高于货币型基金、债券型基金。本基金如果投资港股通标的股票，需承担汇率风险以及境外市场的风险。</w:t>
            </w:r>
          </w:p>
        </w:tc>
      </w:tr>
      <w:tr>
        <w:tblPrEx>
          <w:tblW w:w="5000" w:type="pct"/>
        </w:tblPrEx>
        <w:tc>
          <w:tcPr>
            <w:tcW w:w="1923" w:type="pct"/>
            <w:vAlign w:val="center"/>
          </w:tcPr>
          <w:p>
            <w:pPr>
              <w:spacing w:line="240" w:lineRule="auto"/>
              <w:jc w:val="left"/>
            </w:pPr>
            <w:r>
              <w:rPr>
                <w:rFonts w:ascii="宋体" w:eastAsia="宋体" w:hAnsi="宋体" w:cs="宋体"/>
                <w:b w:val="0"/>
              </w:rPr>
              <w:t>基金管理人</w:t>
            </w:r>
          </w:p>
        </w:tc>
        <w:tc>
          <w:tcPr>
            <w:tcW w:w="0" w:type="dxa"/>
            <w:gridSpan w:val="2"/>
            <w:vAlign w:val="center"/>
          </w:tcPr>
          <w:p>
            <w:pPr>
              <w:spacing w:line="240" w:lineRule="auto"/>
              <w:jc w:val="left"/>
            </w:pPr>
            <w:r>
              <w:rPr>
                <w:rFonts w:ascii="宋体" w:eastAsia="宋体" w:hAnsi="宋体" w:cs="宋体"/>
                <w:b w:val="0"/>
              </w:rPr>
              <w:t>东方阿尔法基金管理有限公司</w:t>
            </w:r>
          </w:p>
        </w:tc>
      </w:tr>
      <w:tr>
        <w:tblPrEx>
          <w:tblW w:w="5000" w:type="pct"/>
        </w:tblPrEx>
        <w:tc>
          <w:tcPr>
            <w:tcW w:w="1923" w:type="pct"/>
            <w:vAlign w:val="center"/>
          </w:tcPr>
          <w:p>
            <w:pPr>
              <w:spacing w:line="240" w:lineRule="auto"/>
              <w:jc w:val="left"/>
            </w:pPr>
            <w:r>
              <w:rPr>
                <w:rFonts w:ascii="宋体" w:eastAsia="宋体" w:hAnsi="宋体" w:cs="宋体"/>
                <w:b w:val="0"/>
              </w:rPr>
              <w:t>基金托管人</w:t>
            </w:r>
          </w:p>
        </w:tc>
        <w:tc>
          <w:tcPr>
            <w:tcW w:w="0" w:type="dxa"/>
            <w:gridSpan w:val="2"/>
            <w:vAlign w:val="center"/>
          </w:tcPr>
          <w:p>
            <w:pPr>
              <w:spacing w:line="240" w:lineRule="auto"/>
              <w:jc w:val="left"/>
            </w:pPr>
            <w:r>
              <w:rPr>
                <w:rFonts w:ascii="宋体" w:eastAsia="宋体" w:hAnsi="宋体" w:cs="宋体"/>
                <w:b w:val="0"/>
              </w:rPr>
              <w:t>招商银行股份有限公司</w:t>
            </w:r>
          </w:p>
        </w:tc>
      </w:tr>
      <w:tr>
        <w:tblPrEx>
          <w:tblW w:w="5000" w:type="pct"/>
        </w:tblPrEx>
        <w:tc>
          <w:tcPr>
            <w:tcW w:w="0" w:type="dxa"/>
            <w:vAlign w:val="center"/>
          </w:tcPr>
          <w:p>
            <w:pPr>
              <w:spacing w:line="240" w:lineRule="auto"/>
              <w:jc w:val="left"/>
            </w:pPr>
            <w:r>
              <w:rPr>
                <w:rFonts w:ascii="宋体" w:eastAsia="宋体" w:hAnsi="宋体" w:cs="宋体"/>
                <w:b w:val="0"/>
              </w:rPr>
              <w:t>下属分级基金的基金简称</w:t>
            </w:r>
          </w:p>
        </w:tc>
        <w:tc>
          <w:tcPr>
            <w:tcW w:w="1500" w:type="pct"/>
            <w:vAlign w:val="center"/>
          </w:tcPr>
          <w:p>
            <w:pPr>
              <w:spacing w:line="240" w:lineRule="auto"/>
              <w:jc w:val="left"/>
            </w:pPr>
            <w:r>
              <w:rPr>
                <w:rFonts w:ascii="宋体" w:eastAsia="宋体" w:hAnsi="宋体" w:cs="宋体"/>
                <w:b w:val="0"/>
              </w:rPr>
              <w:t>东方阿尔法科技甄选混合发起A</w:t>
            </w:r>
          </w:p>
        </w:tc>
        <w:tc>
          <w:tcPr>
            <w:tcW w:w="1500" w:type="pct"/>
            <w:vAlign w:val="center"/>
          </w:tcPr>
          <w:p>
            <w:pPr>
              <w:spacing w:line="240" w:lineRule="auto"/>
              <w:jc w:val="left"/>
            </w:pPr>
            <w:r>
              <w:rPr>
                <w:rFonts w:ascii="宋体" w:eastAsia="宋体" w:hAnsi="宋体" w:cs="宋体"/>
                <w:b w:val="0"/>
              </w:rPr>
              <w:t>东方阿尔法科技甄选混合发起C</w:t>
            </w:r>
          </w:p>
        </w:tc>
      </w:tr>
      <w:tr>
        <w:tblPrEx>
          <w:tblW w:w="5000" w:type="pct"/>
        </w:tblPrEx>
        <w:tc>
          <w:tcPr>
            <w:tcW w:w="0" w:type="dxa"/>
            <w:vAlign w:val="center"/>
          </w:tcPr>
          <w:p>
            <w:pPr>
              <w:spacing w:line="240" w:lineRule="auto"/>
              <w:jc w:val="left"/>
            </w:pPr>
            <w:r>
              <w:rPr>
                <w:rFonts w:ascii="宋体" w:eastAsia="宋体" w:hAnsi="宋体" w:cs="宋体"/>
                <w:b w:val="0"/>
              </w:rPr>
              <w:t>下属分级基金的交易代码</w:t>
            </w:r>
          </w:p>
        </w:tc>
        <w:tc>
          <w:tcPr>
            <w:tcW w:w="1500" w:type="pct"/>
            <w:vAlign w:val="center"/>
          </w:tcPr>
          <w:p>
            <w:pPr>
              <w:spacing w:line="240" w:lineRule="auto"/>
              <w:jc w:val="left"/>
            </w:pPr>
            <w:r>
              <w:rPr>
                <w:rFonts w:ascii="宋体" w:eastAsia="宋体" w:hAnsi="宋体" w:cs="宋体"/>
                <w:b w:val="0"/>
              </w:rPr>
              <w:t>025792</w:t>
            </w:r>
          </w:p>
        </w:tc>
        <w:tc>
          <w:tcPr>
            <w:tcW w:w="1500" w:type="pct"/>
            <w:vAlign w:val="center"/>
          </w:tcPr>
          <w:p>
            <w:pPr>
              <w:spacing w:line="240" w:lineRule="auto"/>
              <w:jc w:val="left"/>
            </w:pPr>
            <w:r>
              <w:rPr>
                <w:rFonts w:ascii="宋体" w:eastAsia="宋体" w:hAnsi="宋体" w:cs="宋体"/>
                <w:b w:val="0"/>
              </w:rPr>
              <w:t>025793</w:t>
            </w:r>
          </w:p>
        </w:tc>
      </w:tr>
      <w:tr>
        <w:tblPrEx>
          <w:tblW w:w="5000" w:type="pct"/>
        </w:tblPrEx>
        <w:tc>
          <w:tcPr>
            <w:tcW w:w="0" w:type="dxa"/>
            <w:vAlign w:val="center"/>
          </w:tcPr>
          <w:p>
            <w:pPr>
              <w:spacing w:line="240" w:lineRule="auto"/>
              <w:jc w:val="left"/>
            </w:pPr>
            <w:r>
              <w:rPr>
                <w:rFonts w:ascii="宋体" w:eastAsia="宋体" w:hAnsi="宋体" w:cs="宋体"/>
                <w:b w:val="0"/>
              </w:rPr>
              <w:t>报告期末下属分级基金的份额总额</w:t>
            </w:r>
          </w:p>
        </w:tc>
        <w:tc>
          <w:tcPr>
            <w:tcW w:w="1500" w:type="pct"/>
            <w:vAlign w:val="center"/>
          </w:tcPr>
          <w:p>
            <w:pPr>
              <w:spacing w:line="240" w:lineRule="auto"/>
              <w:jc w:val="left"/>
            </w:pPr>
            <w:r>
              <w:rPr>
                <w:rFonts w:ascii="宋体" w:eastAsia="宋体" w:hAnsi="宋体" w:cs="宋体"/>
                <w:b w:val="0"/>
              </w:rPr>
              <w:t>22,942,012.01份</w:t>
            </w:r>
          </w:p>
        </w:tc>
        <w:tc>
          <w:tcPr>
            <w:tcW w:w="1500" w:type="pct"/>
            <w:vAlign w:val="center"/>
          </w:tcPr>
          <w:p>
            <w:pPr>
              <w:spacing w:line="240" w:lineRule="auto"/>
              <w:jc w:val="left"/>
            </w:pPr>
            <w:r>
              <w:rPr>
                <w:rFonts w:ascii="宋体" w:eastAsia="宋体" w:hAnsi="宋体" w:cs="宋体"/>
                <w:b w:val="0"/>
              </w:rPr>
              <w:t>506,672,765.62份</w:t>
            </w:r>
          </w:p>
        </w:tc>
      </w:tr>
    </w:tbl>
    <w:p>
      <w:pPr>
        <w:pStyle w:val="Heading1"/>
        <w:jc w:val="center"/>
      </w:pPr>
      <w:r>
        <w:rPr>
          <w:rFonts w:ascii="宋体" w:eastAsia="宋体" w:hAnsi="宋体" w:cs="宋体"/>
        </w:rPr>
        <w:t>§3 主要财务指标和基金净值表现</w:t>
      </w:r>
    </w:p>
    <w:p>
      <w:pPr>
        <w:pStyle w:val="Heading2"/>
        <w:jc w:val="left"/>
      </w:pPr>
      <w:r>
        <w:rPr>
          <w:rFonts w:ascii="宋体" w:eastAsia="宋体" w:hAnsi="宋体" w:cs="宋体"/>
        </w:rPr>
        <w:t>3.1 主要财务指标</w:t>
      </w:r>
    </w:p>
    <w:p>
      <w:pPr>
        <w:jc w:val="right"/>
      </w:pPr>
      <w:r>
        <w:rPr>
          <w:rFonts w:ascii="宋体" w:eastAsia="宋体" w:hAnsi="宋体" w:cs="宋体"/>
          <w:b w:val="0"/>
        </w:rPr>
        <w:t>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23" w:type="pct"/>
            <w:vMerge w:val="restart"/>
            <w:shd w:val="clear" w:color="auto" w:fill="D9D9D9"/>
            <w:vAlign w:val="center"/>
          </w:tcPr>
          <w:p>
            <w:pPr>
              <w:spacing w:line="240" w:lineRule="auto"/>
              <w:jc w:val="center"/>
            </w:pPr>
            <w:r>
              <w:rPr>
                <w:rFonts w:ascii="宋体" w:eastAsia="宋体" w:hAnsi="宋体" w:cs="宋体"/>
                <w:b/>
              </w:rPr>
              <w:t>主要财务指标</w:t>
            </w:r>
          </w:p>
        </w:tc>
        <w:tc>
          <w:tcPr>
            <w:tcW w:w="3077" w:type="pct"/>
            <w:gridSpan w:val="2"/>
            <w:shd w:val="clear" w:color="auto" w:fill="D9D9D9"/>
            <w:vAlign w:val="center"/>
          </w:tcPr>
          <w:p>
            <w:pPr>
              <w:spacing w:line="240" w:lineRule="auto"/>
              <w:jc w:val="center"/>
            </w:pPr>
            <w:r>
              <w:rPr>
                <w:rFonts w:ascii="宋体" w:eastAsia="宋体" w:hAnsi="宋体" w:cs="宋体"/>
                <w:b w:val="0"/>
              </w:rPr>
              <w:t>报告期（2026年07月01日-2026年09月30日）</w:t>
            </w:r>
          </w:p>
        </w:tc>
      </w:tr>
      <w:tr>
        <w:tblPrEx>
          <w:tblW w:w="5000" w:type="pct"/>
        </w:tblPrEx>
        <w:tc>
          <w:tcPr>
            <w:vMerge/>
          </w:tcPr>
          <w:p/>
        </w:tc>
        <w:tc>
          <w:tcPr>
            <w:tcW w:w="1500" w:type="pct"/>
            <w:shd w:val="clear" w:color="auto" w:fill="D9D9D9"/>
            <w:vAlign w:val="center"/>
          </w:tcPr>
          <w:p>
            <w:pPr>
              <w:spacing w:line="240" w:lineRule="auto"/>
              <w:jc w:val="center"/>
            </w:pPr>
            <w:r>
              <w:rPr>
                <w:rFonts w:ascii="宋体" w:eastAsia="宋体" w:hAnsi="宋体" w:cs="宋体"/>
                <w:b w:val="0"/>
              </w:rPr>
              <w:t>东方阿尔法科技甄选混合发起A</w:t>
            </w:r>
          </w:p>
        </w:tc>
        <w:tc>
          <w:tcPr>
            <w:tcW w:w="1500" w:type="pct"/>
            <w:shd w:val="clear" w:color="auto" w:fill="D9D9D9"/>
            <w:vAlign w:val="center"/>
          </w:tcPr>
          <w:p>
            <w:pPr>
              <w:spacing w:line="240" w:lineRule="auto"/>
              <w:jc w:val="center"/>
            </w:pPr>
            <w:r>
              <w:rPr>
                <w:rFonts w:ascii="宋体" w:eastAsia="宋体" w:hAnsi="宋体" w:cs="宋体"/>
                <w:b w:val="0"/>
              </w:rPr>
              <w:t>东方阿尔法科技甄选混合发起C</w:t>
            </w:r>
          </w:p>
        </w:tc>
      </w:tr>
      <w:tr>
        <w:tblPrEx>
          <w:tblW w:w="5000" w:type="pct"/>
        </w:tblPrEx>
        <w:tc>
          <w:tcPr>
            <w:tcW w:w="0" w:type="dxa"/>
            <w:vAlign w:val="center"/>
          </w:tcPr>
          <w:p>
            <w:pPr>
              <w:spacing w:line="240" w:lineRule="auto"/>
              <w:jc w:val="left"/>
            </w:pPr>
            <w:r>
              <w:rPr>
                <w:rFonts w:ascii="宋体" w:eastAsia="宋体" w:hAnsi="宋体" w:cs="宋体"/>
                <w:b w:val="0"/>
              </w:rPr>
              <w:t>1.本期已实现收益</w:t>
            </w:r>
          </w:p>
        </w:tc>
        <w:tc>
          <w:tcPr>
            <w:tcW w:w="1500" w:type="pct"/>
            <w:vAlign w:val="center"/>
          </w:tcPr>
          <w:p>
            <w:pPr>
              <w:spacing w:line="240" w:lineRule="auto"/>
              <w:jc w:val="right"/>
            </w:pPr>
            <w:r>
              <w:rPr>
                <w:rFonts w:ascii="宋体" w:eastAsia="宋体" w:hAnsi="宋体" w:cs="宋体"/>
                <w:b w:val="0"/>
              </w:rPr>
              <w:t>-12,273,191.30</w:t>
            </w:r>
          </w:p>
        </w:tc>
        <w:tc>
          <w:tcPr>
            <w:tcW w:w="1500" w:type="pct"/>
            <w:vAlign w:val="center"/>
          </w:tcPr>
          <w:p>
            <w:pPr>
              <w:spacing w:line="240" w:lineRule="auto"/>
              <w:jc w:val="right"/>
            </w:pPr>
            <w:r>
              <w:rPr>
                <w:rFonts w:ascii="宋体" w:eastAsia="宋体" w:hAnsi="宋体" w:cs="宋体"/>
                <w:b w:val="0"/>
              </w:rPr>
              <w:t>-305,275,718.35</w:t>
            </w:r>
          </w:p>
        </w:tc>
      </w:tr>
      <w:tr>
        <w:tblPrEx>
          <w:tblW w:w="5000" w:type="pct"/>
        </w:tblPrEx>
        <w:tc>
          <w:tcPr>
            <w:tcW w:w="0" w:type="dxa"/>
            <w:vAlign w:val="center"/>
          </w:tcPr>
          <w:p>
            <w:pPr>
              <w:spacing w:line="240" w:lineRule="auto"/>
              <w:jc w:val="left"/>
            </w:pPr>
            <w:r>
              <w:rPr>
                <w:rFonts w:ascii="宋体" w:eastAsia="宋体" w:hAnsi="宋体" w:cs="宋体"/>
                <w:b w:val="0"/>
              </w:rPr>
              <w:t>2.本期利润</w:t>
            </w:r>
          </w:p>
        </w:tc>
        <w:tc>
          <w:tcPr>
            <w:tcW w:w="1500" w:type="pct"/>
            <w:vAlign w:val="center"/>
          </w:tcPr>
          <w:p>
            <w:pPr>
              <w:spacing w:line="240" w:lineRule="auto"/>
              <w:jc w:val="right"/>
            </w:pPr>
            <w:r>
              <w:rPr>
                <w:rFonts w:ascii="宋体" w:eastAsia="宋体" w:hAnsi="宋体" w:cs="宋体"/>
                <w:b w:val="0"/>
              </w:rPr>
              <w:t>-14,807,707.10</w:t>
            </w:r>
          </w:p>
        </w:tc>
        <w:tc>
          <w:tcPr>
            <w:tcW w:w="1500" w:type="pct"/>
            <w:vAlign w:val="center"/>
          </w:tcPr>
          <w:p>
            <w:pPr>
              <w:spacing w:line="240" w:lineRule="auto"/>
              <w:jc w:val="right"/>
            </w:pPr>
            <w:r>
              <w:rPr>
                <w:rFonts w:ascii="宋体" w:eastAsia="宋体" w:hAnsi="宋体" w:cs="宋体"/>
                <w:b w:val="0"/>
              </w:rPr>
              <w:t>-436,288,268.53</w:t>
            </w:r>
          </w:p>
        </w:tc>
      </w:tr>
      <w:tr>
        <w:tblPrEx>
          <w:tblW w:w="5000" w:type="pct"/>
        </w:tblPrEx>
        <w:tc>
          <w:tcPr>
            <w:tcW w:w="0" w:type="dxa"/>
            <w:vAlign w:val="center"/>
          </w:tcPr>
          <w:p>
            <w:pPr>
              <w:spacing w:line="240" w:lineRule="auto"/>
              <w:jc w:val="left"/>
            </w:pPr>
            <w:r>
              <w:rPr>
                <w:rFonts w:ascii="宋体" w:eastAsia="宋体" w:hAnsi="宋体" w:cs="宋体"/>
                <w:b w:val="0"/>
              </w:rPr>
              <w:t>3.加权平均基金份额本期利润</w:t>
            </w:r>
          </w:p>
        </w:tc>
        <w:tc>
          <w:tcPr>
            <w:tcW w:w="1500" w:type="pct"/>
            <w:vAlign w:val="center"/>
          </w:tcPr>
          <w:p>
            <w:pPr>
              <w:spacing w:line="240" w:lineRule="auto"/>
              <w:jc w:val="right"/>
            </w:pPr>
            <w:r>
              <w:rPr>
                <w:rFonts w:ascii="宋体" w:eastAsia="宋体" w:hAnsi="宋体" w:cs="宋体"/>
                <w:b w:val="0"/>
              </w:rPr>
              <w:t>-0.6718</w:t>
            </w:r>
          </w:p>
        </w:tc>
        <w:tc>
          <w:tcPr>
            <w:tcW w:w="1500" w:type="pct"/>
            <w:vAlign w:val="center"/>
          </w:tcPr>
          <w:p>
            <w:pPr>
              <w:spacing w:line="240" w:lineRule="auto"/>
              <w:jc w:val="right"/>
            </w:pPr>
            <w:r>
              <w:rPr>
                <w:rFonts w:ascii="宋体" w:eastAsia="宋体" w:hAnsi="宋体" w:cs="宋体"/>
                <w:b w:val="0"/>
              </w:rPr>
              <w:t>-0.7662</w:t>
            </w:r>
          </w:p>
        </w:tc>
      </w:tr>
      <w:tr>
        <w:tblPrEx>
          <w:tblW w:w="5000" w:type="pct"/>
        </w:tblPrEx>
        <w:tc>
          <w:tcPr>
            <w:tcW w:w="0" w:type="dxa"/>
            <w:vAlign w:val="center"/>
          </w:tcPr>
          <w:p>
            <w:pPr>
              <w:spacing w:line="240" w:lineRule="auto"/>
              <w:jc w:val="left"/>
            </w:pPr>
            <w:r>
              <w:rPr>
                <w:rFonts w:ascii="宋体" w:eastAsia="宋体" w:hAnsi="宋体" w:cs="宋体"/>
                <w:b w:val="0"/>
              </w:rPr>
              <w:t>4.期末基金资产净值</w:t>
            </w:r>
          </w:p>
        </w:tc>
        <w:tc>
          <w:tcPr>
            <w:tcW w:w="1500" w:type="pct"/>
            <w:vAlign w:val="center"/>
          </w:tcPr>
          <w:p>
            <w:pPr>
              <w:spacing w:line="240" w:lineRule="auto"/>
              <w:jc w:val="right"/>
            </w:pPr>
            <w:r>
              <w:rPr>
                <w:rFonts w:ascii="宋体" w:eastAsia="宋体" w:hAnsi="宋体" w:cs="宋体"/>
                <w:b w:val="0"/>
              </w:rPr>
              <w:t>26,685,405.22</w:t>
            </w:r>
          </w:p>
        </w:tc>
        <w:tc>
          <w:tcPr>
            <w:tcW w:w="1500" w:type="pct"/>
            <w:vAlign w:val="center"/>
          </w:tcPr>
          <w:p>
            <w:pPr>
              <w:spacing w:line="240" w:lineRule="auto"/>
              <w:jc w:val="right"/>
            </w:pPr>
            <w:r>
              <w:rPr>
                <w:rFonts w:ascii="宋体" w:eastAsia="宋体" w:hAnsi="宋体" w:cs="宋体"/>
                <w:b w:val="0"/>
              </w:rPr>
              <w:t>587,567,241.62</w:t>
            </w:r>
          </w:p>
        </w:tc>
      </w:tr>
      <w:tr>
        <w:tblPrEx>
          <w:tblW w:w="5000" w:type="pct"/>
        </w:tblPrEx>
        <w:tc>
          <w:tcPr>
            <w:tcW w:w="0" w:type="dxa"/>
            <w:vAlign w:val="center"/>
          </w:tcPr>
          <w:p>
            <w:pPr>
              <w:spacing w:line="240" w:lineRule="auto"/>
              <w:jc w:val="left"/>
            </w:pPr>
            <w:r>
              <w:rPr>
                <w:rFonts w:ascii="宋体" w:eastAsia="宋体" w:hAnsi="宋体" w:cs="宋体"/>
                <w:b w:val="0"/>
              </w:rPr>
              <w:t>5.期末基金份额净值</w:t>
            </w:r>
          </w:p>
        </w:tc>
        <w:tc>
          <w:tcPr>
            <w:tcW w:w="1500" w:type="pct"/>
            <w:vAlign w:val="center"/>
          </w:tcPr>
          <w:p>
            <w:pPr>
              <w:spacing w:line="240" w:lineRule="auto"/>
              <w:jc w:val="right"/>
            </w:pPr>
            <w:r>
              <w:rPr>
                <w:rFonts w:ascii="宋体" w:eastAsia="宋体" w:hAnsi="宋体" w:cs="宋体"/>
                <w:b w:val="0"/>
              </w:rPr>
              <w:t>1.1632</w:t>
            </w:r>
          </w:p>
        </w:tc>
        <w:tc>
          <w:tcPr>
            <w:tcW w:w="1500" w:type="pct"/>
            <w:vAlign w:val="center"/>
          </w:tcPr>
          <w:p>
            <w:pPr>
              <w:spacing w:line="240" w:lineRule="auto"/>
              <w:jc w:val="right"/>
            </w:pPr>
            <w:r>
              <w:rPr>
                <w:rFonts w:ascii="宋体" w:eastAsia="宋体" w:hAnsi="宋体" w:cs="宋体"/>
                <w:b w:val="0"/>
              </w:rPr>
              <w:t>1.1597</w:t>
            </w:r>
          </w:p>
        </w:tc>
      </w:tr>
    </w:tbl>
    <w:p>
      <w:r>
        <w:rPr>
          <w:rFonts w:ascii="宋体" w:eastAsia="宋体" w:hAnsi="宋体" w:cs="宋体"/>
          <w:b w:val="0"/>
        </w:rPr>
        <w:t>注：1、本期已实现收益指基金本期利息收入、投资收益、其他收入(不含公允价值变动收益)扣除相关费用后的余额，本期利润为本期已实现收益加上本期公允价值变动收益。</w:t>
        <w:br/>
      </w:r>
      <w:r>
        <w:rPr>
          <w:rFonts w:ascii="宋体" w:eastAsia="宋体" w:hAnsi="宋体" w:cs="宋体"/>
          <w:b w:val="0"/>
        </w:rPr>
        <w:t>2、所述基金业绩指标不包括持有人认购或交易基金的各项费用，计入费用后实际收益水平要低于所列数字。</w:t>
      </w:r>
    </w:p>
    <w:p/>
    <w:p>
      <w:pPr>
        <w:pStyle w:val="Heading2"/>
        <w:jc w:val="left"/>
      </w:pPr>
      <w:r>
        <w:rPr>
          <w:rFonts w:ascii="宋体" w:eastAsia="宋体" w:hAnsi="宋体" w:cs="宋体"/>
        </w:rPr>
        <w:t>3.2 基金净值表现</w:t>
      </w:r>
    </w:p>
    <w:p>
      <w:pPr>
        <w:pStyle w:val="zhangjiep2"/>
      </w:pPr>
      <w:r>
        <w:rPr>
          <w:rStyle w:val="DefaultParagraphFont"/>
          <w:rFonts w:ascii="宋体" w:eastAsia="宋体" w:hAnsi="宋体" w:cs="宋体"/>
          <w:b/>
        </w:rPr>
        <w:t>3.2.1 基金份额净值增长率及其与同期业绩比较基准收益率的比较</w:t>
      </w:r>
    </w:p>
    <w:p>
      <w:pPr>
        <w:jc w:val="left"/>
      </w:pPr>
      <w:r>
        <w:rPr>
          <w:rFonts w:ascii="宋体" w:eastAsia="宋体" w:hAnsi="宋体" w:cs="宋体"/>
          <w:b/>
        </w:rPr>
        <w:t>东方阿尔法科技甄选混合发起A净值表现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-36.81%</w:t>
            </w:r>
          </w:p>
        </w:tc>
        <w:tc>
          <w:tcPr>
            <w:tcW w:w="0" w:type="dxa"/>
            <w:vAlign w:val="center"/>
          </w:tcPr>
          <w:p>
            <w:pPr>
              <w:spacing w:line="240" w:lineRule="auto"/>
              <w:jc w:val="right"/>
            </w:pPr>
            <w:r>
              <w:rPr>
                <w:rFonts w:ascii="宋体" w:eastAsia="宋体" w:hAnsi="宋体" w:cs="宋体"/>
                <w:b w:val="0"/>
              </w:rPr>
              <w:t>4.19%</w:t>
            </w:r>
          </w:p>
        </w:tc>
        <w:tc>
          <w:tcPr>
            <w:tcW w:w="0" w:type="dxa"/>
            <w:vAlign w:val="center"/>
          </w:tcPr>
          <w:p>
            <w:pPr>
              <w:spacing w:line="240" w:lineRule="auto"/>
              <w:jc w:val="right"/>
            </w:pPr>
            <w:r>
              <w:rPr>
                <w:rFonts w:ascii="宋体" w:eastAsia="宋体" w:hAnsi="宋体" w:cs="宋体"/>
                <w:b w:val="0"/>
              </w:rPr>
              <w:t>-21.67%</w:t>
            </w:r>
          </w:p>
        </w:tc>
        <w:tc>
          <w:tcPr>
            <w:tcW w:w="0" w:type="dxa"/>
            <w:vAlign w:val="center"/>
          </w:tcPr>
          <w:p>
            <w:pPr>
              <w:spacing w:line="240" w:lineRule="auto"/>
              <w:jc w:val="right"/>
            </w:pPr>
            <w:r>
              <w:rPr>
                <w:rFonts w:ascii="宋体" w:eastAsia="宋体" w:hAnsi="宋体" w:cs="宋体"/>
                <w:b w:val="0"/>
              </w:rPr>
              <w:t>2.23%</w:t>
            </w:r>
          </w:p>
        </w:tc>
        <w:tc>
          <w:tcPr>
            <w:tcW w:w="0" w:type="dxa"/>
            <w:vAlign w:val="center"/>
          </w:tcPr>
          <w:p>
            <w:pPr>
              <w:spacing w:line="240" w:lineRule="auto"/>
              <w:jc w:val="right"/>
            </w:pPr>
            <w:r>
              <w:rPr>
                <w:rFonts w:ascii="宋体" w:eastAsia="宋体" w:hAnsi="宋体" w:cs="宋体"/>
                <w:b w:val="0"/>
              </w:rPr>
              <w:t>-15.14%</w:t>
            </w:r>
          </w:p>
        </w:tc>
        <w:tc>
          <w:tcPr>
            <w:tcW w:w="0" w:type="dxa"/>
            <w:vAlign w:val="center"/>
          </w:tcPr>
          <w:p>
            <w:pPr>
              <w:spacing w:line="240" w:lineRule="auto"/>
              <w:jc w:val="right"/>
            </w:pPr>
            <w:r>
              <w:rPr>
                <w:rFonts w:ascii="宋体" w:eastAsia="宋体" w:hAnsi="宋体" w:cs="宋体"/>
                <w:b w:val="0"/>
              </w:rPr>
              <w:t>1.96%</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-10.05%</w:t>
            </w:r>
          </w:p>
        </w:tc>
        <w:tc>
          <w:tcPr>
            <w:tcW w:w="0" w:type="dxa"/>
            <w:vAlign w:val="center"/>
          </w:tcPr>
          <w:p>
            <w:pPr>
              <w:spacing w:line="240" w:lineRule="auto"/>
              <w:jc w:val="right"/>
            </w:pPr>
            <w:r>
              <w:rPr>
                <w:rFonts w:ascii="宋体" w:eastAsia="宋体" w:hAnsi="宋体" w:cs="宋体"/>
                <w:b w:val="0"/>
              </w:rPr>
              <w:t>3.79%</w:t>
            </w:r>
          </w:p>
        </w:tc>
        <w:tc>
          <w:tcPr>
            <w:tcW w:w="0" w:type="dxa"/>
            <w:vAlign w:val="center"/>
          </w:tcPr>
          <w:p>
            <w:pPr>
              <w:spacing w:line="240" w:lineRule="auto"/>
              <w:jc w:val="right"/>
            </w:pPr>
            <w:r>
              <w:rPr>
                <w:rFonts w:ascii="宋体" w:eastAsia="宋体" w:hAnsi="宋体" w:cs="宋体"/>
                <w:b w:val="0"/>
              </w:rPr>
              <w:t>9.97%</w:t>
            </w:r>
          </w:p>
        </w:tc>
        <w:tc>
          <w:tcPr>
            <w:tcW w:w="0" w:type="dxa"/>
            <w:vAlign w:val="center"/>
          </w:tcPr>
          <w:p>
            <w:pPr>
              <w:spacing w:line="240" w:lineRule="auto"/>
              <w:jc w:val="right"/>
            </w:pPr>
            <w:r>
              <w:rPr>
                <w:rFonts w:ascii="宋体" w:eastAsia="宋体" w:hAnsi="宋体" w:cs="宋体"/>
                <w:b w:val="0"/>
              </w:rPr>
              <w:t>2.08%</w:t>
            </w:r>
          </w:p>
        </w:tc>
        <w:tc>
          <w:tcPr>
            <w:tcW w:w="0" w:type="dxa"/>
            <w:vAlign w:val="center"/>
          </w:tcPr>
          <w:p>
            <w:pPr>
              <w:spacing w:line="240" w:lineRule="auto"/>
              <w:jc w:val="right"/>
            </w:pPr>
            <w:r>
              <w:rPr>
                <w:rFonts w:ascii="宋体" w:eastAsia="宋体" w:hAnsi="宋体" w:cs="宋体"/>
                <w:b w:val="0"/>
              </w:rPr>
              <w:t>-20.02%</w:t>
            </w:r>
          </w:p>
        </w:tc>
        <w:tc>
          <w:tcPr>
            <w:tcW w:w="0" w:type="dxa"/>
            <w:vAlign w:val="center"/>
          </w:tcPr>
          <w:p>
            <w:pPr>
              <w:spacing w:line="240" w:lineRule="auto"/>
              <w:jc w:val="right"/>
            </w:pPr>
            <w:r>
              <w:rPr>
                <w:rFonts w:ascii="宋体" w:eastAsia="宋体" w:hAnsi="宋体" w:cs="宋体"/>
                <w:b w:val="0"/>
              </w:rPr>
              <w:t>1.71%</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16.32%</w:t>
            </w:r>
          </w:p>
        </w:tc>
        <w:tc>
          <w:tcPr>
            <w:tcW w:w="0" w:type="dxa"/>
            <w:vAlign w:val="center"/>
          </w:tcPr>
          <w:p>
            <w:pPr>
              <w:spacing w:line="240" w:lineRule="auto"/>
              <w:jc w:val="right"/>
            </w:pPr>
            <w:r>
              <w:rPr>
                <w:rFonts w:ascii="宋体" w:eastAsia="宋体" w:hAnsi="宋体" w:cs="宋体"/>
                <w:b w:val="0"/>
              </w:rPr>
              <w:t>3.28%</w:t>
            </w:r>
          </w:p>
        </w:tc>
        <w:tc>
          <w:tcPr>
            <w:tcW w:w="0" w:type="dxa"/>
            <w:vAlign w:val="center"/>
          </w:tcPr>
          <w:p>
            <w:pPr>
              <w:spacing w:line="240" w:lineRule="auto"/>
              <w:jc w:val="right"/>
            </w:pPr>
            <w:r>
              <w:rPr>
                <w:rFonts w:ascii="宋体" w:eastAsia="宋体" w:hAnsi="宋体" w:cs="宋体"/>
                <w:b w:val="0"/>
              </w:rPr>
              <w:t>0.85%</w:t>
            </w:r>
          </w:p>
        </w:tc>
        <w:tc>
          <w:tcPr>
            <w:tcW w:w="0" w:type="dxa"/>
            <w:vAlign w:val="center"/>
          </w:tcPr>
          <w:p>
            <w:pPr>
              <w:spacing w:line="240" w:lineRule="auto"/>
              <w:jc w:val="right"/>
            </w:pPr>
            <w:r>
              <w:rPr>
                <w:rFonts w:ascii="宋体" w:eastAsia="宋体" w:hAnsi="宋体" w:cs="宋体"/>
                <w:b w:val="0"/>
              </w:rPr>
              <w:t>1.76%</w:t>
            </w:r>
          </w:p>
        </w:tc>
        <w:tc>
          <w:tcPr>
            <w:tcW w:w="0" w:type="dxa"/>
            <w:vAlign w:val="center"/>
          </w:tcPr>
          <w:p>
            <w:pPr>
              <w:spacing w:line="240" w:lineRule="auto"/>
              <w:jc w:val="right"/>
            </w:pPr>
            <w:r>
              <w:rPr>
                <w:rFonts w:ascii="宋体" w:eastAsia="宋体" w:hAnsi="宋体" w:cs="宋体"/>
                <w:b w:val="0"/>
              </w:rPr>
              <w:t>15.47%</w:t>
            </w:r>
          </w:p>
        </w:tc>
        <w:tc>
          <w:tcPr>
            <w:tcW w:w="0" w:type="dxa"/>
            <w:vAlign w:val="center"/>
          </w:tcPr>
          <w:p>
            <w:pPr>
              <w:spacing w:line="240" w:lineRule="auto"/>
              <w:jc w:val="right"/>
            </w:pPr>
            <w:r>
              <w:rPr>
                <w:rFonts w:ascii="宋体" w:eastAsia="宋体" w:hAnsi="宋体" w:cs="宋体"/>
                <w:b w:val="0"/>
              </w:rPr>
              <w:t>1.52%</w:t>
            </w:r>
          </w:p>
        </w:tc>
      </w:tr>
    </w:tbl>
    <w:p>
      <w:pPr>
        <w:jc w:val="left"/>
      </w:pPr>
      <w:r>
        <w:rPr>
          <w:rFonts w:ascii="宋体" w:eastAsia="宋体" w:hAnsi="宋体" w:cs="宋体"/>
          <w:b/>
        </w:rPr>
        <w:t>东方阿尔法科技甄选混合发起C净值表现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295"/>
        <w:gridCol w:w="1295"/>
        <w:gridCol w:w="1295"/>
        <w:gridCol w:w="1295"/>
        <w:gridCol w:w="1295"/>
        <w:gridCol w:w="1295"/>
        <w:gridCol w:w="1295"/>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 w:type="pct"/>
            <w:shd w:val="clear" w:color="auto" w:fill="D9D9D9"/>
            <w:vAlign w:val="center"/>
          </w:tcPr>
          <w:p>
            <w:pPr>
              <w:spacing w:line="240" w:lineRule="auto"/>
              <w:jc w:val="center"/>
            </w:pPr>
            <w:r>
              <w:rPr>
                <w:rFonts w:ascii="宋体" w:eastAsia="宋体" w:hAnsi="宋体" w:cs="宋体"/>
                <w:b w:val="0"/>
              </w:rPr>
              <w:t>阶段</w:t>
            </w:r>
          </w:p>
        </w:tc>
        <w:tc>
          <w:tcPr>
            <w:tcW w:w="692" w:type="pct"/>
            <w:shd w:val="clear" w:color="auto" w:fill="D9D9D9"/>
            <w:vAlign w:val="center"/>
          </w:tcPr>
          <w:p>
            <w:pPr>
              <w:spacing w:line="240" w:lineRule="auto"/>
              <w:jc w:val="center"/>
            </w:pPr>
            <w:r>
              <w:rPr>
                <w:rFonts w:ascii="宋体" w:eastAsia="宋体" w:hAnsi="宋体" w:cs="宋体"/>
                <w:b w:val="0"/>
              </w:rPr>
              <w:t>净值增长率①</w:t>
            </w:r>
          </w:p>
        </w:tc>
        <w:tc>
          <w:tcPr>
            <w:tcW w:w="692" w:type="pct"/>
            <w:shd w:val="clear" w:color="auto" w:fill="D9D9D9"/>
            <w:vAlign w:val="center"/>
          </w:tcPr>
          <w:p>
            <w:pPr>
              <w:spacing w:line="240" w:lineRule="auto"/>
              <w:jc w:val="center"/>
            </w:pPr>
            <w:r>
              <w:rPr>
                <w:rFonts w:ascii="宋体" w:eastAsia="宋体" w:hAnsi="宋体" w:cs="宋体"/>
                <w:b w:val="0"/>
              </w:rPr>
              <w:t>净值增长率标准差②</w:t>
            </w:r>
          </w:p>
        </w:tc>
        <w:tc>
          <w:tcPr>
            <w:tcW w:w="692" w:type="pct"/>
            <w:shd w:val="clear" w:color="auto" w:fill="D9D9D9"/>
            <w:vAlign w:val="center"/>
          </w:tcPr>
          <w:p>
            <w:pPr>
              <w:spacing w:line="240" w:lineRule="auto"/>
              <w:jc w:val="center"/>
            </w:pPr>
            <w:r>
              <w:rPr>
                <w:rFonts w:ascii="宋体" w:eastAsia="宋体" w:hAnsi="宋体" w:cs="宋体"/>
                <w:b w:val="0"/>
              </w:rPr>
              <w:t>业绩比较基准收益率③</w:t>
            </w:r>
          </w:p>
        </w:tc>
        <w:tc>
          <w:tcPr>
            <w:tcW w:w="692" w:type="pct"/>
            <w:shd w:val="clear" w:color="auto" w:fill="D9D9D9"/>
            <w:vAlign w:val="center"/>
          </w:tcPr>
          <w:p>
            <w:pPr>
              <w:spacing w:line="240" w:lineRule="auto"/>
              <w:jc w:val="center"/>
            </w:pPr>
            <w:r>
              <w:rPr>
                <w:rFonts w:ascii="宋体" w:eastAsia="宋体" w:hAnsi="宋体" w:cs="宋体"/>
                <w:b w:val="0"/>
              </w:rPr>
              <w:t>业绩比较基准收益率标准差④</w:t>
            </w:r>
          </w:p>
        </w:tc>
        <w:tc>
          <w:tcPr>
            <w:tcW w:w="692" w:type="pct"/>
            <w:shd w:val="clear" w:color="auto" w:fill="D9D9D9"/>
            <w:vAlign w:val="center"/>
          </w:tcPr>
          <w:p>
            <w:pPr>
              <w:spacing w:line="240" w:lineRule="auto"/>
              <w:jc w:val="center"/>
            </w:pPr>
            <w:r>
              <w:rPr>
                <w:rFonts w:ascii="宋体" w:eastAsia="宋体" w:hAnsi="宋体" w:cs="宋体"/>
                <w:b w:val="0"/>
              </w:rPr>
              <w:t>①-③</w:t>
            </w:r>
          </w:p>
        </w:tc>
        <w:tc>
          <w:tcPr>
            <w:tcW w:w="692" w:type="pct"/>
            <w:shd w:val="clear" w:color="auto" w:fill="D9D9D9"/>
            <w:vAlign w:val="center"/>
          </w:tcPr>
          <w:p>
            <w:pPr>
              <w:spacing w:line="240" w:lineRule="auto"/>
              <w:jc w:val="center"/>
            </w:pPr>
            <w:r>
              <w:rPr>
                <w:rFonts w:ascii="宋体" w:eastAsia="宋体" w:hAnsi="宋体" w:cs="宋体"/>
                <w:b w:val="0"/>
              </w:rPr>
              <w:t>②-④</w:t>
            </w:r>
          </w:p>
        </w:tc>
      </w:tr>
      <w:tr>
        <w:tblPrEx>
          <w:tblW w:w="5000" w:type="pct"/>
        </w:tblPrEx>
        <w:tc>
          <w:tcPr>
            <w:tcW w:w="0" w:type="dxa"/>
            <w:vAlign w:val="center"/>
          </w:tcPr>
          <w:p>
            <w:pPr>
              <w:spacing w:line="240" w:lineRule="auto"/>
              <w:jc w:val="left"/>
            </w:pPr>
            <w:r>
              <w:rPr>
                <w:rFonts w:ascii="宋体" w:eastAsia="宋体" w:hAnsi="宋体" w:cs="宋体"/>
                <w:b w:val="0"/>
              </w:rPr>
              <w:t>过去三个月</w:t>
            </w:r>
          </w:p>
        </w:tc>
        <w:tc>
          <w:tcPr>
            <w:tcW w:w="0" w:type="dxa"/>
            <w:vAlign w:val="center"/>
          </w:tcPr>
          <w:p>
            <w:pPr>
              <w:spacing w:line="240" w:lineRule="auto"/>
              <w:jc w:val="right"/>
            </w:pPr>
            <w:r>
              <w:rPr>
                <w:rFonts w:ascii="宋体" w:eastAsia="宋体" w:hAnsi="宋体" w:cs="宋体"/>
                <w:b w:val="0"/>
              </w:rPr>
              <w:t>-36.86%</w:t>
            </w:r>
          </w:p>
        </w:tc>
        <w:tc>
          <w:tcPr>
            <w:tcW w:w="0" w:type="dxa"/>
            <w:vAlign w:val="center"/>
          </w:tcPr>
          <w:p>
            <w:pPr>
              <w:spacing w:line="240" w:lineRule="auto"/>
              <w:jc w:val="right"/>
            </w:pPr>
            <w:r>
              <w:rPr>
                <w:rFonts w:ascii="宋体" w:eastAsia="宋体" w:hAnsi="宋体" w:cs="宋体"/>
                <w:b w:val="0"/>
              </w:rPr>
              <w:t>4.19%</w:t>
            </w:r>
          </w:p>
        </w:tc>
        <w:tc>
          <w:tcPr>
            <w:tcW w:w="0" w:type="dxa"/>
            <w:vAlign w:val="center"/>
          </w:tcPr>
          <w:p>
            <w:pPr>
              <w:spacing w:line="240" w:lineRule="auto"/>
              <w:jc w:val="right"/>
            </w:pPr>
            <w:r>
              <w:rPr>
                <w:rFonts w:ascii="宋体" w:eastAsia="宋体" w:hAnsi="宋体" w:cs="宋体"/>
                <w:b w:val="0"/>
              </w:rPr>
              <w:t>-21.67%</w:t>
            </w:r>
          </w:p>
        </w:tc>
        <w:tc>
          <w:tcPr>
            <w:tcW w:w="0" w:type="dxa"/>
            <w:vAlign w:val="center"/>
          </w:tcPr>
          <w:p>
            <w:pPr>
              <w:spacing w:line="240" w:lineRule="auto"/>
              <w:jc w:val="right"/>
            </w:pPr>
            <w:r>
              <w:rPr>
                <w:rFonts w:ascii="宋体" w:eastAsia="宋体" w:hAnsi="宋体" w:cs="宋体"/>
                <w:b w:val="0"/>
              </w:rPr>
              <w:t>2.23%</w:t>
            </w:r>
          </w:p>
        </w:tc>
        <w:tc>
          <w:tcPr>
            <w:tcW w:w="0" w:type="dxa"/>
            <w:vAlign w:val="center"/>
          </w:tcPr>
          <w:p>
            <w:pPr>
              <w:spacing w:line="240" w:lineRule="auto"/>
              <w:jc w:val="right"/>
            </w:pPr>
            <w:r>
              <w:rPr>
                <w:rFonts w:ascii="宋体" w:eastAsia="宋体" w:hAnsi="宋体" w:cs="宋体"/>
                <w:b w:val="0"/>
              </w:rPr>
              <w:t>-15.19%</w:t>
            </w:r>
          </w:p>
        </w:tc>
        <w:tc>
          <w:tcPr>
            <w:tcW w:w="0" w:type="dxa"/>
            <w:vAlign w:val="center"/>
          </w:tcPr>
          <w:p>
            <w:pPr>
              <w:spacing w:line="240" w:lineRule="auto"/>
              <w:jc w:val="right"/>
            </w:pPr>
            <w:r>
              <w:rPr>
                <w:rFonts w:ascii="宋体" w:eastAsia="宋体" w:hAnsi="宋体" w:cs="宋体"/>
                <w:b w:val="0"/>
              </w:rPr>
              <w:t>1.96%</w:t>
            </w:r>
          </w:p>
        </w:tc>
      </w:tr>
      <w:tr>
        <w:tblPrEx>
          <w:tblW w:w="5000" w:type="pct"/>
        </w:tblPrEx>
        <w:tc>
          <w:tcPr>
            <w:tcW w:w="0" w:type="dxa"/>
            <w:vAlign w:val="center"/>
          </w:tcPr>
          <w:p>
            <w:pPr>
              <w:spacing w:line="240" w:lineRule="auto"/>
              <w:jc w:val="left"/>
            </w:pPr>
            <w:r>
              <w:rPr>
                <w:rFonts w:ascii="宋体" w:eastAsia="宋体" w:hAnsi="宋体" w:cs="宋体"/>
                <w:b w:val="0"/>
              </w:rPr>
              <w:t>过去六个月</w:t>
            </w:r>
          </w:p>
        </w:tc>
        <w:tc>
          <w:tcPr>
            <w:tcW w:w="0" w:type="dxa"/>
            <w:vAlign w:val="center"/>
          </w:tcPr>
          <w:p>
            <w:pPr>
              <w:spacing w:line="240" w:lineRule="auto"/>
              <w:jc w:val="right"/>
            </w:pPr>
            <w:r>
              <w:rPr>
                <w:rFonts w:ascii="宋体" w:eastAsia="宋体" w:hAnsi="宋体" w:cs="宋体"/>
                <w:b w:val="0"/>
              </w:rPr>
              <w:t>-10.19%</w:t>
            </w:r>
          </w:p>
        </w:tc>
        <w:tc>
          <w:tcPr>
            <w:tcW w:w="0" w:type="dxa"/>
            <w:vAlign w:val="center"/>
          </w:tcPr>
          <w:p>
            <w:pPr>
              <w:spacing w:line="240" w:lineRule="auto"/>
              <w:jc w:val="right"/>
            </w:pPr>
            <w:r>
              <w:rPr>
                <w:rFonts w:ascii="宋体" w:eastAsia="宋体" w:hAnsi="宋体" w:cs="宋体"/>
                <w:b w:val="0"/>
              </w:rPr>
              <w:t>3.79%</w:t>
            </w:r>
          </w:p>
        </w:tc>
        <w:tc>
          <w:tcPr>
            <w:tcW w:w="0" w:type="dxa"/>
            <w:vAlign w:val="center"/>
          </w:tcPr>
          <w:p>
            <w:pPr>
              <w:spacing w:line="240" w:lineRule="auto"/>
              <w:jc w:val="right"/>
            </w:pPr>
            <w:r>
              <w:rPr>
                <w:rFonts w:ascii="宋体" w:eastAsia="宋体" w:hAnsi="宋体" w:cs="宋体"/>
                <w:b w:val="0"/>
              </w:rPr>
              <w:t>9.97%</w:t>
            </w:r>
          </w:p>
        </w:tc>
        <w:tc>
          <w:tcPr>
            <w:tcW w:w="0" w:type="dxa"/>
            <w:vAlign w:val="center"/>
          </w:tcPr>
          <w:p>
            <w:pPr>
              <w:spacing w:line="240" w:lineRule="auto"/>
              <w:jc w:val="right"/>
            </w:pPr>
            <w:r>
              <w:rPr>
                <w:rFonts w:ascii="宋体" w:eastAsia="宋体" w:hAnsi="宋体" w:cs="宋体"/>
                <w:b w:val="0"/>
              </w:rPr>
              <w:t>2.08%</w:t>
            </w:r>
          </w:p>
        </w:tc>
        <w:tc>
          <w:tcPr>
            <w:tcW w:w="0" w:type="dxa"/>
            <w:vAlign w:val="center"/>
          </w:tcPr>
          <w:p>
            <w:pPr>
              <w:spacing w:line="240" w:lineRule="auto"/>
              <w:jc w:val="right"/>
            </w:pPr>
            <w:r>
              <w:rPr>
                <w:rFonts w:ascii="宋体" w:eastAsia="宋体" w:hAnsi="宋体" w:cs="宋体"/>
                <w:b w:val="0"/>
              </w:rPr>
              <w:t>-20.16%</w:t>
            </w:r>
          </w:p>
        </w:tc>
        <w:tc>
          <w:tcPr>
            <w:tcW w:w="0" w:type="dxa"/>
            <w:vAlign w:val="center"/>
          </w:tcPr>
          <w:p>
            <w:pPr>
              <w:spacing w:line="240" w:lineRule="auto"/>
              <w:jc w:val="right"/>
            </w:pPr>
            <w:r>
              <w:rPr>
                <w:rFonts w:ascii="宋体" w:eastAsia="宋体" w:hAnsi="宋体" w:cs="宋体"/>
                <w:b w:val="0"/>
              </w:rPr>
              <w:t>1.71%</w:t>
            </w:r>
          </w:p>
        </w:tc>
      </w:tr>
      <w:tr>
        <w:tblPrEx>
          <w:tblW w:w="5000" w:type="pct"/>
        </w:tblPrEx>
        <w:tc>
          <w:tcPr>
            <w:tcW w:w="0" w:type="dxa"/>
            <w:vAlign w:val="center"/>
          </w:tcPr>
          <w:p>
            <w:pPr>
              <w:spacing w:line="240" w:lineRule="auto"/>
              <w:jc w:val="left"/>
            </w:pPr>
            <w:r>
              <w:rPr>
                <w:rFonts w:ascii="宋体" w:eastAsia="宋体" w:hAnsi="宋体" w:cs="宋体"/>
                <w:b w:val="0"/>
              </w:rPr>
              <w:t>自基金合同生效起至今</w:t>
            </w:r>
          </w:p>
        </w:tc>
        <w:tc>
          <w:tcPr>
            <w:tcW w:w="0" w:type="dxa"/>
            <w:vAlign w:val="center"/>
          </w:tcPr>
          <w:p>
            <w:pPr>
              <w:spacing w:line="240" w:lineRule="auto"/>
              <w:jc w:val="right"/>
            </w:pPr>
            <w:r>
              <w:rPr>
                <w:rFonts w:ascii="宋体" w:eastAsia="宋体" w:hAnsi="宋体" w:cs="宋体"/>
                <w:b w:val="0"/>
              </w:rPr>
              <w:t>15.97%</w:t>
            </w:r>
          </w:p>
        </w:tc>
        <w:tc>
          <w:tcPr>
            <w:tcW w:w="0" w:type="dxa"/>
            <w:vAlign w:val="center"/>
          </w:tcPr>
          <w:p>
            <w:pPr>
              <w:spacing w:line="240" w:lineRule="auto"/>
              <w:jc w:val="right"/>
            </w:pPr>
            <w:r>
              <w:rPr>
                <w:rFonts w:ascii="宋体" w:eastAsia="宋体" w:hAnsi="宋体" w:cs="宋体"/>
                <w:b w:val="0"/>
              </w:rPr>
              <w:t>3.28%</w:t>
            </w:r>
          </w:p>
        </w:tc>
        <w:tc>
          <w:tcPr>
            <w:tcW w:w="0" w:type="dxa"/>
            <w:vAlign w:val="center"/>
          </w:tcPr>
          <w:p>
            <w:pPr>
              <w:spacing w:line="240" w:lineRule="auto"/>
              <w:jc w:val="right"/>
            </w:pPr>
            <w:r>
              <w:rPr>
                <w:rFonts w:ascii="宋体" w:eastAsia="宋体" w:hAnsi="宋体" w:cs="宋体"/>
                <w:b w:val="0"/>
              </w:rPr>
              <w:t>0.85%</w:t>
            </w:r>
          </w:p>
        </w:tc>
        <w:tc>
          <w:tcPr>
            <w:tcW w:w="0" w:type="dxa"/>
            <w:vAlign w:val="center"/>
          </w:tcPr>
          <w:p>
            <w:pPr>
              <w:spacing w:line="240" w:lineRule="auto"/>
              <w:jc w:val="right"/>
            </w:pPr>
            <w:r>
              <w:rPr>
                <w:rFonts w:ascii="宋体" w:eastAsia="宋体" w:hAnsi="宋体" w:cs="宋体"/>
                <w:b w:val="0"/>
              </w:rPr>
              <w:t>1.76%</w:t>
            </w:r>
          </w:p>
        </w:tc>
        <w:tc>
          <w:tcPr>
            <w:tcW w:w="0" w:type="dxa"/>
            <w:vAlign w:val="center"/>
          </w:tcPr>
          <w:p>
            <w:pPr>
              <w:spacing w:line="240" w:lineRule="auto"/>
              <w:jc w:val="right"/>
            </w:pPr>
            <w:r>
              <w:rPr>
                <w:rFonts w:ascii="宋体" w:eastAsia="宋体" w:hAnsi="宋体" w:cs="宋体"/>
                <w:b w:val="0"/>
              </w:rPr>
              <w:t>15.12%</w:t>
            </w:r>
          </w:p>
        </w:tc>
        <w:tc>
          <w:tcPr>
            <w:tcW w:w="0" w:type="dxa"/>
            <w:vAlign w:val="center"/>
          </w:tcPr>
          <w:p>
            <w:pPr>
              <w:spacing w:line="240" w:lineRule="auto"/>
              <w:jc w:val="right"/>
            </w:pPr>
            <w:r>
              <w:rPr>
                <w:rFonts w:ascii="宋体" w:eastAsia="宋体" w:hAnsi="宋体" w:cs="宋体"/>
                <w:b w:val="0"/>
              </w:rPr>
              <w:t>1.52%</w:t>
            </w:r>
          </w:p>
        </w:tc>
      </w:tr>
    </w:tbl>
    <w:p>
      <w:r>
        <w:rPr>
          <w:rFonts w:ascii="宋体" w:eastAsia="宋体" w:hAnsi="宋体" w:cs="宋体"/>
          <w:b w:val="0"/>
        </w:rPr>
        <w:t>注：本基金业绩比较基准为：中国战略新兴产业成份指数收益率*70%+中债-综合指数(全价)收益率*20%+恒生科技指数收益率(按估值汇率折算)*10%</w:t>
      </w:r>
    </w:p>
    <w:p/>
    <w:p>
      <w:pPr>
        <w:pStyle w:val="zhangjiep2"/>
      </w:pPr>
      <w:r>
        <w:rPr>
          <w:rStyle w:val="DefaultParagraphFont"/>
          <w:rFonts w:ascii="宋体" w:eastAsia="宋体" w:hAnsi="宋体" w:cs="宋体"/>
          <w:b/>
        </w:rPr>
        <w:t>3.2.2 自基金合同生效以来基金累计净值增长率变动及其与同期业绩比较基准收益率变动的比较</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Pr>
        <w:pStyle w:val="Heading1"/>
        <w:jc w:val="center"/>
      </w:pPr>
      <w:r>
        <w:rPr>
          <w:rFonts w:ascii="宋体" w:eastAsia="宋体" w:hAnsi="宋体" w:cs="宋体"/>
        </w:rPr>
        <w:t>§4 管理人报告</w:t>
      </w:r>
    </w:p>
    <w:p>
      <w:pPr>
        <w:pStyle w:val="Heading2"/>
        <w:jc w:val="left"/>
      </w:pPr>
      <w:r>
        <w:rPr>
          <w:rFonts w:ascii="宋体" w:eastAsia="宋体" w:hAnsi="宋体" w:cs="宋体"/>
        </w:rPr>
        <w:t>4.1 基金经理（或基金经理小组）简介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62" w:type="pct"/>
            <w:vMerge w:val="restart"/>
            <w:shd w:val="clear" w:color="auto" w:fill="D9D9D9"/>
            <w:vAlign w:val="center"/>
          </w:tcPr>
          <w:p>
            <w:pPr>
              <w:spacing w:line="240" w:lineRule="auto"/>
              <w:jc w:val="center"/>
            </w:pPr>
            <w:r>
              <w:rPr>
                <w:rFonts w:ascii="宋体" w:eastAsia="宋体" w:hAnsi="宋体" w:cs="宋体"/>
                <w:b w:val="0"/>
              </w:rPr>
              <w:t>姓名</w:t>
            </w:r>
          </w:p>
        </w:tc>
        <w:tc>
          <w:tcPr>
            <w:tcW w:w="662" w:type="pct"/>
            <w:vMerge w:val="restart"/>
            <w:shd w:val="clear" w:color="auto" w:fill="D9D9D9"/>
            <w:vAlign w:val="center"/>
          </w:tcPr>
          <w:p>
            <w:pPr>
              <w:spacing w:line="240" w:lineRule="auto"/>
              <w:jc w:val="center"/>
            </w:pPr>
            <w:r>
              <w:rPr>
                <w:rFonts w:ascii="宋体" w:eastAsia="宋体" w:hAnsi="宋体" w:cs="宋体"/>
                <w:b w:val="0"/>
              </w:rPr>
              <w:t>职务</w:t>
            </w:r>
          </w:p>
        </w:tc>
        <w:tc>
          <w:tcPr>
            <w:tcW w:w="1615" w:type="pct"/>
            <w:gridSpan w:val="2"/>
            <w:shd w:val="clear" w:color="auto" w:fill="D9D9D9"/>
            <w:vAlign w:val="center"/>
          </w:tcPr>
          <w:p>
            <w:pPr>
              <w:spacing w:line="240" w:lineRule="auto"/>
              <w:jc w:val="center"/>
            </w:pPr>
            <w:r>
              <w:rPr>
                <w:rFonts w:ascii="宋体" w:eastAsia="宋体" w:hAnsi="宋体" w:cs="宋体"/>
                <w:b w:val="0"/>
              </w:rPr>
              <w:t>任本基金的基金经理期限</w:t>
            </w:r>
          </w:p>
        </w:tc>
        <w:tc>
          <w:tcPr>
            <w:tcW w:w="431" w:type="pct"/>
            <w:vMerge w:val="restart"/>
            <w:shd w:val="clear" w:color="auto" w:fill="D9D9D9"/>
            <w:vAlign w:val="center"/>
          </w:tcPr>
          <w:p>
            <w:pPr>
              <w:spacing w:line="240" w:lineRule="auto"/>
              <w:jc w:val="center"/>
            </w:pPr>
            <w:r>
              <w:rPr>
                <w:rFonts w:ascii="宋体" w:eastAsia="宋体" w:hAnsi="宋体" w:cs="宋体"/>
                <w:b w:val="0"/>
              </w:rPr>
              <w:t>证券从业年限</w:t>
            </w:r>
          </w:p>
        </w:tc>
        <w:tc>
          <w:tcPr>
            <w:tcW w:w="1631" w:type="pct"/>
            <w:vMerge w:val="restart"/>
            <w:shd w:val="clear" w:color="auto" w:fill="D9D9D9"/>
            <w:vAlign w:val="center"/>
          </w:tcPr>
          <w:p>
            <w:pPr>
              <w:spacing w:line="240" w:lineRule="auto"/>
              <w:jc w:val="center"/>
            </w:pPr>
            <w:r>
              <w:rPr>
                <w:rFonts w:ascii="宋体" w:eastAsia="宋体" w:hAnsi="宋体" w:cs="宋体"/>
                <w:b w:val="0"/>
              </w:rPr>
              <w:t>说明</w:t>
            </w:r>
          </w:p>
        </w:tc>
      </w:tr>
      <w:tr>
        <w:tblPrEx>
          <w:tblW w:w="5000" w:type="pct"/>
        </w:tblPrEx>
        <w:tc>
          <w:tcPr>
            <w:vMerge/>
          </w:tcPr>
          <w:p/>
        </w:tc>
        <w:tc>
          <w:tcPr>
            <w:vMerge/>
          </w:tcPr>
          <w:p/>
        </w:tc>
        <w:tc>
          <w:tcPr>
            <w:tcW w:w="808" w:type="pct"/>
            <w:shd w:val="clear" w:color="auto" w:fill="D9D9D9"/>
            <w:vAlign w:val="center"/>
          </w:tcPr>
          <w:p>
            <w:pPr>
              <w:spacing w:line="240" w:lineRule="auto"/>
              <w:jc w:val="center"/>
            </w:pPr>
            <w:r>
              <w:rPr>
                <w:rFonts w:ascii="宋体" w:eastAsia="宋体" w:hAnsi="宋体" w:cs="宋体"/>
                <w:b w:val="0"/>
              </w:rPr>
              <w:t>任职日期</w:t>
            </w:r>
          </w:p>
        </w:tc>
        <w:tc>
          <w:tcPr>
            <w:tcW w:w="808" w:type="pct"/>
            <w:shd w:val="clear" w:color="auto" w:fill="D9D9D9"/>
            <w:vAlign w:val="center"/>
          </w:tcPr>
          <w:p>
            <w:pPr>
              <w:spacing w:line="240" w:lineRule="auto"/>
              <w:jc w:val="center"/>
            </w:pPr>
            <w:r>
              <w:rPr>
                <w:rFonts w:ascii="宋体" w:eastAsia="宋体" w:hAnsi="宋体" w:cs="宋体"/>
                <w:b w:val="0"/>
              </w:rPr>
              <w:t>离任日期</w:t>
            </w:r>
          </w:p>
        </w:tc>
        <w:tc>
          <w:tcPr>
            <w:vMerge/>
          </w:tcPr>
          <w:p/>
        </w:tc>
        <w:tc>
          <w:tcPr>
            <w:vMerge/>
          </w:tcPr>
          <w:p/>
        </w:tc>
      </w:tr>
      <w:tr>
        <w:tblPrEx>
          <w:tblW w:w="5000" w:type="pct"/>
        </w:tblPrEx>
        <w:tc>
          <w:tcPr>
            <w:tcW w:w="0" w:type="dxa"/>
            <w:vAlign w:val="center"/>
          </w:tcPr>
          <w:p>
            <w:pPr>
              <w:spacing w:line="240" w:lineRule="auto"/>
              <w:jc w:val="left"/>
            </w:pPr>
            <w:r>
              <w:rPr>
                <w:rFonts w:ascii="宋体" w:eastAsia="宋体" w:hAnsi="宋体" w:cs="宋体"/>
                <w:b w:val="0"/>
              </w:rPr>
              <w:t>吴秋松</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2025-10-30</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10年</w:t>
            </w:r>
          </w:p>
        </w:tc>
        <w:tc>
          <w:tcPr>
            <w:tcW w:w="0" w:type="dxa"/>
            <w:vAlign w:val="center"/>
          </w:tcPr>
          <w:p>
            <w:pPr>
              <w:spacing w:line="240" w:lineRule="auto"/>
              <w:jc w:val="left"/>
            </w:pPr>
            <w:r>
              <w:rPr>
                <w:rFonts w:ascii="宋体" w:eastAsia="宋体" w:hAnsi="宋体" w:cs="宋体"/>
                <w:b w:val="0"/>
              </w:rPr>
              <w:t>吴秋松先生，哈尔滨工业大学工学学士， 复旦大学管理学硕士。多年证券行业投研经验，曾任职于君证资本管理有限公司、银泰证券有限责任公司。2017年10月至2024年9月，在红塔红土基金管理有限公司工作，历任研究部研究员 、投资部基金经理助理、基金经理。现担任东方阿尔法基金管理有限公司基金经理。</w:t>
            </w:r>
          </w:p>
        </w:tc>
      </w:tr>
      <w:tr>
        <w:tblPrEx>
          <w:tblW w:w="5000" w:type="pct"/>
        </w:tblPrEx>
        <w:tc>
          <w:tcPr>
            <w:tcW w:w="0" w:type="dxa"/>
            <w:vAlign w:val="center"/>
          </w:tcPr>
          <w:p>
            <w:pPr>
              <w:spacing w:line="240" w:lineRule="auto"/>
              <w:jc w:val="left"/>
            </w:pPr>
            <w:r>
              <w:rPr>
                <w:rFonts w:ascii="宋体" w:eastAsia="宋体" w:hAnsi="宋体" w:cs="宋体"/>
                <w:b w:val="0"/>
              </w:rPr>
              <w:t>程子晴</w:t>
            </w:r>
          </w:p>
        </w:tc>
        <w:tc>
          <w:tcPr>
            <w:tcW w:w="0" w:type="dxa"/>
            <w:vAlign w:val="center"/>
          </w:tcPr>
          <w:p>
            <w:pPr>
              <w:spacing w:line="240" w:lineRule="auto"/>
              <w:jc w:val="left"/>
            </w:pPr>
            <w:r>
              <w:rPr>
                <w:rFonts w:ascii="宋体" w:eastAsia="宋体" w:hAnsi="宋体" w:cs="宋体"/>
                <w:b w:val="0"/>
              </w:rPr>
              <w:t>基金经理</w:t>
            </w:r>
          </w:p>
        </w:tc>
        <w:tc>
          <w:tcPr>
            <w:tcW w:w="0" w:type="dxa"/>
            <w:vAlign w:val="center"/>
          </w:tcPr>
          <w:p>
            <w:pPr>
              <w:spacing w:line="240" w:lineRule="auto"/>
              <w:jc w:val="center"/>
            </w:pPr>
            <w:r>
              <w:rPr>
                <w:rFonts w:ascii="宋体" w:eastAsia="宋体" w:hAnsi="宋体" w:cs="宋体"/>
                <w:b w:val="0"/>
              </w:rPr>
              <w:t>2025-11-07</w:t>
            </w:r>
          </w:p>
        </w:tc>
        <w:tc>
          <w:tcPr>
            <w:tcW w:w="0" w:type="dxa"/>
            <w:vAlign w:val="center"/>
          </w:tcPr>
          <w:p>
            <w:pPr>
              <w:spacing w:line="240" w:lineRule="auto"/>
              <w:jc w:val="center"/>
            </w:pPr>
            <w:r>
              <w:rPr>
                <w:rFonts w:ascii="宋体" w:eastAsia="宋体" w:hAnsi="宋体" w:cs="宋体"/>
                <w:b w:val="0"/>
              </w:rPr>
              <w:t>-</w:t>
            </w:r>
          </w:p>
        </w:tc>
        <w:tc>
          <w:tcPr>
            <w:tcW w:w="0" w:type="dxa"/>
            <w:vAlign w:val="center"/>
          </w:tcPr>
          <w:p>
            <w:pPr>
              <w:spacing w:line="240" w:lineRule="auto"/>
              <w:jc w:val="center"/>
            </w:pPr>
            <w:r>
              <w:rPr>
                <w:rFonts w:ascii="宋体" w:eastAsia="宋体" w:hAnsi="宋体" w:cs="宋体"/>
                <w:b w:val="0"/>
              </w:rPr>
              <w:t>5年</w:t>
            </w:r>
          </w:p>
        </w:tc>
        <w:tc>
          <w:tcPr>
            <w:tcW w:w="0" w:type="dxa"/>
            <w:vAlign w:val="center"/>
          </w:tcPr>
          <w:p>
            <w:pPr>
              <w:spacing w:line="240" w:lineRule="auto"/>
              <w:jc w:val="left"/>
            </w:pPr>
            <w:r>
              <w:rPr>
                <w:rFonts w:ascii="宋体" w:eastAsia="宋体" w:hAnsi="宋体" w:cs="宋体"/>
                <w:b w:val="0"/>
              </w:rPr>
              <w:t>程子晴女士，复旦大学管理学学士，香港科技大学理学硕士，于2021年1月入职东方阿尔法基金管理有限公司，历任研究部研究员、基金经理助理。现担任东方阿尔法基金管理有限公司基金经理。</w:t>
            </w:r>
          </w:p>
        </w:tc>
      </w:tr>
    </w:tbl>
    <w:p>
      <w:r>
        <w:rPr>
          <w:rFonts w:ascii="宋体" w:eastAsia="宋体" w:hAnsi="宋体" w:cs="宋体"/>
          <w:b w:val="0"/>
        </w:rPr>
        <w:t>注：1.对基金的首任基金经理，其"任职日期"为基金合同生效日，"离任日期"为根据公告确定的解聘日期；对此后的非首任基金经理，"任职日期"和"离任日期"分别指公告确定的任职日期和离任日期。</w:t>
        <w:br/>
      </w:r>
      <w:r>
        <w:rPr>
          <w:rFonts w:ascii="宋体" w:eastAsia="宋体" w:hAnsi="宋体" w:cs="宋体"/>
          <w:b w:val="0"/>
        </w:rPr>
        <w:t>2.证券从业的含义遵从《证券基金经营机构董事、监事、高级管理人员及从业人员监督管理办法》的相关规定。</w:t>
      </w:r>
    </w:p>
    <w:p/>
    <w:p>
      <w:pPr>
        <w:pStyle w:val="zhangjiep2"/>
      </w:pPr>
      <w:r>
        <w:rPr>
          <w:rStyle w:val="DefaultParagraphFont"/>
          <w:rFonts w:ascii="宋体" w:eastAsia="宋体" w:hAnsi="宋体" w:cs="宋体"/>
          <w:b/>
        </w:rPr>
        <w:t>4.1.1 期末兼任私募资产管理计划投资经理的基金经理同时管理的产品情况</w:t>
      </w:r>
    </w:p>
    <w:p>
      <w:r>
        <w:rPr>
          <w:rFonts w:ascii="宋体" w:eastAsia="宋体" w:hAnsi="宋体" w:cs="宋体"/>
          <w:b w:val="0"/>
        </w:rPr>
        <w:t xml:space="preserve">    本基金基金经理不存在兼任私募资产管理计划的投资经理的情况。</w:t>
      </w:r>
    </w:p>
    <w:p/>
    <w:p>
      <w:pPr>
        <w:pStyle w:val="Heading2"/>
        <w:jc w:val="left"/>
      </w:pPr>
      <w:r>
        <w:rPr>
          <w:rFonts w:ascii="宋体" w:eastAsia="宋体" w:hAnsi="宋体" w:cs="宋体"/>
        </w:rPr>
        <w:t>4.2 管理人对报告期内本基金运作遵规守信情况的说明</w:t>
      </w:r>
    </w:p>
    <w:p>
      <w:r>
        <w:rPr>
          <w:rFonts w:ascii="宋体" w:eastAsia="宋体" w:hAnsi="宋体" w:cs="宋体"/>
          <w:b w:val="0"/>
        </w:rPr>
        <w:t xml:space="preserve">    本报告期内，本基金管理人严格遵守《中华人民共和国证券投资基金法》及其各项实施细则等有关法律法规、本基金《基金合同》和其他有关法律法规的规定，本着诚实信用、勤勉尽责的原则管理和运用基金资产，在严格控制风险的基础上，为基金份额持有人谋求最大利益。本报告期内，基金运作整体合法合规，无损害基金份额持有人利益的行为。</w:t>
      </w:r>
    </w:p>
    <w:p/>
    <w:p>
      <w:pPr>
        <w:pStyle w:val="Heading2"/>
        <w:jc w:val="left"/>
      </w:pPr>
      <w:r>
        <w:rPr>
          <w:rFonts w:ascii="宋体" w:eastAsia="宋体" w:hAnsi="宋体" w:cs="宋体"/>
        </w:rPr>
        <w:t>4.3 公平交易专项说明</w:t>
      </w:r>
    </w:p>
    <w:p>
      <w:pPr>
        <w:pStyle w:val="zhangjiep2"/>
      </w:pPr>
      <w:r>
        <w:rPr>
          <w:rStyle w:val="DefaultParagraphFont"/>
          <w:rFonts w:ascii="宋体" w:eastAsia="宋体" w:hAnsi="宋体" w:cs="宋体"/>
          <w:b/>
        </w:rPr>
        <w:t>4.3.1 公平交易制度的执行情况</w:t>
      </w:r>
    </w:p>
    <w:p>
      <w:r>
        <w:rPr>
          <w:rFonts w:ascii="宋体" w:eastAsia="宋体" w:hAnsi="宋体" w:cs="宋体"/>
          <w:b w:val="0"/>
        </w:rPr>
        <w:t xml:space="preserve">    本报告期内，本基金管理人严格执行《证券投资基金管理公司公平交易制度指导意见》，完善相应制度及流程，通过系统和人工等各种方式在各业务环节严格控制交易公平执行，公平对待旗下管理的所有基金和投资组合。</w:t>
        <w:br/>
      </w:r>
      <w:r>
        <w:rPr>
          <w:rFonts w:ascii="宋体" w:eastAsia="宋体" w:hAnsi="宋体" w:cs="宋体"/>
          <w:b w:val="0"/>
        </w:rPr>
        <w:t xml:space="preserve">    本报告期内，本基金管理人利用统计分析的方法和工具，按照不同的时间窗（包括当日内、3日内、5日内）对基金管理人管理的不同投资组合反向交易和同向交易的交易价差监控进行分析，未发现违反公平交易制度的异常行为。</w:t>
      </w:r>
    </w:p>
    <w:p/>
    <w:p>
      <w:pPr>
        <w:pStyle w:val="zhangjiep2"/>
      </w:pPr>
      <w:r>
        <w:rPr>
          <w:rStyle w:val="DefaultParagraphFont"/>
          <w:rFonts w:ascii="宋体" w:eastAsia="宋体" w:hAnsi="宋体" w:cs="宋体"/>
          <w:b/>
        </w:rPr>
        <w:t>4.3.2 异常交易行为的专项说明</w:t>
      </w:r>
    </w:p>
    <w:p>
      <w:r>
        <w:rPr>
          <w:rFonts w:ascii="宋体" w:eastAsia="宋体" w:hAnsi="宋体" w:cs="宋体"/>
          <w:b w:val="0"/>
        </w:rPr>
        <w:t xml:space="preserve">    报告期内，本基金不存在参与交易所公开竞价同日反向交易成交较少的单边交易量超过该证券当日成交量的5%的情况，且不存在其他可能导致非公平交易和利益输送的异常交易行为。</w:t>
      </w:r>
    </w:p>
    <w:p/>
    <w:p>
      <w:pPr>
        <w:pStyle w:val="Heading2"/>
        <w:jc w:val="left"/>
      </w:pPr>
      <w:r>
        <w:rPr>
          <w:rFonts w:ascii="宋体" w:eastAsia="宋体" w:hAnsi="宋体" w:cs="宋体"/>
        </w:rPr>
        <w:t>4.4 报告期内基金的投资策略和运作分析</w:t>
      </w:r>
    </w:p>
    <w:p>
      <w:r>
        <w:rPr>
          <w:rFonts w:ascii="宋体" w:eastAsia="宋体" w:hAnsi="宋体" w:cs="宋体"/>
          <w:b w:val="0"/>
        </w:rPr>
        <w:t xml:space="preserve">    2026 年三季度，科技板块在“产业景气向上”与“估值约束向下”两股力量的拉扯中运行。一方面，AI算力产业链的订单能见度与业绩兑现仍在延续，光模块、PCB、MLCC等板块订单和业绩双旺；另一方面，市场对更长期资本开支可持续性的讨论明显升温，叠加海外利率环境的变化，板块估值波动显著放大。本产品在三季度继续坚持科技成长方向，在结构上进一步向业绩可验证、产业地位稳固、长期产业逻辑清晰的公司集中，降低了单纯依赖远期叙事和周期涨价品种的持仓比重。</w:t>
        <w:br/>
      </w:r>
      <w:r>
        <w:rPr>
          <w:rFonts w:ascii="宋体" w:eastAsia="宋体" w:hAnsi="宋体" w:cs="宋体"/>
          <w:b w:val="0"/>
        </w:rPr>
        <w:t xml:space="preserve">    我们对人工智能产业的长期方向保持信心，但对2028年及之后的资本开支增速保持观望态度。</w:t>
        <w:br/>
      </w:r>
      <w:r>
        <w:rPr>
          <w:rFonts w:ascii="宋体" w:eastAsia="宋体" w:hAnsi="宋体" w:cs="宋体"/>
          <w:b w:val="0"/>
        </w:rPr>
        <w:t xml:space="preserve">    当前全球算力基础设施的投入规模已处于历史高位，而与之匹配的下游应用收入仍处在逐步兑现的过程中。市场对资本开支的担忧，核心并不在于当期的投入意愿，而在于投入与回报之间存在时间差，即算力的采购与建设必须先于应用收入发生。因此，一旦应用侧的商业化节奏慢于预期，远期资本开支的持续性就会受到质疑。我们认为，制约2028年资本开支的关键变量，是下游应用场景能否变得清晰。目前被产业验证的场景仍主要集中在编程、搜索增强、企业工作流等方向，智能体等新形态尚处在从“可用”向“规模化”过渡的阶段。未来一段时间内，若能够出现可复制、可计价、并形成稳定收入的应用形态，资本开支的中期持续性将获得产业层面的验证。这是一个需要产业验证、而非依靠预期推演来回答的问题，也是我们未来几个季度最重要的跟踪变量。</w:t>
        <w:br/>
      </w:r>
      <w:r>
        <w:rPr>
          <w:rFonts w:ascii="宋体" w:eastAsia="宋体" w:hAnsi="宋体" w:cs="宋体"/>
          <w:b w:val="0"/>
        </w:rPr>
        <w:t xml:space="preserve">    三季度以来，海外长端利率持续处于高位，美债收益率的抬升成为全球风险资产在估值端最直接的约束。这一转变对个股筛选提出了更高要求——单纯依靠远期叙事、缺乏业绩支撑的标的，将承受更大的估值收缩压力。</w:t>
        <w:br/>
      </w:r>
      <w:r>
        <w:rPr>
          <w:rFonts w:ascii="宋体" w:eastAsia="宋体" w:hAnsi="宋体" w:cs="宋体"/>
          <w:b w:val="0"/>
        </w:rPr>
        <w:t xml:space="preserve">    展望未来，我们并不否认远期存在不确定性，但也认为不应因此否定中短期的景气事实。从横向比较看，科技产业链依然是当前基本面最强的方向之一。在整体宏观需求相对平淡的背景下，这一比较优势相当突出。本产品将秉持着在不确定性中寻找相对确定性的投资策略，提升审美要求，重点关注三季报业绩优秀、且业绩具备可持续性的公司以及在产业链中卡位关键环节、具备技术壁垒与客户粘性的公司，强调估值与业绩的匹配度。</w:t>
      </w:r>
    </w:p>
    <w:p/>
    <w:p>
      <w:pPr>
        <w:pStyle w:val="Heading2"/>
        <w:jc w:val="left"/>
      </w:pPr>
      <w:r>
        <w:rPr>
          <w:rFonts w:ascii="宋体" w:eastAsia="宋体" w:hAnsi="宋体" w:cs="宋体"/>
        </w:rPr>
        <w:t>4.5 报告期内基金的业绩表现</w:t>
      </w:r>
    </w:p>
    <w:p>
      <w:r>
        <w:rPr>
          <w:rFonts w:ascii="宋体" w:eastAsia="宋体" w:hAnsi="宋体" w:cs="宋体"/>
          <w:b w:val="0"/>
        </w:rPr>
        <w:t xml:space="preserve">    截至报告期末东方阿尔法科技甄选混合发起A基金份额净值为1.1632元，本报告期内，该类基金份额净值增长率为-36.81%，同期业绩比较基准收益率为-21.67%；截至报告期末东方阿尔法科技甄选混合发起C基金份额净值为1.1597元，本报告期内，该类基金份额净值增长率为-36.86%，同期业绩比较基准收益率为-21.67%。</w:t>
      </w:r>
    </w:p>
    <w:p/>
    <w:p>
      <w:pPr>
        <w:pStyle w:val="Heading2"/>
        <w:jc w:val="left"/>
      </w:pPr>
      <w:r>
        <w:rPr>
          <w:rFonts w:ascii="宋体" w:eastAsia="宋体" w:hAnsi="宋体" w:cs="宋体"/>
        </w:rPr>
        <w:t>4.6 报告期内基金持有人数或基金资产净值预警说明</w:t>
      </w:r>
    </w:p>
    <w:p>
      <w:r>
        <w:rPr>
          <w:rFonts w:ascii="宋体" w:eastAsia="宋体" w:hAnsi="宋体" w:cs="宋体"/>
          <w:b w:val="0"/>
        </w:rPr>
        <w:t xml:space="preserve">    本基金为发起式基金，且截至本报告期末，本基金基金合同生效未满3年，暂不适用《公开募集证券投资基金运作管理办法》第四十一条第一款的规定。</w:t>
      </w:r>
    </w:p>
    <w:p>
      <w:pPr>
        <w:pStyle w:val="Heading1"/>
        <w:jc w:val="center"/>
      </w:pPr>
      <w:r>
        <w:rPr>
          <w:rFonts w:ascii="宋体" w:eastAsia="宋体" w:hAnsi="宋体" w:cs="宋体"/>
        </w:rPr>
        <w:t>§5 投资组合报告</w:t>
      </w:r>
    </w:p>
    <w:p>
      <w:pPr>
        <w:pStyle w:val="Heading2"/>
        <w:jc w:val="left"/>
      </w:pPr>
      <w:r>
        <w:rPr>
          <w:rFonts w:ascii="宋体" w:eastAsia="宋体" w:hAnsi="宋体" w:cs="宋体"/>
        </w:rPr>
        <w:t>5.1 报告期末基金资产组合情况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2"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项目</w:t>
            </w:r>
          </w:p>
        </w:tc>
        <w:tc>
          <w:tcPr>
            <w:tcW w:w="1538" w:type="pct"/>
            <w:shd w:val="clear" w:color="auto" w:fill="D9D9D9"/>
            <w:vAlign w:val="center"/>
          </w:tcPr>
          <w:p>
            <w:pPr>
              <w:spacing w:line="240" w:lineRule="auto"/>
              <w:jc w:val="center"/>
            </w:pPr>
            <w:r>
              <w:rPr>
                <w:rFonts w:ascii="宋体" w:eastAsia="宋体" w:hAnsi="宋体" w:cs="宋体"/>
                <w:b w:val="0"/>
              </w:rPr>
              <w:t>金额(元)</w:t>
            </w:r>
          </w:p>
        </w:tc>
        <w:tc>
          <w:tcPr>
            <w:tcW w:w="1538" w:type="pct"/>
            <w:shd w:val="clear" w:color="auto" w:fill="D9D9D9"/>
            <w:vAlign w:val="center"/>
          </w:tcPr>
          <w:p>
            <w:pPr>
              <w:spacing w:line="240" w:lineRule="auto"/>
              <w:jc w:val="center"/>
            </w:pPr>
            <w:r>
              <w:rPr>
                <w:rFonts w:ascii="宋体" w:eastAsia="宋体" w:hAnsi="宋体" w:cs="宋体"/>
                <w:b w:val="0"/>
              </w:rPr>
              <w:t>占基金总资产的比例（%）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权益投资</w:t>
            </w:r>
          </w:p>
        </w:tc>
        <w:tc>
          <w:tcPr>
            <w:tcW w:w="0" w:type="dxa"/>
            <w:vAlign w:val="center"/>
          </w:tcPr>
          <w:p>
            <w:pPr>
              <w:spacing w:line="240" w:lineRule="auto"/>
              <w:jc w:val="right"/>
            </w:pPr>
            <w:r>
              <w:rPr>
                <w:rFonts w:ascii="宋体" w:eastAsia="宋体" w:hAnsi="宋体" w:cs="宋体"/>
                <w:b w:val="0"/>
              </w:rPr>
              <w:t>542,436,979.29</w:t>
            </w:r>
          </w:p>
        </w:tc>
        <w:tc>
          <w:tcPr>
            <w:tcW w:w="0" w:type="dxa"/>
            <w:vAlign w:val="center"/>
          </w:tcPr>
          <w:p>
            <w:pPr>
              <w:spacing w:line="240" w:lineRule="auto"/>
              <w:jc w:val="right"/>
            </w:pPr>
            <w:r>
              <w:rPr>
                <w:rFonts w:ascii="宋体" w:eastAsia="宋体" w:hAnsi="宋体" w:cs="宋体"/>
                <w:b w:val="0"/>
              </w:rPr>
              <w:t>87.50</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其中：股票</w:t>
            </w:r>
          </w:p>
        </w:tc>
        <w:tc>
          <w:tcPr>
            <w:tcW w:w="0" w:type="dxa"/>
            <w:vAlign w:val="center"/>
          </w:tcPr>
          <w:p>
            <w:pPr>
              <w:spacing w:line="240" w:lineRule="auto"/>
              <w:jc w:val="right"/>
            </w:pPr>
            <w:r>
              <w:rPr>
                <w:rFonts w:ascii="宋体" w:eastAsia="宋体" w:hAnsi="宋体" w:cs="宋体"/>
                <w:b w:val="0"/>
              </w:rPr>
              <w:t>542,436,979.29</w:t>
            </w:r>
          </w:p>
        </w:tc>
        <w:tc>
          <w:tcPr>
            <w:tcW w:w="0" w:type="dxa"/>
            <w:vAlign w:val="center"/>
          </w:tcPr>
          <w:p>
            <w:pPr>
              <w:spacing w:line="240" w:lineRule="auto"/>
              <w:jc w:val="right"/>
            </w:pPr>
            <w:r>
              <w:rPr>
                <w:rFonts w:ascii="宋体" w:eastAsia="宋体" w:hAnsi="宋体" w:cs="宋体"/>
                <w:b w:val="0"/>
              </w:rPr>
              <w:t>87.50</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基金投资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固定收益投资</w:t>
            </w:r>
          </w:p>
        </w:tc>
        <w:tc>
          <w:tcPr>
            <w:tcW w:w="0" w:type="dxa"/>
            <w:vAlign w:val="center"/>
          </w:tcPr>
          <w:p>
            <w:pPr>
              <w:spacing w:line="240" w:lineRule="auto"/>
              <w:jc w:val="right"/>
            </w:pPr>
            <w:r>
              <w:rPr>
                <w:rFonts w:ascii="宋体" w:eastAsia="宋体" w:hAnsi="宋体" w:cs="宋体"/>
                <w:b w:val="0"/>
              </w:rPr>
              <w:t>31,217,933.73</w:t>
            </w:r>
          </w:p>
        </w:tc>
        <w:tc>
          <w:tcPr>
            <w:tcW w:w="0" w:type="dxa"/>
            <w:vAlign w:val="center"/>
          </w:tcPr>
          <w:p>
            <w:pPr>
              <w:spacing w:line="240" w:lineRule="auto"/>
              <w:jc w:val="right"/>
            </w:pPr>
            <w:r>
              <w:rPr>
                <w:rFonts w:ascii="宋体" w:eastAsia="宋体" w:hAnsi="宋体" w:cs="宋体"/>
                <w:b w:val="0"/>
              </w:rPr>
              <w:t>5.04</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其中：债券</w:t>
            </w:r>
          </w:p>
        </w:tc>
        <w:tc>
          <w:tcPr>
            <w:tcW w:w="0" w:type="dxa"/>
            <w:vAlign w:val="center"/>
          </w:tcPr>
          <w:p>
            <w:pPr>
              <w:spacing w:line="240" w:lineRule="auto"/>
              <w:jc w:val="right"/>
            </w:pPr>
            <w:r>
              <w:rPr>
                <w:rFonts w:ascii="宋体" w:eastAsia="宋体" w:hAnsi="宋体" w:cs="宋体"/>
                <w:b w:val="0"/>
              </w:rPr>
              <w:t>31,217,933.73</w:t>
            </w:r>
          </w:p>
        </w:tc>
        <w:tc>
          <w:tcPr>
            <w:tcW w:w="0" w:type="dxa"/>
            <w:vAlign w:val="center"/>
          </w:tcPr>
          <w:p>
            <w:pPr>
              <w:spacing w:line="240" w:lineRule="auto"/>
              <w:jc w:val="right"/>
            </w:pPr>
            <w:r>
              <w:rPr>
                <w:rFonts w:ascii="宋体" w:eastAsia="宋体" w:hAnsi="宋体" w:cs="宋体"/>
                <w:b w:val="0"/>
              </w:rPr>
              <w:t>5.04</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 xml:space="preserve">      资产支持证券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pPr>
            <w:r>
              <w:rPr>
                <w:rFonts w:ascii="宋体" w:eastAsia="宋体" w:hAnsi="宋体" w:cs="宋体"/>
                <w:b w:val="0"/>
              </w:rPr>
              <w:t>贵金属投资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金融衍生品投资</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其中：买断式回购的买入返售金融资产</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银行存款和结算备付金合计</w:t>
            </w:r>
          </w:p>
        </w:tc>
        <w:tc>
          <w:tcPr>
            <w:tcW w:w="0" w:type="dxa"/>
            <w:vAlign w:val="center"/>
          </w:tcPr>
          <w:p>
            <w:pPr>
              <w:spacing w:line="240" w:lineRule="auto"/>
              <w:jc w:val="right"/>
            </w:pPr>
            <w:r>
              <w:rPr>
                <w:rFonts w:ascii="宋体" w:eastAsia="宋体" w:hAnsi="宋体" w:cs="宋体"/>
                <w:b w:val="0"/>
              </w:rPr>
              <w:t>40,140,676.77</w:t>
            </w:r>
          </w:p>
        </w:tc>
        <w:tc>
          <w:tcPr>
            <w:tcW w:w="0" w:type="dxa"/>
            <w:vAlign w:val="center"/>
          </w:tcPr>
          <w:p>
            <w:pPr>
              <w:spacing w:line="240" w:lineRule="auto"/>
              <w:jc w:val="right"/>
            </w:pPr>
            <w:r>
              <w:rPr>
                <w:rFonts w:ascii="宋体" w:eastAsia="宋体" w:hAnsi="宋体" w:cs="宋体"/>
                <w:b w:val="0"/>
              </w:rPr>
              <w:t>6.48</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其他资产</w:t>
            </w:r>
          </w:p>
        </w:tc>
        <w:tc>
          <w:tcPr>
            <w:tcW w:w="0" w:type="dxa"/>
            <w:vAlign w:val="center"/>
          </w:tcPr>
          <w:p>
            <w:pPr>
              <w:spacing w:line="240" w:lineRule="auto"/>
              <w:jc w:val="right"/>
            </w:pPr>
            <w:r>
              <w:rPr>
                <w:rFonts w:ascii="宋体" w:eastAsia="宋体" w:hAnsi="宋体" w:cs="宋体"/>
                <w:b w:val="0"/>
              </w:rPr>
              <w:t>6,108,886.91</w:t>
            </w:r>
          </w:p>
        </w:tc>
        <w:tc>
          <w:tcPr>
            <w:tcW w:w="0" w:type="dxa"/>
            <w:vAlign w:val="center"/>
          </w:tcPr>
          <w:p>
            <w:pPr>
              <w:spacing w:line="240" w:lineRule="auto"/>
              <w:jc w:val="right"/>
            </w:pPr>
            <w:r>
              <w:rPr>
                <w:rFonts w:ascii="宋体" w:eastAsia="宋体" w:hAnsi="宋体" w:cs="宋体"/>
                <w:b w:val="0"/>
              </w:rPr>
              <w:t>0.99</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619,904,476.70</w:t>
            </w:r>
          </w:p>
        </w:tc>
        <w:tc>
          <w:tcPr>
            <w:tcW w:w="0" w:type="dxa"/>
            <w:vAlign w:val="center"/>
          </w:tcPr>
          <w:p>
            <w:pPr>
              <w:spacing w:line="240" w:lineRule="auto"/>
              <w:jc w:val="right"/>
            </w:pPr>
            <w:r>
              <w:rPr>
                <w:rFonts w:ascii="宋体" w:eastAsia="宋体" w:hAnsi="宋体" w:cs="宋体"/>
                <w:b w:val="0"/>
              </w:rPr>
              <w:t>100.00</w:t>
            </w:r>
          </w:p>
        </w:tc>
      </w:tr>
    </w:tbl>
    <w:p>
      <w:r>
        <w:rPr>
          <w:rFonts w:ascii="宋体" w:eastAsia="宋体" w:hAnsi="宋体" w:cs="宋体"/>
          <w:b w:val="0"/>
        </w:rPr>
        <w:t>注：报告期末本基金通过港股通交易机制投资的港股公允价值合计54,837,533.22元，占基金资产净值的比例为8.93%。</w:t>
      </w:r>
    </w:p>
    <w:p/>
    <w:p>
      <w:pPr>
        <w:pStyle w:val="Heading2"/>
        <w:jc w:val="left"/>
      </w:pPr>
      <w:r>
        <w:rPr>
          <w:rFonts w:ascii="宋体" w:eastAsia="宋体" w:hAnsi="宋体" w:cs="宋体"/>
        </w:rPr>
        <w:t>5.2 报告期末按行业分类的股票投资组合</w:t>
      </w:r>
    </w:p>
    <w:p>
      <w:pPr>
        <w:pStyle w:val="zhangjiep2"/>
      </w:pPr>
      <w:r>
        <w:rPr>
          <w:rStyle w:val="DefaultParagraphFont"/>
          <w:rFonts w:ascii="宋体" w:eastAsia="宋体" w:hAnsi="宋体" w:cs="宋体"/>
          <w:b/>
        </w:rPr>
        <w:t>5.2.1 报告期末按行业分类的境内股票投资组合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代码</w:t>
            </w:r>
          </w:p>
        </w:tc>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A</w:t>
            </w:r>
          </w:p>
        </w:tc>
        <w:tc>
          <w:tcPr>
            <w:tcW w:w="0" w:type="dxa"/>
            <w:vAlign w:val="center"/>
          </w:tcPr>
          <w:p>
            <w:pPr>
              <w:spacing w:line="240" w:lineRule="auto"/>
              <w:jc w:val="left"/>
            </w:pPr>
            <w:r>
              <w:rPr>
                <w:rFonts w:ascii="宋体" w:eastAsia="宋体" w:hAnsi="宋体" w:cs="宋体"/>
                <w:b w:val="0"/>
              </w:rPr>
              <w:t>农、林、牧、渔业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B</w:t>
            </w:r>
          </w:p>
        </w:tc>
        <w:tc>
          <w:tcPr>
            <w:tcW w:w="0" w:type="dxa"/>
            <w:vAlign w:val="center"/>
          </w:tcPr>
          <w:p>
            <w:pPr>
              <w:spacing w:line="240" w:lineRule="auto"/>
              <w:jc w:val="left"/>
            </w:pPr>
            <w:r>
              <w:rPr>
                <w:rFonts w:ascii="宋体" w:eastAsia="宋体" w:hAnsi="宋体" w:cs="宋体"/>
                <w:b w:val="0"/>
              </w:rPr>
              <w:t>采矿业</w:t>
            </w:r>
          </w:p>
        </w:tc>
        <w:tc>
          <w:tcPr>
            <w:tcW w:w="0" w:type="dxa"/>
            <w:vAlign w:val="center"/>
          </w:tcPr>
          <w:p>
            <w:pPr>
              <w:spacing w:line="240" w:lineRule="auto"/>
              <w:jc w:val="right"/>
            </w:pPr>
            <w:r>
              <w:rPr>
                <w:rFonts w:ascii="宋体" w:eastAsia="宋体" w:hAnsi="宋体" w:cs="宋体"/>
                <w:b w:val="0"/>
              </w:rPr>
              <w:t>3,390.75</w:t>
            </w:r>
          </w:p>
        </w:tc>
        <w:tc>
          <w:tcPr>
            <w:tcW w:w="0" w:type="dxa"/>
            <w:vAlign w:val="center"/>
          </w:tcPr>
          <w:p>
            <w:pPr>
              <w:spacing w:line="240" w:lineRule="auto"/>
              <w:jc w:val="right"/>
            </w:pPr>
            <w:r>
              <w:rPr>
                <w:rFonts w:ascii="宋体" w:eastAsia="宋体" w:hAnsi="宋体" w:cs="宋体"/>
                <w:b w:val="0"/>
              </w:rPr>
              <w:t>0.00</w:t>
            </w:r>
          </w:p>
        </w:tc>
      </w:tr>
      <w:tr>
        <w:tblPrEx>
          <w:tblW w:w="5000" w:type="pct"/>
        </w:tblPrEx>
        <w:tc>
          <w:tcPr>
            <w:tcW w:w="0" w:type="dxa"/>
            <w:vAlign w:val="center"/>
          </w:tcPr>
          <w:p>
            <w:pPr>
              <w:spacing w:line="240" w:lineRule="auto"/>
              <w:jc w:val="center"/>
            </w:pPr>
            <w:r>
              <w:rPr>
                <w:rFonts w:ascii="宋体" w:eastAsia="宋体" w:hAnsi="宋体" w:cs="宋体"/>
                <w:b w:val="0"/>
              </w:rPr>
              <w:t>C</w:t>
            </w:r>
          </w:p>
        </w:tc>
        <w:tc>
          <w:tcPr>
            <w:tcW w:w="0" w:type="dxa"/>
            <w:vAlign w:val="center"/>
          </w:tcPr>
          <w:p>
            <w:pPr>
              <w:spacing w:line="240" w:lineRule="auto"/>
              <w:jc w:val="left"/>
            </w:pPr>
            <w:r>
              <w:rPr>
                <w:rFonts w:ascii="宋体" w:eastAsia="宋体" w:hAnsi="宋体" w:cs="宋体"/>
                <w:b w:val="0"/>
              </w:rPr>
              <w:t>制造业</w:t>
            </w:r>
          </w:p>
        </w:tc>
        <w:tc>
          <w:tcPr>
            <w:tcW w:w="0" w:type="dxa"/>
            <w:vAlign w:val="center"/>
          </w:tcPr>
          <w:p>
            <w:pPr>
              <w:spacing w:line="240" w:lineRule="auto"/>
              <w:jc w:val="right"/>
            </w:pPr>
            <w:r>
              <w:rPr>
                <w:rFonts w:ascii="宋体" w:eastAsia="宋体" w:hAnsi="宋体" w:cs="宋体"/>
                <w:b w:val="0"/>
              </w:rPr>
              <w:t>487,476,506.53</w:t>
            </w:r>
          </w:p>
        </w:tc>
        <w:tc>
          <w:tcPr>
            <w:tcW w:w="0" w:type="dxa"/>
            <w:vAlign w:val="center"/>
          </w:tcPr>
          <w:p>
            <w:pPr>
              <w:spacing w:line="240" w:lineRule="auto"/>
              <w:jc w:val="right"/>
            </w:pPr>
            <w:r>
              <w:rPr>
                <w:rFonts w:ascii="宋体" w:eastAsia="宋体" w:hAnsi="宋体" w:cs="宋体"/>
                <w:b w:val="0"/>
              </w:rPr>
              <w:t>79.36</w:t>
            </w:r>
          </w:p>
        </w:tc>
      </w:tr>
      <w:tr>
        <w:tblPrEx>
          <w:tblW w:w="5000" w:type="pct"/>
        </w:tblPrEx>
        <w:tc>
          <w:tcPr>
            <w:tcW w:w="0" w:type="dxa"/>
            <w:vAlign w:val="center"/>
          </w:tcPr>
          <w:p>
            <w:pPr>
              <w:spacing w:line="240" w:lineRule="auto"/>
              <w:jc w:val="center"/>
            </w:pPr>
            <w:r>
              <w:rPr>
                <w:rFonts w:ascii="宋体" w:eastAsia="宋体" w:hAnsi="宋体" w:cs="宋体"/>
                <w:b w:val="0"/>
              </w:rPr>
              <w:t>D</w:t>
            </w:r>
          </w:p>
        </w:tc>
        <w:tc>
          <w:tcPr>
            <w:tcW w:w="0" w:type="dxa"/>
            <w:vAlign w:val="center"/>
          </w:tcPr>
          <w:p>
            <w:pPr>
              <w:spacing w:line="240" w:lineRule="auto"/>
              <w:jc w:val="left"/>
            </w:pPr>
            <w:r>
              <w:rPr>
                <w:rFonts w:ascii="宋体" w:eastAsia="宋体" w:hAnsi="宋体" w:cs="宋体"/>
                <w:b w:val="0"/>
              </w:rPr>
              <w:t>电力、热力、燃气及水生产和供应业</w:t>
            </w:r>
          </w:p>
        </w:tc>
        <w:tc>
          <w:tcPr>
            <w:tcW w:w="0" w:type="dxa"/>
            <w:vAlign w:val="center"/>
          </w:tcPr>
          <w:p>
            <w:pPr>
              <w:spacing w:line="240" w:lineRule="auto"/>
              <w:jc w:val="right"/>
            </w:pPr>
            <w:r>
              <w:rPr>
                <w:rFonts w:ascii="宋体" w:eastAsia="宋体" w:hAnsi="宋体" w:cs="宋体"/>
                <w:b w:val="0"/>
              </w:rPr>
              <w:t>61,223.70</w:t>
            </w:r>
          </w:p>
        </w:tc>
        <w:tc>
          <w:tcPr>
            <w:tcW w:w="0" w:type="dxa"/>
            <w:vAlign w:val="center"/>
          </w:tcPr>
          <w:p>
            <w:pPr>
              <w:spacing w:line="240" w:lineRule="auto"/>
              <w:jc w:val="right"/>
            </w:pPr>
            <w:r>
              <w:rPr>
                <w:rFonts w:ascii="宋体" w:eastAsia="宋体" w:hAnsi="宋体" w:cs="宋体"/>
                <w:b w:val="0"/>
              </w:rPr>
              <w:t>0.01</w:t>
            </w:r>
          </w:p>
        </w:tc>
      </w:tr>
      <w:tr>
        <w:tblPrEx>
          <w:tblW w:w="5000" w:type="pct"/>
        </w:tblPrEx>
        <w:tc>
          <w:tcPr>
            <w:tcW w:w="0" w:type="dxa"/>
            <w:vAlign w:val="center"/>
          </w:tcPr>
          <w:p>
            <w:pPr>
              <w:spacing w:line="240" w:lineRule="auto"/>
              <w:jc w:val="center"/>
            </w:pPr>
            <w:r>
              <w:rPr>
                <w:rFonts w:ascii="宋体" w:eastAsia="宋体" w:hAnsi="宋体" w:cs="宋体"/>
                <w:b w:val="0"/>
              </w:rPr>
              <w:t>E</w:t>
            </w:r>
          </w:p>
        </w:tc>
        <w:tc>
          <w:tcPr>
            <w:tcW w:w="0" w:type="dxa"/>
            <w:vAlign w:val="center"/>
          </w:tcPr>
          <w:p>
            <w:pPr>
              <w:spacing w:line="240" w:lineRule="auto"/>
              <w:jc w:val="left"/>
            </w:pPr>
            <w:r>
              <w:rPr>
                <w:rFonts w:ascii="宋体" w:eastAsia="宋体" w:hAnsi="宋体" w:cs="宋体"/>
                <w:b w:val="0"/>
              </w:rPr>
              <w:t>建筑业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F</w:t>
            </w:r>
          </w:p>
        </w:tc>
        <w:tc>
          <w:tcPr>
            <w:tcW w:w="0" w:type="dxa"/>
            <w:vAlign w:val="center"/>
          </w:tcPr>
          <w:p>
            <w:pPr>
              <w:spacing w:line="240" w:lineRule="auto"/>
              <w:jc w:val="left"/>
            </w:pPr>
            <w:r>
              <w:rPr>
                <w:rFonts w:ascii="宋体" w:eastAsia="宋体" w:hAnsi="宋体" w:cs="宋体"/>
                <w:b w:val="0"/>
              </w:rPr>
              <w:t>批发和零售业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G</w:t>
            </w:r>
          </w:p>
        </w:tc>
        <w:tc>
          <w:tcPr>
            <w:tcW w:w="0" w:type="dxa"/>
            <w:vAlign w:val="center"/>
          </w:tcPr>
          <w:p>
            <w:pPr>
              <w:spacing w:line="240" w:lineRule="auto"/>
              <w:jc w:val="left"/>
            </w:pPr>
            <w:r>
              <w:rPr>
                <w:rFonts w:ascii="宋体" w:eastAsia="宋体" w:hAnsi="宋体" w:cs="宋体"/>
                <w:b w:val="0"/>
              </w:rPr>
              <w:t>交通运输、仓储和邮政业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H</w:t>
            </w:r>
          </w:p>
        </w:tc>
        <w:tc>
          <w:tcPr>
            <w:tcW w:w="0" w:type="dxa"/>
            <w:vAlign w:val="center"/>
          </w:tcPr>
          <w:p>
            <w:pPr>
              <w:spacing w:line="240" w:lineRule="auto"/>
              <w:jc w:val="left"/>
            </w:pPr>
            <w:r>
              <w:rPr>
                <w:rFonts w:ascii="宋体" w:eastAsia="宋体" w:hAnsi="宋体" w:cs="宋体"/>
                <w:b w:val="0"/>
              </w:rPr>
              <w:t>住宿和餐饮业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I</w:t>
            </w:r>
          </w:p>
        </w:tc>
        <w:tc>
          <w:tcPr>
            <w:tcW w:w="0" w:type="dxa"/>
            <w:vAlign w:val="center"/>
          </w:tcPr>
          <w:p>
            <w:pPr>
              <w:spacing w:line="240" w:lineRule="auto"/>
              <w:jc w:val="left"/>
            </w:pPr>
            <w:r>
              <w:rPr>
                <w:rFonts w:ascii="宋体" w:eastAsia="宋体" w:hAnsi="宋体" w:cs="宋体"/>
                <w:b w:val="0"/>
              </w:rPr>
              <w:t>信息传输、软件和信息技术服务业</w:t>
            </w:r>
          </w:p>
        </w:tc>
        <w:tc>
          <w:tcPr>
            <w:tcW w:w="0" w:type="dxa"/>
            <w:vAlign w:val="center"/>
          </w:tcPr>
          <w:p>
            <w:pPr>
              <w:spacing w:line="240" w:lineRule="auto"/>
              <w:jc w:val="right"/>
            </w:pPr>
            <w:r>
              <w:rPr>
                <w:rFonts w:ascii="宋体" w:eastAsia="宋体" w:hAnsi="宋体" w:cs="宋体"/>
                <w:b w:val="0"/>
              </w:rPr>
              <w:t>58,325.09</w:t>
            </w:r>
          </w:p>
        </w:tc>
        <w:tc>
          <w:tcPr>
            <w:tcW w:w="0" w:type="dxa"/>
            <w:vAlign w:val="center"/>
          </w:tcPr>
          <w:p>
            <w:pPr>
              <w:spacing w:line="240" w:lineRule="auto"/>
              <w:jc w:val="right"/>
            </w:pPr>
            <w:r>
              <w:rPr>
                <w:rFonts w:ascii="宋体" w:eastAsia="宋体" w:hAnsi="宋体" w:cs="宋体"/>
                <w:b w:val="0"/>
              </w:rPr>
              <w:t>0.01</w:t>
            </w:r>
          </w:p>
        </w:tc>
      </w:tr>
      <w:tr>
        <w:tblPrEx>
          <w:tblW w:w="5000" w:type="pct"/>
        </w:tblPrEx>
        <w:tc>
          <w:tcPr>
            <w:tcW w:w="0" w:type="dxa"/>
            <w:vAlign w:val="center"/>
          </w:tcPr>
          <w:p>
            <w:pPr>
              <w:spacing w:line="240" w:lineRule="auto"/>
              <w:jc w:val="center"/>
            </w:pPr>
            <w:r>
              <w:rPr>
                <w:rFonts w:ascii="宋体" w:eastAsia="宋体" w:hAnsi="宋体" w:cs="宋体"/>
                <w:b w:val="0"/>
              </w:rPr>
              <w:t>J</w:t>
            </w:r>
          </w:p>
        </w:tc>
        <w:tc>
          <w:tcPr>
            <w:tcW w:w="0" w:type="dxa"/>
            <w:vAlign w:val="center"/>
          </w:tcPr>
          <w:p>
            <w:pPr>
              <w:spacing w:line="240" w:lineRule="auto"/>
              <w:jc w:val="left"/>
            </w:pPr>
            <w:r>
              <w:rPr>
                <w:rFonts w:ascii="宋体" w:eastAsia="宋体" w:hAnsi="宋体" w:cs="宋体"/>
                <w:b w:val="0"/>
              </w:rPr>
              <w:t>金融业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K</w:t>
            </w:r>
          </w:p>
        </w:tc>
        <w:tc>
          <w:tcPr>
            <w:tcW w:w="0" w:type="dxa"/>
            <w:vAlign w:val="center"/>
          </w:tcPr>
          <w:p>
            <w:pPr>
              <w:spacing w:line="240" w:lineRule="auto"/>
              <w:jc w:val="left"/>
            </w:pPr>
            <w:r>
              <w:rPr>
                <w:rFonts w:ascii="宋体" w:eastAsia="宋体" w:hAnsi="宋体" w:cs="宋体"/>
                <w:b w:val="0"/>
              </w:rPr>
              <w:t>房地产业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L</w:t>
            </w:r>
          </w:p>
        </w:tc>
        <w:tc>
          <w:tcPr>
            <w:tcW w:w="0" w:type="dxa"/>
            <w:vAlign w:val="center"/>
          </w:tcPr>
          <w:p>
            <w:pPr>
              <w:spacing w:line="240" w:lineRule="auto"/>
              <w:jc w:val="left"/>
            </w:pPr>
            <w:r>
              <w:rPr>
                <w:rFonts w:ascii="宋体" w:eastAsia="宋体" w:hAnsi="宋体" w:cs="宋体"/>
                <w:b w:val="0"/>
              </w:rPr>
              <w:t>租赁和商务服务业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M</w:t>
            </w:r>
          </w:p>
        </w:tc>
        <w:tc>
          <w:tcPr>
            <w:tcW w:w="0" w:type="dxa"/>
            <w:vAlign w:val="center"/>
          </w:tcPr>
          <w:p>
            <w:pPr>
              <w:spacing w:line="240" w:lineRule="auto"/>
              <w:jc w:val="left"/>
            </w:pPr>
            <w:r>
              <w:rPr>
                <w:rFonts w:ascii="宋体" w:eastAsia="宋体" w:hAnsi="宋体" w:cs="宋体"/>
                <w:b w:val="0"/>
              </w:rPr>
              <w:t>科学研究和技术服务业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N</w:t>
            </w:r>
          </w:p>
        </w:tc>
        <w:tc>
          <w:tcPr>
            <w:tcW w:w="0" w:type="dxa"/>
            <w:vAlign w:val="center"/>
          </w:tcPr>
          <w:p>
            <w:pPr>
              <w:spacing w:line="240" w:lineRule="auto"/>
              <w:jc w:val="left"/>
            </w:pPr>
            <w:r>
              <w:rPr>
                <w:rFonts w:ascii="宋体" w:eastAsia="宋体" w:hAnsi="宋体" w:cs="宋体"/>
                <w:b w:val="0"/>
              </w:rPr>
              <w:t>水利、环境和公共设施管理业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O</w:t>
            </w:r>
          </w:p>
        </w:tc>
        <w:tc>
          <w:tcPr>
            <w:tcW w:w="0" w:type="dxa"/>
            <w:vAlign w:val="center"/>
          </w:tcPr>
          <w:p>
            <w:pPr>
              <w:spacing w:line="240" w:lineRule="auto"/>
              <w:jc w:val="left"/>
            </w:pPr>
            <w:r>
              <w:rPr>
                <w:rFonts w:ascii="宋体" w:eastAsia="宋体" w:hAnsi="宋体" w:cs="宋体"/>
                <w:b w:val="0"/>
              </w:rPr>
              <w:t>居民服务、修理和其他服务业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P</w:t>
            </w:r>
          </w:p>
        </w:tc>
        <w:tc>
          <w:tcPr>
            <w:tcW w:w="0" w:type="dxa"/>
            <w:vAlign w:val="center"/>
          </w:tcPr>
          <w:p>
            <w:pPr>
              <w:spacing w:line="240" w:lineRule="auto"/>
              <w:jc w:val="left"/>
            </w:pPr>
            <w:r>
              <w:rPr>
                <w:rFonts w:ascii="宋体" w:eastAsia="宋体" w:hAnsi="宋体" w:cs="宋体"/>
                <w:b w:val="0"/>
              </w:rPr>
              <w:t>教育</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Q</w:t>
            </w:r>
          </w:p>
        </w:tc>
        <w:tc>
          <w:tcPr>
            <w:tcW w:w="0" w:type="dxa"/>
            <w:vAlign w:val="center"/>
          </w:tcPr>
          <w:p>
            <w:pPr>
              <w:spacing w:line="240" w:lineRule="auto"/>
              <w:jc w:val="left"/>
            </w:pPr>
            <w:r>
              <w:rPr>
                <w:rFonts w:ascii="宋体" w:eastAsia="宋体" w:hAnsi="宋体" w:cs="宋体"/>
                <w:b w:val="0"/>
              </w:rPr>
              <w:t>卫生和社会工作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R</w:t>
            </w:r>
          </w:p>
        </w:tc>
        <w:tc>
          <w:tcPr>
            <w:tcW w:w="0" w:type="dxa"/>
            <w:vAlign w:val="center"/>
          </w:tcPr>
          <w:p>
            <w:pPr>
              <w:spacing w:line="240" w:lineRule="auto"/>
              <w:jc w:val="left"/>
            </w:pPr>
            <w:r>
              <w:rPr>
                <w:rFonts w:ascii="宋体" w:eastAsia="宋体" w:hAnsi="宋体" w:cs="宋体"/>
                <w:b w:val="0"/>
              </w:rPr>
              <w:t>文化、体育和娱乐业</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S</w:t>
            </w:r>
          </w:p>
        </w:tc>
        <w:tc>
          <w:tcPr>
            <w:tcW w:w="0" w:type="dxa"/>
            <w:vAlign w:val="center"/>
          </w:tcPr>
          <w:p>
            <w:pPr>
              <w:spacing w:line="240" w:lineRule="auto"/>
              <w:jc w:val="left"/>
            </w:pPr>
            <w:r>
              <w:rPr>
                <w:rFonts w:ascii="宋体" w:eastAsia="宋体" w:hAnsi="宋体" w:cs="宋体"/>
                <w:b w:val="0"/>
              </w:rPr>
              <w:t>综合</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487,599,446.07</w:t>
            </w:r>
          </w:p>
        </w:tc>
        <w:tc>
          <w:tcPr>
            <w:tcW w:w="0" w:type="dxa"/>
            <w:vAlign w:val="center"/>
          </w:tcPr>
          <w:p>
            <w:pPr>
              <w:spacing w:line="240" w:lineRule="auto"/>
              <w:jc w:val="right"/>
            </w:pPr>
            <w:r>
              <w:rPr>
                <w:rFonts w:ascii="宋体" w:eastAsia="宋体" w:hAnsi="宋体" w:cs="宋体"/>
                <w:b w:val="0"/>
              </w:rPr>
              <w:t>79.38</w:t>
            </w:r>
          </w:p>
        </w:tc>
      </w:tr>
    </w:tbl>
    <w:p/>
    <w:p>
      <w:pPr>
        <w:pStyle w:val="zhangjiep2"/>
      </w:pPr>
      <w:r>
        <w:rPr>
          <w:rStyle w:val="DefaultParagraphFont"/>
          <w:rFonts w:ascii="宋体" w:eastAsia="宋体" w:hAnsi="宋体" w:cs="宋体"/>
          <w:b/>
        </w:rPr>
        <w:t>5.2.2 报告期末按行业分类的港股通投资股票投资组合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行业类别</w:t>
            </w:r>
          </w:p>
        </w:tc>
        <w:tc>
          <w:tcPr>
            <w:tcW w:w="1538" w:type="pct"/>
            <w:shd w:val="clear" w:color="auto" w:fill="D9D9D9"/>
            <w:vAlign w:val="center"/>
          </w:tcPr>
          <w:p>
            <w:pPr>
              <w:spacing w:line="240" w:lineRule="auto"/>
              <w:jc w:val="center"/>
            </w:pPr>
            <w:r>
              <w:rPr>
                <w:rFonts w:ascii="宋体" w:eastAsia="宋体" w:hAnsi="宋体" w:cs="宋体"/>
                <w:b w:val="0"/>
              </w:rPr>
              <w:t>公允价值（人民币）</w:t>
            </w:r>
          </w:p>
        </w:tc>
        <w:tc>
          <w:tcPr>
            <w:tcW w:w="1538"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left"/>
            </w:pPr>
            <w:r>
              <w:rPr>
                <w:rFonts w:ascii="宋体" w:eastAsia="宋体" w:hAnsi="宋体" w:cs="宋体"/>
                <w:b w:val="0"/>
              </w:rPr>
              <w:t>信息技术</w:t>
            </w:r>
          </w:p>
        </w:tc>
        <w:tc>
          <w:tcPr>
            <w:tcW w:w="0" w:type="dxa"/>
            <w:vAlign w:val="center"/>
          </w:tcPr>
          <w:p>
            <w:pPr>
              <w:spacing w:line="240" w:lineRule="auto"/>
              <w:jc w:val="right"/>
            </w:pPr>
            <w:r>
              <w:rPr>
                <w:rFonts w:ascii="宋体" w:eastAsia="宋体" w:hAnsi="宋体" w:cs="宋体"/>
                <w:b w:val="0"/>
              </w:rPr>
              <w:t>54,837,533.22</w:t>
            </w:r>
          </w:p>
        </w:tc>
        <w:tc>
          <w:tcPr>
            <w:tcW w:w="0" w:type="dxa"/>
            <w:vAlign w:val="center"/>
          </w:tcPr>
          <w:p>
            <w:pPr>
              <w:spacing w:line="240" w:lineRule="auto"/>
              <w:jc w:val="right"/>
            </w:pPr>
            <w:r>
              <w:rPr>
                <w:rFonts w:ascii="宋体" w:eastAsia="宋体" w:hAnsi="宋体" w:cs="宋体"/>
                <w:b w:val="0"/>
              </w:rPr>
              <w:t>8.93</w:t>
            </w:r>
          </w:p>
        </w:tc>
      </w:tr>
      <w:tr>
        <w:tblPrEx>
          <w:tblW w:w="5000" w:type="pct"/>
        </w:tblPrEx>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54,837,533.22</w:t>
            </w:r>
          </w:p>
        </w:tc>
        <w:tc>
          <w:tcPr>
            <w:tcW w:w="0" w:type="dxa"/>
            <w:vAlign w:val="center"/>
          </w:tcPr>
          <w:p>
            <w:pPr>
              <w:spacing w:line="240" w:lineRule="auto"/>
              <w:jc w:val="right"/>
            </w:pPr>
            <w:r>
              <w:rPr>
                <w:rFonts w:ascii="宋体" w:eastAsia="宋体" w:hAnsi="宋体" w:cs="宋体"/>
                <w:b w:val="0"/>
              </w:rPr>
              <w:t>8.93</w:t>
            </w:r>
          </w:p>
        </w:tc>
      </w:tr>
    </w:tbl>
    <w:p/>
    <w:p>
      <w:pPr>
        <w:pStyle w:val="Heading2"/>
        <w:jc w:val="left"/>
      </w:pPr>
      <w:r>
        <w:rPr>
          <w:rFonts w:ascii="宋体" w:eastAsia="宋体" w:hAnsi="宋体" w:cs="宋体"/>
        </w:rPr>
        <w:t>5.3 报告期末按公允价值占基金资产净值比例大小排序的前十名股票投资明细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股票代码</w:t>
            </w:r>
          </w:p>
        </w:tc>
        <w:tc>
          <w:tcPr>
            <w:tcW w:w="769" w:type="pct"/>
            <w:shd w:val="clear" w:color="auto" w:fill="D9D9D9"/>
            <w:vAlign w:val="center"/>
          </w:tcPr>
          <w:p>
            <w:pPr>
              <w:spacing w:line="240" w:lineRule="auto"/>
              <w:jc w:val="center"/>
            </w:pPr>
            <w:r>
              <w:rPr>
                <w:rFonts w:ascii="宋体" w:eastAsia="宋体" w:hAnsi="宋体" w:cs="宋体"/>
                <w:b w:val="0"/>
              </w:rPr>
              <w:t>股票名称</w:t>
            </w:r>
          </w:p>
        </w:tc>
        <w:tc>
          <w:tcPr>
            <w:tcW w:w="615" w:type="pct"/>
            <w:shd w:val="clear" w:color="auto" w:fill="D9D9D9"/>
            <w:vAlign w:val="center"/>
          </w:tcPr>
          <w:p>
            <w:pPr>
              <w:spacing w:line="240" w:lineRule="auto"/>
              <w:jc w:val="center"/>
            </w:pPr>
            <w:r>
              <w:rPr>
                <w:rFonts w:ascii="宋体" w:eastAsia="宋体" w:hAnsi="宋体" w:cs="宋体"/>
                <w:b w:val="0"/>
              </w:rPr>
              <w:t>数量(股)</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688025</w:t>
            </w:r>
          </w:p>
        </w:tc>
        <w:tc>
          <w:tcPr>
            <w:tcW w:w="0" w:type="dxa"/>
            <w:vAlign w:val="center"/>
          </w:tcPr>
          <w:p>
            <w:pPr>
              <w:spacing w:line="240" w:lineRule="auto"/>
              <w:jc w:val="left"/>
            </w:pPr>
            <w:r>
              <w:rPr>
                <w:rFonts w:ascii="宋体" w:eastAsia="宋体" w:hAnsi="宋体" w:cs="宋体"/>
                <w:b w:val="0"/>
              </w:rPr>
              <w:t>杰普特</w:t>
            </w:r>
          </w:p>
        </w:tc>
        <w:tc>
          <w:tcPr>
            <w:tcW w:w="0" w:type="dxa"/>
            <w:vAlign w:val="center"/>
          </w:tcPr>
          <w:p>
            <w:pPr>
              <w:spacing w:line="240" w:lineRule="auto"/>
              <w:jc w:val="right"/>
            </w:pPr>
            <w:r>
              <w:rPr>
                <w:rFonts w:ascii="宋体" w:eastAsia="宋体" w:hAnsi="宋体" w:cs="宋体"/>
                <w:b w:val="0"/>
              </w:rPr>
              <w:t>141,000</w:t>
            </w:r>
          </w:p>
        </w:tc>
        <w:tc>
          <w:tcPr>
            <w:tcW w:w="0" w:type="dxa"/>
            <w:vAlign w:val="center"/>
          </w:tcPr>
          <w:p>
            <w:pPr>
              <w:spacing w:line="240" w:lineRule="auto"/>
              <w:jc w:val="right"/>
            </w:pPr>
            <w:r>
              <w:rPr>
                <w:rFonts w:ascii="宋体" w:eastAsia="宋体" w:hAnsi="宋体" w:cs="宋体"/>
                <w:b w:val="0"/>
              </w:rPr>
              <w:t>59,142,450.00</w:t>
            </w:r>
          </w:p>
        </w:tc>
        <w:tc>
          <w:tcPr>
            <w:tcW w:w="0" w:type="dxa"/>
            <w:vAlign w:val="center"/>
          </w:tcPr>
          <w:p>
            <w:pPr>
              <w:spacing w:line="240" w:lineRule="auto"/>
              <w:jc w:val="right"/>
            </w:pPr>
            <w:r>
              <w:rPr>
                <w:rFonts w:ascii="宋体" w:eastAsia="宋体" w:hAnsi="宋体" w:cs="宋体"/>
                <w:b w:val="0"/>
              </w:rPr>
              <w:t>9.63</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06869</w:t>
            </w:r>
          </w:p>
        </w:tc>
        <w:tc>
          <w:tcPr>
            <w:tcW w:w="0" w:type="dxa"/>
            <w:vAlign w:val="center"/>
          </w:tcPr>
          <w:p>
            <w:pPr>
              <w:spacing w:line="240" w:lineRule="auto"/>
              <w:jc w:val="left"/>
            </w:pPr>
            <w:r>
              <w:rPr>
                <w:rFonts w:ascii="宋体" w:eastAsia="宋体" w:hAnsi="宋体" w:cs="宋体"/>
                <w:b w:val="0"/>
              </w:rPr>
              <w:t>长飞光纤光缆</w:t>
            </w:r>
          </w:p>
        </w:tc>
        <w:tc>
          <w:tcPr>
            <w:tcW w:w="0" w:type="dxa"/>
            <w:vAlign w:val="center"/>
          </w:tcPr>
          <w:p>
            <w:pPr>
              <w:spacing w:line="240" w:lineRule="auto"/>
              <w:jc w:val="right"/>
            </w:pPr>
            <w:r>
              <w:rPr>
                <w:rFonts w:ascii="宋体" w:eastAsia="宋体" w:hAnsi="宋体" w:cs="宋体"/>
                <w:b w:val="0"/>
              </w:rPr>
              <w:t>380,000</w:t>
            </w:r>
          </w:p>
        </w:tc>
        <w:tc>
          <w:tcPr>
            <w:tcW w:w="0" w:type="dxa"/>
            <w:vAlign w:val="center"/>
          </w:tcPr>
          <w:p>
            <w:pPr>
              <w:spacing w:line="240" w:lineRule="auto"/>
              <w:jc w:val="right"/>
            </w:pPr>
            <w:r>
              <w:rPr>
                <w:rFonts w:ascii="宋体" w:eastAsia="宋体" w:hAnsi="宋体" w:cs="宋体"/>
                <w:b w:val="0"/>
              </w:rPr>
              <w:t>54,834,152.76</w:t>
            </w:r>
          </w:p>
        </w:tc>
        <w:tc>
          <w:tcPr>
            <w:tcW w:w="0" w:type="dxa"/>
            <w:vAlign w:val="center"/>
          </w:tcPr>
          <w:p>
            <w:pPr>
              <w:spacing w:line="240" w:lineRule="auto"/>
              <w:jc w:val="right"/>
            </w:pPr>
            <w:r>
              <w:rPr>
                <w:rFonts w:ascii="宋体" w:eastAsia="宋体" w:hAnsi="宋体" w:cs="宋体"/>
                <w:b w:val="0"/>
              </w:rPr>
              <w:t>8.93</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300548</w:t>
            </w:r>
          </w:p>
        </w:tc>
        <w:tc>
          <w:tcPr>
            <w:tcW w:w="0" w:type="dxa"/>
            <w:vAlign w:val="center"/>
          </w:tcPr>
          <w:p>
            <w:pPr>
              <w:spacing w:line="240" w:lineRule="auto"/>
              <w:jc w:val="left"/>
            </w:pPr>
            <w:r>
              <w:rPr>
                <w:rFonts w:ascii="宋体" w:eastAsia="宋体" w:hAnsi="宋体" w:cs="宋体"/>
                <w:b w:val="0"/>
              </w:rPr>
              <w:t>长芯博创</w:t>
            </w:r>
          </w:p>
        </w:tc>
        <w:tc>
          <w:tcPr>
            <w:tcW w:w="0" w:type="dxa"/>
            <w:vAlign w:val="center"/>
          </w:tcPr>
          <w:p>
            <w:pPr>
              <w:spacing w:line="240" w:lineRule="auto"/>
              <w:jc w:val="right"/>
            </w:pPr>
            <w:r>
              <w:rPr>
                <w:rFonts w:ascii="宋体" w:eastAsia="宋体" w:hAnsi="宋体" w:cs="宋体"/>
                <w:b w:val="0"/>
              </w:rPr>
              <w:t>240,000</w:t>
            </w:r>
          </w:p>
        </w:tc>
        <w:tc>
          <w:tcPr>
            <w:tcW w:w="0" w:type="dxa"/>
            <w:vAlign w:val="center"/>
          </w:tcPr>
          <w:p>
            <w:pPr>
              <w:spacing w:line="240" w:lineRule="auto"/>
              <w:jc w:val="right"/>
            </w:pPr>
            <w:r>
              <w:rPr>
                <w:rFonts w:ascii="宋体" w:eastAsia="宋体" w:hAnsi="宋体" w:cs="宋体"/>
                <w:b w:val="0"/>
              </w:rPr>
              <w:t>52,759,200.00</w:t>
            </w:r>
          </w:p>
        </w:tc>
        <w:tc>
          <w:tcPr>
            <w:tcW w:w="0" w:type="dxa"/>
            <w:vAlign w:val="center"/>
          </w:tcPr>
          <w:p>
            <w:pPr>
              <w:spacing w:line="240" w:lineRule="auto"/>
              <w:jc w:val="right"/>
            </w:pPr>
            <w:r>
              <w:rPr>
                <w:rFonts w:ascii="宋体" w:eastAsia="宋体" w:hAnsi="宋体" w:cs="宋体"/>
                <w:b w:val="0"/>
              </w:rPr>
              <w:t>8.59</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300570</w:t>
            </w:r>
          </w:p>
        </w:tc>
        <w:tc>
          <w:tcPr>
            <w:tcW w:w="0" w:type="dxa"/>
            <w:vAlign w:val="center"/>
          </w:tcPr>
          <w:p>
            <w:pPr>
              <w:spacing w:line="240" w:lineRule="auto"/>
              <w:jc w:val="left"/>
            </w:pPr>
            <w:r>
              <w:rPr>
                <w:rFonts w:ascii="宋体" w:eastAsia="宋体" w:hAnsi="宋体" w:cs="宋体"/>
                <w:b w:val="0"/>
              </w:rPr>
              <w:t>太辰光</w:t>
            </w:r>
          </w:p>
        </w:tc>
        <w:tc>
          <w:tcPr>
            <w:tcW w:w="0" w:type="dxa"/>
            <w:vAlign w:val="center"/>
          </w:tcPr>
          <w:p>
            <w:pPr>
              <w:spacing w:line="240" w:lineRule="auto"/>
              <w:jc w:val="right"/>
            </w:pPr>
            <w:r>
              <w:rPr>
                <w:rFonts w:ascii="宋体" w:eastAsia="宋体" w:hAnsi="宋体" w:cs="宋体"/>
                <w:b w:val="0"/>
              </w:rPr>
              <w:t>187,000</w:t>
            </w:r>
          </w:p>
        </w:tc>
        <w:tc>
          <w:tcPr>
            <w:tcW w:w="0" w:type="dxa"/>
            <w:vAlign w:val="center"/>
          </w:tcPr>
          <w:p>
            <w:pPr>
              <w:spacing w:line="240" w:lineRule="auto"/>
              <w:jc w:val="right"/>
            </w:pPr>
            <w:r>
              <w:rPr>
                <w:rFonts w:ascii="宋体" w:eastAsia="宋体" w:hAnsi="宋体" w:cs="宋体"/>
                <w:b w:val="0"/>
              </w:rPr>
              <w:t>39,709,450.00</w:t>
            </w:r>
          </w:p>
        </w:tc>
        <w:tc>
          <w:tcPr>
            <w:tcW w:w="0" w:type="dxa"/>
            <w:vAlign w:val="center"/>
          </w:tcPr>
          <w:p>
            <w:pPr>
              <w:spacing w:line="240" w:lineRule="auto"/>
              <w:jc w:val="right"/>
            </w:pPr>
            <w:r>
              <w:rPr>
                <w:rFonts w:ascii="宋体" w:eastAsia="宋体" w:hAnsi="宋体" w:cs="宋体"/>
                <w:b w:val="0"/>
              </w:rPr>
              <w:t>6.46</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300489</w:t>
            </w:r>
          </w:p>
        </w:tc>
        <w:tc>
          <w:tcPr>
            <w:tcW w:w="0" w:type="dxa"/>
            <w:vAlign w:val="center"/>
          </w:tcPr>
          <w:p>
            <w:pPr>
              <w:spacing w:line="240" w:lineRule="auto"/>
              <w:jc w:val="left"/>
            </w:pPr>
            <w:r>
              <w:rPr>
                <w:rFonts w:ascii="宋体" w:eastAsia="宋体" w:hAnsi="宋体" w:cs="宋体"/>
                <w:b w:val="0"/>
              </w:rPr>
              <w:t>光智科技</w:t>
            </w:r>
          </w:p>
        </w:tc>
        <w:tc>
          <w:tcPr>
            <w:tcW w:w="0" w:type="dxa"/>
            <w:vAlign w:val="center"/>
          </w:tcPr>
          <w:p>
            <w:pPr>
              <w:spacing w:line="240" w:lineRule="auto"/>
              <w:jc w:val="right"/>
            </w:pPr>
            <w:r>
              <w:rPr>
                <w:rFonts w:ascii="宋体" w:eastAsia="宋体" w:hAnsi="宋体" w:cs="宋体"/>
                <w:b w:val="0"/>
              </w:rPr>
              <w:t>140,000</w:t>
            </w:r>
          </w:p>
        </w:tc>
        <w:tc>
          <w:tcPr>
            <w:tcW w:w="0" w:type="dxa"/>
            <w:vAlign w:val="center"/>
          </w:tcPr>
          <w:p>
            <w:pPr>
              <w:spacing w:line="240" w:lineRule="auto"/>
              <w:jc w:val="right"/>
            </w:pPr>
            <w:r>
              <w:rPr>
                <w:rFonts w:ascii="宋体" w:eastAsia="宋体" w:hAnsi="宋体" w:cs="宋体"/>
                <w:b w:val="0"/>
              </w:rPr>
              <w:t>38,969,000.00</w:t>
            </w:r>
          </w:p>
        </w:tc>
        <w:tc>
          <w:tcPr>
            <w:tcW w:w="0" w:type="dxa"/>
            <w:vAlign w:val="center"/>
          </w:tcPr>
          <w:p>
            <w:pPr>
              <w:spacing w:line="240" w:lineRule="auto"/>
              <w:jc w:val="right"/>
            </w:pPr>
            <w:r>
              <w:rPr>
                <w:rFonts w:ascii="宋体" w:eastAsia="宋体" w:hAnsi="宋体" w:cs="宋体"/>
                <w:b w:val="0"/>
              </w:rPr>
              <w:t>6.34</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688143</w:t>
            </w:r>
          </w:p>
        </w:tc>
        <w:tc>
          <w:tcPr>
            <w:tcW w:w="0" w:type="dxa"/>
            <w:vAlign w:val="center"/>
          </w:tcPr>
          <w:p>
            <w:pPr>
              <w:spacing w:line="240" w:lineRule="auto"/>
              <w:jc w:val="left"/>
            </w:pPr>
            <w:r>
              <w:rPr>
                <w:rFonts w:ascii="宋体" w:eastAsia="宋体" w:hAnsi="宋体" w:cs="宋体"/>
                <w:b w:val="0"/>
              </w:rPr>
              <w:t>长盈通</w:t>
            </w:r>
          </w:p>
        </w:tc>
        <w:tc>
          <w:tcPr>
            <w:tcW w:w="0" w:type="dxa"/>
            <w:vAlign w:val="center"/>
          </w:tcPr>
          <w:p>
            <w:pPr>
              <w:spacing w:line="240" w:lineRule="auto"/>
              <w:jc w:val="right"/>
            </w:pPr>
            <w:r>
              <w:rPr>
                <w:rFonts w:ascii="宋体" w:eastAsia="宋体" w:hAnsi="宋体" w:cs="宋体"/>
                <w:b w:val="0"/>
              </w:rPr>
              <w:t>217,670</w:t>
            </w:r>
          </w:p>
        </w:tc>
        <w:tc>
          <w:tcPr>
            <w:tcW w:w="0" w:type="dxa"/>
            <w:vAlign w:val="center"/>
          </w:tcPr>
          <w:p>
            <w:pPr>
              <w:spacing w:line="240" w:lineRule="auto"/>
              <w:jc w:val="right"/>
            </w:pPr>
            <w:r>
              <w:rPr>
                <w:rFonts w:ascii="宋体" w:eastAsia="宋体" w:hAnsi="宋体" w:cs="宋体"/>
                <w:b w:val="0"/>
              </w:rPr>
              <w:t>38,020,418.90</w:t>
            </w:r>
          </w:p>
        </w:tc>
        <w:tc>
          <w:tcPr>
            <w:tcW w:w="0" w:type="dxa"/>
            <w:vAlign w:val="center"/>
          </w:tcPr>
          <w:p>
            <w:pPr>
              <w:spacing w:line="240" w:lineRule="auto"/>
              <w:jc w:val="right"/>
            </w:pPr>
            <w:r>
              <w:rPr>
                <w:rFonts w:ascii="宋体" w:eastAsia="宋体" w:hAnsi="宋体" w:cs="宋体"/>
                <w:b w:val="0"/>
              </w:rPr>
              <w:t>6.19</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300757</w:t>
            </w:r>
          </w:p>
        </w:tc>
        <w:tc>
          <w:tcPr>
            <w:tcW w:w="0" w:type="dxa"/>
            <w:vAlign w:val="center"/>
          </w:tcPr>
          <w:p>
            <w:pPr>
              <w:spacing w:line="240" w:lineRule="auto"/>
              <w:jc w:val="left"/>
            </w:pPr>
            <w:r>
              <w:rPr>
                <w:rFonts w:ascii="宋体" w:eastAsia="宋体" w:hAnsi="宋体" w:cs="宋体"/>
                <w:b w:val="0"/>
              </w:rPr>
              <w:t>罗博特科</w:t>
            </w:r>
          </w:p>
        </w:tc>
        <w:tc>
          <w:tcPr>
            <w:tcW w:w="0" w:type="dxa"/>
            <w:vAlign w:val="center"/>
          </w:tcPr>
          <w:p>
            <w:pPr>
              <w:spacing w:line="240" w:lineRule="auto"/>
              <w:jc w:val="right"/>
            </w:pPr>
            <w:r>
              <w:rPr>
                <w:rFonts w:ascii="宋体" w:eastAsia="宋体" w:hAnsi="宋体" w:cs="宋体"/>
                <w:b w:val="0"/>
              </w:rPr>
              <w:t>70,900</w:t>
            </w:r>
          </w:p>
        </w:tc>
        <w:tc>
          <w:tcPr>
            <w:tcW w:w="0" w:type="dxa"/>
            <w:vAlign w:val="center"/>
          </w:tcPr>
          <w:p>
            <w:pPr>
              <w:spacing w:line="240" w:lineRule="auto"/>
              <w:jc w:val="right"/>
            </w:pPr>
            <w:r>
              <w:rPr>
                <w:rFonts w:ascii="宋体" w:eastAsia="宋体" w:hAnsi="宋体" w:cs="宋体"/>
                <w:b w:val="0"/>
              </w:rPr>
              <w:t>37,825,150.00</w:t>
            </w:r>
          </w:p>
        </w:tc>
        <w:tc>
          <w:tcPr>
            <w:tcW w:w="0" w:type="dxa"/>
            <w:vAlign w:val="center"/>
          </w:tcPr>
          <w:p>
            <w:pPr>
              <w:spacing w:line="240" w:lineRule="auto"/>
              <w:jc w:val="right"/>
            </w:pPr>
            <w:r>
              <w:rPr>
                <w:rFonts w:ascii="宋体" w:eastAsia="宋体" w:hAnsi="宋体" w:cs="宋体"/>
                <w:b w:val="0"/>
              </w:rPr>
              <w:t>6.16</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300394</w:t>
            </w:r>
          </w:p>
        </w:tc>
        <w:tc>
          <w:tcPr>
            <w:tcW w:w="0" w:type="dxa"/>
            <w:vAlign w:val="center"/>
          </w:tcPr>
          <w:p>
            <w:pPr>
              <w:spacing w:line="240" w:lineRule="auto"/>
              <w:jc w:val="left"/>
            </w:pPr>
            <w:r>
              <w:rPr>
                <w:rFonts w:ascii="宋体" w:eastAsia="宋体" w:hAnsi="宋体" w:cs="宋体"/>
                <w:b w:val="0"/>
              </w:rPr>
              <w:t>天孚通信</w:t>
            </w:r>
          </w:p>
        </w:tc>
        <w:tc>
          <w:tcPr>
            <w:tcW w:w="0" w:type="dxa"/>
            <w:vAlign w:val="center"/>
          </w:tcPr>
          <w:p>
            <w:pPr>
              <w:spacing w:line="240" w:lineRule="auto"/>
              <w:jc w:val="right"/>
            </w:pPr>
            <w:r>
              <w:rPr>
                <w:rFonts w:ascii="宋体" w:eastAsia="宋体" w:hAnsi="宋体" w:cs="宋体"/>
                <w:b w:val="0"/>
              </w:rPr>
              <w:t>131,500</w:t>
            </w:r>
          </w:p>
        </w:tc>
        <w:tc>
          <w:tcPr>
            <w:tcW w:w="0" w:type="dxa"/>
            <w:vAlign w:val="center"/>
          </w:tcPr>
          <w:p>
            <w:pPr>
              <w:spacing w:line="240" w:lineRule="auto"/>
              <w:jc w:val="right"/>
            </w:pPr>
            <w:r>
              <w:rPr>
                <w:rFonts w:ascii="宋体" w:eastAsia="宋体" w:hAnsi="宋体" w:cs="宋体"/>
                <w:b w:val="0"/>
              </w:rPr>
              <w:t>34,291,255.00</w:t>
            </w:r>
          </w:p>
        </w:tc>
        <w:tc>
          <w:tcPr>
            <w:tcW w:w="0" w:type="dxa"/>
            <w:vAlign w:val="center"/>
          </w:tcPr>
          <w:p>
            <w:pPr>
              <w:spacing w:line="240" w:lineRule="auto"/>
              <w:jc w:val="right"/>
            </w:pPr>
            <w:r>
              <w:rPr>
                <w:rFonts w:ascii="宋体" w:eastAsia="宋体" w:hAnsi="宋体" w:cs="宋体"/>
                <w:b w:val="0"/>
              </w:rPr>
              <w:t>5.58</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920045</w:t>
            </w:r>
          </w:p>
        </w:tc>
        <w:tc>
          <w:tcPr>
            <w:tcW w:w="0" w:type="dxa"/>
            <w:vAlign w:val="center"/>
          </w:tcPr>
          <w:p>
            <w:pPr>
              <w:spacing w:line="240" w:lineRule="auto"/>
              <w:jc w:val="left"/>
            </w:pPr>
            <w:r>
              <w:rPr>
                <w:rFonts w:ascii="宋体" w:eastAsia="宋体" w:hAnsi="宋体" w:cs="宋体"/>
                <w:b w:val="0"/>
              </w:rPr>
              <w:t>蘅东光</w:t>
            </w:r>
          </w:p>
        </w:tc>
        <w:tc>
          <w:tcPr>
            <w:tcW w:w="0" w:type="dxa"/>
            <w:vAlign w:val="center"/>
          </w:tcPr>
          <w:p>
            <w:pPr>
              <w:spacing w:line="240" w:lineRule="auto"/>
              <w:jc w:val="right"/>
            </w:pPr>
            <w:r>
              <w:rPr>
                <w:rFonts w:ascii="宋体" w:eastAsia="宋体" w:hAnsi="宋体" w:cs="宋体"/>
                <w:b w:val="0"/>
              </w:rPr>
              <w:t>65,000</w:t>
            </w:r>
          </w:p>
        </w:tc>
        <w:tc>
          <w:tcPr>
            <w:tcW w:w="0" w:type="dxa"/>
            <w:vAlign w:val="center"/>
          </w:tcPr>
          <w:p>
            <w:pPr>
              <w:spacing w:line="240" w:lineRule="auto"/>
              <w:jc w:val="right"/>
            </w:pPr>
            <w:r>
              <w:rPr>
                <w:rFonts w:ascii="宋体" w:eastAsia="宋体" w:hAnsi="宋体" w:cs="宋体"/>
                <w:b w:val="0"/>
              </w:rPr>
              <w:t>33,345,000.00</w:t>
            </w:r>
          </w:p>
        </w:tc>
        <w:tc>
          <w:tcPr>
            <w:tcW w:w="0" w:type="dxa"/>
            <w:vAlign w:val="center"/>
          </w:tcPr>
          <w:p>
            <w:pPr>
              <w:spacing w:line="240" w:lineRule="auto"/>
              <w:jc w:val="right"/>
            </w:pPr>
            <w:r>
              <w:rPr>
                <w:rFonts w:ascii="宋体" w:eastAsia="宋体" w:hAnsi="宋体" w:cs="宋体"/>
                <w:b w:val="0"/>
              </w:rPr>
              <w:t>5.43</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688313</w:t>
            </w:r>
          </w:p>
        </w:tc>
        <w:tc>
          <w:tcPr>
            <w:tcW w:w="0" w:type="dxa"/>
            <w:vAlign w:val="center"/>
          </w:tcPr>
          <w:p>
            <w:pPr>
              <w:spacing w:line="240" w:lineRule="auto"/>
              <w:jc w:val="left"/>
            </w:pPr>
            <w:r>
              <w:rPr>
                <w:rFonts w:ascii="宋体" w:eastAsia="宋体" w:hAnsi="宋体" w:cs="宋体"/>
                <w:b w:val="0"/>
              </w:rPr>
              <w:t>仕佳光子</w:t>
            </w:r>
          </w:p>
        </w:tc>
        <w:tc>
          <w:tcPr>
            <w:tcW w:w="0" w:type="dxa"/>
            <w:vAlign w:val="center"/>
          </w:tcPr>
          <w:p>
            <w:pPr>
              <w:spacing w:line="240" w:lineRule="auto"/>
              <w:jc w:val="right"/>
            </w:pPr>
            <w:r>
              <w:rPr>
                <w:rFonts w:ascii="宋体" w:eastAsia="宋体" w:hAnsi="宋体" w:cs="宋体"/>
                <w:b w:val="0"/>
              </w:rPr>
              <w:t>195,658</w:t>
            </w:r>
          </w:p>
        </w:tc>
        <w:tc>
          <w:tcPr>
            <w:tcW w:w="0" w:type="dxa"/>
            <w:vAlign w:val="center"/>
          </w:tcPr>
          <w:p>
            <w:pPr>
              <w:spacing w:line="240" w:lineRule="auto"/>
              <w:jc w:val="right"/>
            </w:pPr>
            <w:r>
              <w:rPr>
                <w:rFonts w:ascii="宋体" w:eastAsia="宋体" w:hAnsi="宋体" w:cs="宋体"/>
                <w:b w:val="0"/>
              </w:rPr>
              <w:t>30,225,247.84</w:t>
            </w:r>
          </w:p>
        </w:tc>
        <w:tc>
          <w:tcPr>
            <w:tcW w:w="0" w:type="dxa"/>
            <w:vAlign w:val="center"/>
          </w:tcPr>
          <w:p>
            <w:pPr>
              <w:spacing w:line="240" w:lineRule="auto"/>
              <w:jc w:val="right"/>
            </w:pPr>
            <w:r>
              <w:rPr>
                <w:rFonts w:ascii="宋体" w:eastAsia="宋体" w:hAnsi="宋体" w:cs="宋体"/>
                <w:b w:val="0"/>
              </w:rPr>
              <w:t>4.92</w:t>
            </w:r>
          </w:p>
        </w:tc>
      </w:tr>
    </w:tbl>
    <w:p/>
    <w:p>
      <w:pPr>
        <w:pStyle w:val="Heading2"/>
        <w:jc w:val="left"/>
      </w:pPr>
      <w:r>
        <w:rPr>
          <w:rFonts w:ascii="宋体" w:eastAsia="宋体" w:hAnsi="宋体" w:cs="宋体"/>
        </w:rPr>
        <w:t>5.4 报告期末按债券品种分类的债券投资组合</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266"/>
        <w:gridCol w:w="2266"/>
        <w:gridCol w:w="2266"/>
        <w:gridCol w:w="226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1538" w:type="pct"/>
            <w:shd w:val="clear" w:color="auto" w:fill="D9D9D9"/>
            <w:vAlign w:val="center"/>
          </w:tcPr>
          <w:p>
            <w:pPr>
              <w:spacing w:line="240" w:lineRule="auto"/>
              <w:jc w:val="center"/>
            </w:pPr>
            <w:r>
              <w:rPr>
                <w:rFonts w:ascii="宋体" w:eastAsia="宋体" w:hAnsi="宋体" w:cs="宋体"/>
                <w:b w:val="0"/>
              </w:rPr>
              <w:t>债券品种</w:t>
            </w:r>
          </w:p>
        </w:tc>
        <w:tc>
          <w:tcPr>
            <w:tcW w:w="769" w:type="pct"/>
            <w:shd w:val="clear" w:color="auto" w:fill="D9D9D9"/>
            <w:vAlign w:val="center"/>
          </w:tcPr>
          <w:p>
            <w:pPr>
              <w:spacing w:line="240" w:lineRule="auto"/>
              <w:jc w:val="center"/>
            </w:pPr>
            <w:r>
              <w:rPr>
                <w:rFonts w:ascii="宋体" w:eastAsia="宋体" w:hAnsi="宋体" w:cs="宋体"/>
                <w:b w:val="0"/>
              </w:rPr>
              <w:t>公允价值(元)</w:t>
            </w:r>
          </w:p>
        </w:tc>
        <w:tc>
          <w:tcPr>
            <w:tcW w:w="1077"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国家债券</w:t>
            </w:r>
          </w:p>
        </w:tc>
        <w:tc>
          <w:tcPr>
            <w:tcW w:w="0" w:type="dxa"/>
            <w:vAlign w:val="center"/>
          </w:tcPr>
          <w:p>
            <w:pPr>
              <w:spacing w:line="240" w:lineRule="auto"/>
              <w:jc w:val="right"/>
            </w:pPr>
            <w:r>
              <w:rPr>
                <w:rFonts w:ascii="宋体" w:eastAsia="宋体" w:hAnsi="宋体" w:cs="宋体"/>
                <w:b w:val="0"/>
              </w:rPr>
              <w:t>31,217,933.73</w:t>
            </w:r>
          </w:p>
        </w:tc>
        <w:tc>
          <w:tcPr>
            <w:tcW w:w="0" w:type="dxa"/>
            <w:vAlign w:val="center"/>
          </w:tcPr>
          <w:p>
            <w:pPr>
              <w:spacing w:line="240" w:lineRule="auto"/>
              <w:jc w:val="right"/>
            </w:pPr>
            <w:r>
              <w:rPr>
                <w:rFonts w:ascii="宋体" w:eastAsia="宋体" w:hAnsi="宋体" w:cs="宋体"/>
                <w:b w:val="0"/>
              </w:rPr>
              <w:t>5.08</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央行票据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金融债券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p>
        </w:tc>
        <w:tc>
          <w:tcPr>
            <w:tcW w:w="0" w:type="dxa"/>
            <w:vAlign w:val="center"/>
          </w:tcPr>
          <w:p>
            <w:pPr>
              <w:spacing w:line="240" w:lineRule="auto"/>
              <w:jc w:val="left"/>
            </w:pPr>
            <w:r>
              <w:rPr>
                <w:rFonts w:ascii="宋体" w:eastAsia="宋体" w:hAnsi="宋体" w:cs="宋体"/>
                <w:b w:val="0"/>
              </w:rPr>
              <w:t>其中：政策性金融债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企业债券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企业短期融资券</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中期票据</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可转债（可交换债）</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同业存单</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9</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10</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31,217,933.73</w:t>
            </w:r>
          </w:p>
        </w:tc>
        <w:tc>
          <w:tcPr>
            <w:tcW w:w="0" w:type="dxa"/>
            <w:vAlign w:val="center"/>
          </w:tcPr>
          <w:p>
            <w:pPr>
              <w:spacing w:line="240" w:lineRule="auto"/>
              <w:jc w:val="right"/>
            </w:pPr>
            <w:r>
              <w:rPr>
                <w:rFonts w:ascii="宋体" w:eastAsia="宋体" w:hAnsi="宋体" w:cs="宋体"/>
                <w:b w:val="0"/>
              </w:rPr>
              <w:t>5.08</w:t>
            </w:r>
          </w:p>
        </w:tc>
      </w:tr>
    </w:tbl>
    <w:p/>
    <w:p>
      <w:pPr>
        <w:pStyle w:val="Heading2"/>
        <w:jc w:val="left"/>
      </w:pPr>
      <w:r>
        <w:rPr>
          <w:rFonts w:ascii="宋体" w:eastAsia="宋体" w:hAnsi="宋体" w:cs="宋体"/>
        </w:rPr>
        <w:t>5.5 报告期末按公允价值占基金资产净值比例大小排序的前五名债券投资明细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769" w:type="pct"/>
            <w:shd w:val="clear" w:color="auto" w:fill="D9D9D9"/>
            <w:vAlign w:val="center"/>
          </w:tcPr>
          <w:p>
            <w:pPr>
              <w:spacing w:line="240" w:lineRule="auto"/>
              <w:jc w:val="center"/>
            </w:pPr>
            <w:r>
              <w:rPr>
                <w:rFonts w:ascii="宋体" w:eastAsia="宋体" w:hAnsi="宋体" w:cs="宋体"/>
                <w:b w:val="0"/>
              </w:rPr>
              <w:t>债券代码</w:t>
            </w:r>
          </w:p>
        </w:tc>
        <w:tc>
          <w:tcPr>
            <w:tcW w:w="769" w:type="pct"/>
            <w:shd w:val="clear" w:color="auto" w:fill="D9D9D9"/>
            <w:vAlign w:val="center"/>
          </w:tcPr>
          <w:p>
            <w:pPr>
              <w:spacing w:line="240" w:lineRule="auto"/>
              <w:jc w:val="center"/>
            </w:pPr>
            <w:r>
              <w:rPr>
                <w:rFonts w:ascii="宋体" w:eastAsia="宋体" w:hAnsi="宋体" w:cs="宋体"/>
                <w:b w:val="0"/>
              </w:rPr>
              <w:t>债券名称</w:t>
            </w:r>
          </w:p>
        </w:tc>
        <w:tc>
          <w:tcPr>
            <w:tcW w:w="615" w:type="pct"/>
            <w:shd w:val="clear" w:color="auto" w:fill="D9D9D9"/>
            <w:vAlign w:val="center"/>
          </w:tcPr>
          <w:p>
            <w:pPr>
              <w:spacing w:line="240" w:lineRule="auto"/>
              <w:jc w:val="center"/>
            </w:pPr>
            <w:r>
              <w:rPr>
                <w:rFonts w:ascii="宋体" w:eastAsia="宋体" w:hAnsi="宋体" w:cs="宋体"/>
                <w:b w:val="0"/>
              </w:rPr>
              <w:t>数量(张)</w:t>
            </w:r>
          </w:p>
        </w:tc>
        <w:tc>
          <w:tcPr>
            <w:tcW w:w="923" w:type="pct"/>
            <w:shd w:val="clear" w:color="auto" w:fill="D9D9D9"/>
            <w:vAlign w:val="center"/>
          </w:tcPr>
          <w:p>
            <w:pPr>
              <w:spacing w:line="240" w:lineRule="auto"/>
              <w:jc w:val="center"/>
            </w:pPr>
            <w:r>
              <w:rPr>
                <w:rFonts w:ascii="宋体" w:eastAsia="宋体" w:hAnsi="宋体" w:cs="宋体"/>
                <w:b w:val="0"/>
              </w:rPr>
              <w:t>公允价值(元)</w:t>
            </w:r>
          </w:p>
        </w:tc>
        <w:tc>
          <w:tcPr>
            <w:tcW w:w="923" w:type="pct"/>
            <w:shd w:val="clear" w:color="auto" w:fill="D9D9D9"/>
            <w:vAlign w:val="center"/>
          </w:tcPr>
          <w:p>
            <w:pPr>
              <w:spacing w:line="240" w:lineRule="auto"/>
              <w:jc w:val="center"/>
            </w:pPr>
            <w:r>
              <w:rPr>
                <w:rFonts w:ascii="宋体" w:eastAsia="宋体" w:hAnsi="宋体" w:cs="宋体"/>
                <w:b w:val="0"/>
              </w:rPr>
              <w:t>占基金资产净值比例(%)</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019827</w:t>
            </w:r>
          </w:p>
        </w:tc>
        <w:tc>
          <w:tcPr>
            <w:tcW w:w="0" w:type="dxa"/>
            <w:vAlign w:val="center"/>
          </w:tcPr>
          <w:p>
            <w:pPr>
              <w:spacing w:line="240" w:lineRule="auto"/>
              <w:jc w:val="left"/>
            </w:pPr>
            <w:r>
              <w:rPr>
                <w:rFonts w:ascii="宋体" w:eastAsia="宋体" w:hAnsi="宋体" w:cs="宋体"/>
                <w:b w:val="0"/>
              </w:rPr>
              <w:t>26国债01</w:t>
            </w:r>
          </w:p>
        </w:tc>
        <w:tc>
          <w:tcPr>
            <w:tcW w:w="0" w:type="dxa"/>
            <w:vAlign w:val="center"/>
          </w:tcPr>
          <w:p>
            <w:pPr>
              <w:spacing w:line="240" w:lineRule="auto"/>
              <w:jc w:val="right"/>
            </w:pPr>
            <w:r>
              <w:rPr>
                <w:rFonts w:ascii="宋体" w:eastAsia="宋体" w:hAnsi="宋体" w:cs="宋体"/>
                <w:b w:val="0"/>
              </w:rPr>
              <w:t>309,500</w:t>
            </w:r>
          </w:p>
        </w:tc>
        <w:tc>
          <w:tcPr>
            <w:tcW w:w="0" w:type="dxa"/>
            <w:vAlign w:val="center"/>
          </w:tcPr>
          <w:p>
            <w:pPr>
              <w:spacing w:line="240" w:lineRule="auto"/>
              <w:jc w:val="right"/>
            </w:pPr>
            <w:r>
              <w:rPr>
                <w:rFonts w:ascii="宋体" w:eastAsia="宋体" w:hAnsi="宋体" w:cs="宋体"/>
                <w:b w:val="0"/>
              </w:rPr>
              <w:t>31,217,933.73</w:t>
            </w:r>
          </w:p>
        </w:tc>
        <w:tc>
          <w:tcPr>
            <w:tcW w:w="0" w:type="dxa"/>
            <w:vAlign w:val="center"/>
          </w:tcPr>
          <w:p>
            <w:pPr>
              <w:spacing w:line="240" w:lineRule="auto"/>
              <w:jc w:val="right"/>
            </w:pPr>
            <w:r>
              <w:rPr>
                <w:rFonts w:ascii="宋体" w:eastAsia="宋体" w:hAnsi="宋体" w:cs="宋体"/>
                <w:b w:val="0"/>
              </w:rPr>
              <w:t>5.08</w:t>
            </w:r>
          </w:p>
        </w:tc>
      </w:tr>
    </w:tbl>
    <w:p>
      <w:r>
        <w:rPr>
          <w:rFonts w:ascii="宋体" w:eastAsia="宋体" w:hAnsi="宋体" w:cs="宋体"/>
          <w:b w:val="0"/>
        </w:rPr>
        <w:t>注：本基金本报告期末仅持有上述债券。</w:t>
      </w:r>
    </w:p>
    <w:p/>
    <w:p>
      <w:pPr>
        <w:pStyle w:val="Heading2"/>
        <w:jc w:val="left"/>
      </w:pPr>
      <w:r>
        <w:rPr>
          <w:rFonts w:ascii="宋体" w:eastAsia="宋体" w:hAnsi="宋体" w:cs="宋体"/>
        </w:rPr>
        <w:t>5.6 报告期末按公允价值占基金资产净值比例大小排序的前十名资产支持证券投资明细</w:t>
      </w:r>
    </w:p>
    <w:p>
      <w:r>
        <w:rPr>
          <w:rFonts w:ascii="宋体" w:eastAsia="宋体" w:hAnsi="宋体" w:cs="宋体"/>
          <w:b w:val="0"/>
        </w:rPr>
        <w:t xml:space="preserve">    本基金本报告期末未持有资产支持证券。</w:t>
      </w:r>
    </w:p>
    <w:p/>
    <w:p>
      <w:pPr>
        <w:pStyle w:val="Heading2"/>
        <w:jc w:val="left"/>
      </w:pPr>
      <w:r>
        <w:rPr>
          <w:rFonts w:ascii="宋体" w:eastAsia="宋体" w:hAnsi="宋体" w:cs="宋体"/>
        </w:rPr>
        <w:t>5.7 报告期末按公允价值占基金资产净值比例大小排序的前五名贵金属投资明细</w:t>
      </w:r>
    </w:p>
    <w:p>
      <w:r>
        <w:rPr>
          <w:rFonts w:ascii="宋体" w:eastAsia="宋体" w:hAnsi="宋体" w:cs="宋体"/>
          <w:b w:val="0"/>
        </w:rPr>
        <w:t xml:space="preserve">    本基金本报告期末未持有贵金属。</w:t>
      </w:r>
    </w:p>
    <w:p/>
    <w:p>
      <w:pPr>
        <w:pStyle w:val="Heading2"/>
        <w:jc w:val="left"/>
      </w:pPr>
      <w:r>
        <w:rPr>
          <w:rFonts w:ascii="宋体" w:eastAsia="宋体" w:hAnsi="宋体" w:cs="宋体"/>
        </w:rPr>
        <w:t>5.8 报告期末按公允价值占基金资产净值比例大小排序的前五名权证投资明细</w:t>
      </w:r>
    </w:p>
    <w:p>
      <w:r>
        <w:rPr>
          <w:rFonts w:ascii="宋体" w:eastAsia="宋体" w:hAnsi="宋体" w:cs="宋体"/>
          <w:b w:val="0"/>
        </w:rPr>
        <w:t xml:space="preserve">    本基金本报告期末未持有权证。</w:t>
      </w:r>
    </w:p>
    <w:p/>
    <w:p>
      <w:pPr>
        <w:pStyle w:val="Heading2"/>
        <w:jc w:val="left"/>
      </w:pPr>
      <w:r>
        <w:rPr>
          <w:rFonts w:ascii="宋体" w:eastAsia="宋体" w:hAnsi="宋体" w:cs="宋体"/>
        </w:rPr>
        <w:t>5.9 报告期末本基金投资的股指期货交易情况说明</w:t>
      </w:r>
    </w:p>
    <w:p>
      <w:r>
        <w:rPr>
          <w:rFonts w:ascii="宋体" w:eastAsia="宋体" w:hAnsi="宋体" w:cs="宋体"/>
          <w:b w:val="0"/>
        </w:rPr>
        <w:t xml:space="preserve">    本基金本报告期末未持有股指期货。</w:t>
      </w:r>
    </w:p>
    <w:p/>
    <w:p>
      <w:pPr>
        <w:pStyle w:val="Heading2"/>
        <w:jc w:val="left"/>
      </w:pPr>
      <w:r>
        <w:rPr>
          <w:rFonts w:ascii="宋体" w:eastAsia="宋体" w:hAnsi="宋体" w:cs="宋体"/>
        </w:rPr>
        <w:t>5.10 报告期末本基金投资的国债期货交易情况说明</w:t>
      </w:r>
    </w:p>
    <w:p>
      <w:r>
        <w:rPr>
          <w:rFonts w:ascii="宋体" w:eastAsia="宋体" w:hAnsi="宋体" w:cs="宋体"/>
          <w:b w:val="0"/>
        </w:rPr>
        <w:t xml:space="preserve">    本基金本报告期末未持有国债期货。</w:t>
      </w:r>
    </w:p>
    <w:p/>
    <w:p>
      <w:pPr>
        <w:pStyle w:val="Heading2"/>
        <w:jc w:val="left"/>
      </w:pPr>
      <w:r>
        <w:rPr>
          <w:rFonts w:ascii="宋体" w:eastAsia="宋体" w:hAnsi="宋体" w:cs="宋体"/>
        </w:rPr>
        <w:t>5.11 投资组合报告附注</w:t>
      </w:r>
    </w:p>
    <w:p>
      <w:pPr>
        <w:pStyle w:val="zhangjiep2"/>
      </w:pPr>
      <w:r>
        <w:rPr>
          <w:rStyle w:val="DefaultParagraphFont"/>
          <w:rFonts w:ascii="宋体" w:eastAsia="宋体" w:hAnsi="宋体" w:cs="宋体"/>
          <w:b/>
        </w:rPr>
        <w:t>5.11.1 本基金投资的前十名证券的发行主体本期受到监管部门立案调查或报告编制日前一年内受到公开谴责、处罚的情形说明</w:t>
      </w:r>
    </w:p>
    <w:p>
      <w:r>
        <w:rPr>
          <w:rFonts w:ascii="宋体" w:eastAsia="宋体" w:hAnsi="宋体" w:cs="宋体"/>
          <w:b w:val="0"/>
        </w:rPr>
        <w:t xml:space="preserve">    本基金投资的前十名证券的发行主体本期未出现被监管部门立案调查，或在报告编制日前一年内受到公开谴责、处罚的情形。</w:t>
      </w:r>
    </w:p>
    <w:p/>
    <w:p>
      <w:pPr>
        <w:pStyle w:val="zhangjiep2"/>
      </w:pPr>
      <w:r>
        <w:rPr>
          <w:rStyle w:val="DefaultParagraphFont"/>
          <w:rFonts w:ascii="宋体" w:eastAsia="宋体" w:hAnsi="宋体" w:cs="宋体"/>
          <w:b/>
        </w:rPr>
        <w:t>5.11.2 基金投资的前十名股票超出基金合同约定的备选股票库情况的说明</w:t>
      </w:r>
    </w:p>
    <w:p>
      <w:r>
        <w:rPr>
          <w:rFonts w:ascii="宋体" w:eastAsia="宋体" w:hAnsi="宋体" w:cs="宋体"/>
          <w:b w:val="0"/>
        </w:rPr>
        <w:t xml:space="preserve">    基金投资的前十名股票，均为基金合同约定备选股票库之内的股票。</w:t>
      </w:r>
    </w:p>
    <w:p/>
    <w:p>
      <w:pPr>
        <w:pStyle w:val="zhangjiep2"/>
      </w:pPr>
      <w:r>
        <w:rPr>
          <w:rStyle w:val="DefaultParagraphFont"/>
          <w:rFonts w:ascii="宋体" w:eastAsia="宋体" w:hAnsi="宋体" w:cs="宋体"/>
          <w:b/>
        </w:rPr>
        <w:t>5.11.3 其他资产构成</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021"/>
        <w:gridCol w:w="3021"/>
        <w:gridCol w:w="30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15" w:type="pct"/>
            <w:shd w:val="clear" w:color="auto" w:fill="D9D9D9"/>
            <w:vAlign w:val="center"/>
          </w:tcPr>
          <w:p>
            <w:pPr>
              <w:spacing w:line="240" w:lineRule="auto"/>
              <w:jc w:val="center"/>
            </w:pPr>
            <w:r>
              <w:rPr>
                <w:rFonts w:ascii="宋体" w:eastAsia="宋体" w:hAnsi="宋体" w:cs="宋体"/>
                <w:b w:val="0"/>
              </w:rPr>
              <w:t>序号</w:t>
            </w:r>
          </w:p>
        </w:tc>
        <w:tc>
          <w:tcPr>
            <w:tcW w:w="2308" w:type="pct"/>
            <w:shd w:val="clear" w:color="auto" w:fill="D9D9D9"/>
            <w:vAlign w:val="center"/>
          </w:tcPr>
          <w:p>
            <w:pPr>
              <w:spacing w:line="240" w:lineRule="auto"/>
              <w:jc w:val="center"/>
            </w:pPr>
            <w:r>
              <w:rPr>
                <w:rFonts w:ascii="宋体" w:eastAsia="宋体" w:hAnsi="宋体" w:cs="宋体"/>
                <w:b w:val="0"/>
              </w:rPr>
              <w:t>名称</w:t>
            </w:r>
          </w:p>
        </w:tc>
        <w:tc>
          <w:tcPr>
            <w:tcW w:w="1538" w:type="pct"/>
            <w:shd w:val="clear" w:color="auto" w:fill="D9D9D9"/>
            <w:vAlign w:val="center"/>
          </w:tcPr>
          <w:p>
            <w:pPr>
              <w:spacing w:line="240" w:lineRule="auto"/>
              <w:jc w:val="center"/>
            </w:pPr>
            <w:r>
              <w:rPr>
                <w:rFonts w:ascii="宋体" w:eastAsia="宋体" w:hAnsi="宋体" w:cs="宋体"/>
                <w:b w:val="0"/>
              </w:rPr>
              <w:t>金额(元)</w:t>
            </w:r>
          </w:p>
        </w:tc>
      </w:tr>
      <w:tr>
        <w:tblPrEx>
          <w:tblW w:w="5000" w:type="pct"/>
        </w:tblPrEx>
        <w:tc>
          <w:tcPr>
            <w:tcW w:w="0" w:type="dxa"/>
            <w:vAlign w:val="center"/>
          </w:tcPr>
          <w:p>
            <w:pPr>
              <w:spacing w:line="240" w:lineRule="auto"/>
              <w:jc w:val="center"/>
            </w:pPr>
            <w:r>
              <w:rPr>
                <w:rFonts w:ascii="宋体" w:eastAsia="宋体" w:hAnsi="宋体" w:cs="宋体"/>
                <w:b w:val="0"/>
              </w:rPr>
              <w:t>1</w:t>
            </w:r>
          </w:p>
        </w:tc>
        <w:tc>
          <w:tcPr>
            <w:tcW w:w="0" w:type="dxa"/>
            <w:vAlign w:val="center"/>
          </w:tcPr>
          <w:p>
            <w:pPr>
              <w:spacing w:line="240" w:lineRule="auto"/>
              <w:jc w:val="left"/>
            </w:pPr>
            <w:r>
              <w:rPr>
                <w:rFonts w:ascii="宋体" w:eastAsia="宋体" w:hAnsi="宋体" w:cs="宋体"/>
                <w:b w:val="0"/>
              </w:rPr>
              <w:t>存出保证金</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2</w:t>
            </w:r>
          </w:p>
        </w:tc>
        <w:tc>
          <w:tcPr>
            <w:tcW w:w="0" w:type="dxa"/>
            <w:vAlign w:val="center"/>
          </w:tcPr>
          <w:p>
            <w:pPr>
              <w:spacing w:line="240" w:lineRule="auto"/>
              <w:jc w:val="left"/>
            </w:pPr>
            <w:r>
              <w:rPr>
                <w:rFonts w:ascii="宋体" w:eastAsia="宋体" w:hAnsi="宋体" w:cs="宋体"/>
                <w:b w:val="0"/>
              </w:rPr>
              <w:t>应收证券清算款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3</w:t>
            </w:r>
          </w:p>
        </w:tc>
        <w:tc>
          <w:tcPr>
            <w:tcW w:w="0" w:type="dxa"/>
            <w:vAlign w:val="center"/>
          </w:tcPr>
          <w:p>
            <w:pPr>
              <w:spacing w:line="240" w:lineRule="auto"/>
              <w:jc w:val="left"/>
            </w:pPr>
            <w:r>
              <w:rPr>
                <w:rFonts w:ascii="宋体" w:eastAsia="宋体" w:hAnsi="宋体" w:cs="宋体"/>
                <w:b w:val="0"/>
              </w:rPr>
              <w:t>应收股利</w:t>
            </w:r>
          </w:p>
        </w:tc>
        <w:tc>
          <w:tcPr>
            <w:tcW w:w="0" w:type="dxa"/>
            <w:vAlign w:val="center"/>
          </w:tcPr>
          <w:p>
            <w:pPr>
              <w:spacing w:line="240" w:lineRule="auto"/>
              <w:jc w:val="right"/>
            </w:pPr>
            <w:r>
              <w:rPr>
                <w:rFonts w:ascii="宋体" w:eastAsia="宋体" w:hAnsi="宋体" w:cs="宋体"/>
                <w:b w:val="0"/>
              </w:rPr>
              <w:t>339,200.00</w:t>
            </w:r>
          </w:p>
        </w:tc>
      </w:tr>
      <w:tr>
        <w:tblPrEx>
          <w:tblW w:w="5000" w:type="pct"/>
        </w:tblPrEx>
        <w:tc>
          <w:tcPr>
            <w:tcW w:w="0" w:type="dxa"/>
            <w:vAlign w:val="center"/>
          </w:tcPr>
          <w:p>
            <w:pPr>
              <w:spacing w:line="240" w:lineRule="auto"/>
              <w:jc w:val="center"/>
            </w:pPr>
            <w:r>
              <w:rPr>
                <w:rFonts w:ascii="宋体" w:eastAsia="宋体" w:hAnsi="宋体" w:cs="宋体"/>
                <w:b w:val="0"/>
              </w:rPr>
              <w:t>4</w:t>
            </w:r>
          </w:p>
        </w:tc>
        <w:tc>
          <w:tcPr>
            <w:tcW w:w="0" w:type="dxa"/>
            <w:vAlign w:val="center"/>
          </w:tcPr>
          <w:p>
            <w:pPr>
              <w:spacing w:line="240" w:lineRule="auto"/>
              <w:jc w:val="left"/>
            </w:pPr>
            <w:r>
              <w:rPr>
                <w:rFonts w:ascii="宋体" w:eastAsia="宋体" w:hAnsi="宋体" w:cs="宋体"/>
                <w:b w:val="0"/>
              </w:rPr>
              <w:t>应收利息</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5</w:t>
            </w:r>
          </w:p>
        </w:tc>
        <w:tc>
          <w:tcPr>
            <w:tcW w:w="0" w:type="dxa"/>
            <w:vAlign w:val="center"/>
          </w:tcPr>
          <w:p>
            <w:pPr>
              <w:spacing w:line="240" w:lineRule="auto"/>
              <w:jc w:val="left"/>
            </w:pPr>
            <w:r>
              <w:rPr>
                <w:rFonts w:ascii="宋体" w:eastAsia="宋体" w:hAnsi="宋体" w:cs="宋体"/>
                <w:b w:val="0"/>
              </w:rPr>
              <w:t>应收申购款</w:t>
            </w:r>
          </w:p>
        </w:tc>
        <w:tc>
          <w:tcPr>
            <w:tcW w:w="0" w:type="dxa"/>
            <w:vAlign w:val="center"/>
          </w:tcPr>
          <w:p>
            <w:pPr>
              <w:spacing w:line="240" w:lineRule="auto"/>
              <w:jc w:val="right"/>
            </w:pPr>
            <w:r>
              <w:rPr>
                <w:rFonts w:ascii="宋体" w:eastAsia="宋体" w:hAnsi="宋体" w:cs="宋体"/>
                <w:b w:val="0"/>
              </w:rPr>
              <w:t>5,769,686.91</w:t>
            </w:r>
          </w:p>
        </w:tc>
      </w:tr>
      <w:tr>
        <w:tblPrEx>
          <w:tblW w:w="5000" w:type="pct"/>
        </w:tblPrEx>
        <w:tc>
          <w:tcPr>
            <w:tcW w:w="0" w:type="dxa"/>
            <w:vAlign w:val="center"/>
          </w:tcPr>
          <w:p>
            <w:pPr>
              <w:spacing w:line="240" w:lineRule="auto"/>
              <w:jc w:val="center"/>
            </w:pPr>
            <w:r>
              <w:rPr>
                <w:rFonts w:ascii="宋体" w:eastAsia="宋体" w:hAnsi="宋体" w:cs="宋体"/>
                <w:b w:val="0"/>
              </w:rPr>
              <w:t>6</w:t>
            </w:r>
          </w:p>
        </w:tc>
        <w:tc>
          <w:tcPr>
            <w:tcW w:w="0" w:type="dxa"/>
            <w:vAlign w:val="center"/>
          </w:tcPr>
          <w:p>
            <w:pPr>
              <w:spacing w:line="240" w:lineRule="auto"/>
              <w:jc w:val="left"/>
            </w:pPr>
            <w:r>
              <w:rPr>
                <w:rFonts w:ascii="宋体" w:eastAsia="宋体" w:hAnsi="宋体" w:cs="宋体"/>
                <w:b w:val="0"/>
              </w:rPr>
              <w:t>其他应收款</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7</w:t>
            </w:r>
          </w:p>
        </w:tc>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8</w:t>
            </w:r>
          </w:p>
        </w:tc>
        <w:tc>
          <w:tcPr>
            <w:tcW w:w="0" w:type="dxa"/>
            <w:vAlign w:val="center"/>
          </w:tcPr>
          <w:p>
            <w:pPr>
              <w:spacing w:line="240" w:lineRule="auto"/>
              <w:jc w:val="left"/>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6,108,886.91</w:t>
            </w:r>
          </w:p>
        </w:tc>
      </w:tr>
    </w:tbl>
    <w:p/>
    <w:p>
      <w:pPr>
        <w:pStyle w:val="zhangjiep2"/>
      </w:pPr>
      <w:r>
        <w:rPr>
          <w:rStyle w:val="DefaultParagraphFont"/>
          <w:rFonts w:ascii="宋体" w:eastAsia="宋体" w:hAnsi="宋体" w:cs="宋体"/>
          <w:b/>
        </w:rPr>
        <w:t>5.11.4 报告期末持有的处于转股期的可转换债券明细</w:t>
      </w:r>
    </w:p>
    <w:p>
      <w:r>
        <w:rPr>
          <w:rFonts w:ascii="宋体" w:eastAsia="宋体" w:hAnsi="宋体" w:cs="宋体"/>
          <w:b w:val="0"/>
        </w:rPr>
        <w:t xml:space="preserve">    本基金本报告期末未持有处于转股期的可转换债券。</w:t>
      </w:r>
    </w:p>
    <w:p/>
    <w:p>
      <w:pPr>
        <w:pStyle w:val="zhangjiep2"/>
      </w:pPr>
      <w:r>
        <w:rPr>
          <w:rStyle w:val="DefaultParagraphFont"/>
          <w:rFonts w:ascii="宋体" w:eastAsia="宋体" w:hAnsi="宋体" w:cs="宋体"/>
          <w:b/>
        </w:rPr>
        <w:t>5.11.5 报告期末前十名股票中存在流通受限情况的说明</w:t>
      </w:r>
    </w:p>
    <w:p>
      <w:r>
        <w:rPr>
          <w:rFonts w:ascii="宋体" w:eastAsia="宋体" w:hAnsi="宋体" w:cs="宋体"/>
          <w:b w:val="0"/>
        </w:rPr>
        <w:t xml:space="preserve">    本基金本报告期末前十名股票中不存在流通受限的情况。</w:t>
      </w:r>
    </w:p>
    <w:p/>
    <w:p>
      <w:pPr>
        <w:pStyle w:val="zhangjiep2"/>
      </w:pPr>
      <w:r>
        <w:rPr>
          <w:rStyle w:val="DefaultParagraphFont"/>
          <w:rFonts w:ascii="宋体" w:eastAsia="宋体" w:hAnsi="宋体" w:cs="宋体"/>
          <w:b/>
        </w:rPr>
        <w:t>5.11.6 投资组合报告附注的其他文字描述部分</w:t>
      </w:r>
    </w:p>
    <w:p>
      <w:r>
        <w:rPr>
          <w:rFonts w:ascii="宋体" w:eastAsia="宋体" w:hAnsi="宋体" w:cs="宋体"/>
          <w:b w:val="0"/>
        </w:rPr>
        <w:t xml:space="preserve">    由于四舍五入原因，分项之和与合计项之间可能存在尾差。</w:t>
      </w:r>
    </w:p>
    <w:p>
      <w:pPr>
        <w:pStyle w:val="Heading1"/>
        <w:jc w:val="center"/>
      </w:pPr>
      <w:r>
        <w:rPr>
          <w:rFonts w:ascii="宋体" w:eastAsia="宋体" w:hAnsi="宋体" w:cs="宋体"/>
        </w:rPr>
        <w:t>§6 开放式基金份额变动</w:t>
      </w:r>
    </w:p>
    <w:p>
      <w:pPr>
        <w:jc w:val="right"/>
      </w:pPr>
      <w:r>
        <w:rPr>
          <w:rFonts w:ascii="宋体" w:eastAsia="宋体" w:hAnsi="宋体" w:cs="宋体"/>
          <w:b w:val="0"/>
        </w:rPr>
        <w:t>单位：份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
      <w:tblGrid>
        <w:gridCol w:w="4260"/>
        <w:gridCol w:w="2400"/>
        <w:gridCol w:w="24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c>
          <w:tcPr>
            <w:tcW w:w="2308" w:type="pct"/>
            <w:vAlign w:val="center"/>
          </w:tcPr>
          <w:p>
            <w:pPr>
              <w:spacing w:line="240" w:lineRule="auto"/>
              <w:jc w:val="center"/>
            </w:pPr>
          </w:p>
        </w:tc>
        <w:tc>
          <w:tcPr>
            <w:tcW w:w="1300" w:type="pct"/>
            <w:vAlign w:val="center"/>
          </w:tcPr>
          <w:p>
            <w:pPr>
              <w:spacing w:line="240" w:lineRule="auto"/>
              <w:jc w:val="center"/>
            </w:pPr>
            <w:r>
              <w:rPr>
                <w:rFonts w:ascii="宋体" w:eastAsia="宋体" w:hAnsi="宋体" w:cs="宋体"/>
                <w:b w:val="0"/>
              </w:rPr>
              <w:t>东方阿尔法科技甄选混合发起A</w:t>
            </w:r>
          </w:p>
        </w:tc>
        <w:tc>
          <w:tcPr>
            <w:tcW w:w="1300" w:type="pct"/>
            <w:vAlign w:val="center"/>
          </w:tcPr>
          <w:p>
            <w:pPr>
              <w:spacing w:line="240" w:lineRule="auto"/>
              <w:jc w:val="center"/>
            </w:pPr>
            <w:r>
              <w:rPr>
                <w:rFonts w:ascii="宋体" w:eastAsia="宋体" w:hAnsi="宋体" w:cs="宋体"/>
                <w:b w:val="0"/>
              </w:rPr>
              <w:t>东方阿尔法科技甄选混合发起C</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报告期期初基金份额总额</w:t>
            </w:r>
          </w:p>
        </w:tc>
        <w:tc>
          <w:tcPr>
            <w:tcW w:w="1300" w:type="pct"/>
            <w:vAlign w:val="center"/>
          </w:tcPr>
          <w:p>
            <w:pPr>
              <w:spacing w:line="240" w:lineRule="auto"/>
              <w:jc w:val="right"/>
            </w:pPr>
            <w:r>
              <w:rPr>
                <w:rFonts w:ascii="宋体" w:eastAsia="宋体" w:hAnsi="宋体" w:cs="宋体"/>
                <w:b w:val="0"/>
              </w:rPr>
              <w:t>21,981,743.96</w:t>
            </w:r>
          </w:p>
        </w:tc>
        <w:tc>
          <w:tcPr>
            <w:tcW w:w="1300" w:type="pct"/>
            <w:vAlign w:val="center"/>
          </w:tcPr>
          <w:p>
            <w:pPr>
              <w:spacing w:line="240" w:lineRule="auto"/>
              <w:jc w:val="right"/>
            </w:pPr>
            <w:r>
              <w:rPr>
                <w:rFonts w:ascii="宋体" w:eastAsia="宋体" w:hAnsi="宋体" w:cs="宋体"/>
                <w:b w:val="0"/>
              </w:rPr>
              <w:t>710,177,780.77</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报告期期间基金总申购份额</w:t>
            </w:r>
          </w:p>
        </w:tc>
        <w:tc>
          <w:tcPr>
            <w:tcW w:w="1300" w:type="pct"/>
            <w:vAlign w:val="center"/>
          </w:tcPr>
          <w:p>
            <w:pPr>
              <w:spacing w:line="240" w:lineRule="auto"/>
              <w:jc w:val="right"/>
            </w:pPr>
            <w:r>
              <w:rPr>
                <w:rFonts w:ascii="宋体" w:eastAsia="宋体" w:hAnsi="宋体" w:cs="宋体"/>
                <w:b w:val="0"/>
              </w:rPr>
              <w:t>12,022,867.89</w:t>
            </w:r>
          </w:p>
        </w:tc>
        <w:tc>
          <w:tcPr>
            <w:tcW w:w="1300" w:type="pct"/>
            <w:vAlign w:val="center"/>
          </w:tcPr>
          <w:p>
            <w:pPr>
              <w:spacing w:line="240" w:lineRule="auto"/>
              <w:jc w:val="right"/>
            </w:pPr>
            <w:r>
              <w:rPr>
                <w:rFonts w:ascii="宋体" w:eastAsia="宋体" w:hAnsi="宋体" w:cs="宋体"/>
                <w:b w:val="0"/>
              </w:rPr>
              <w:t>1,094,590,960.71</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减：报告期期间基金总赎回份额</w:t>
            </w:r>
          </w:p>
        </w:tc>
        <w:tc>
          <w:tcPr>
            <w:tcW w:w="1300" w:type="pct"/>
            <w:vAlign w:val="center"/>
          </w:tcPr>
          <w:p>
            <w:pPr>
              <w:spacing w:line="240" w:lineRule="auto"/>
              <w:jc w:val="right"/>
            </w:pPr>
            <w:r>
              <w:rPr>
                <w:rFonts w:ascii="宋体" w:eastAsia="宋体" w:hAnsi="宋体" w:cs="宋体"/>
                <w:b w:val="0"/>
              </w:rPr>
              <w:t>11,062,599.84</w:t>
            </w:r>
          </w:p>
        </w:tc>
        <w:tc>
          <w:tcPr>
            <w:tcW w:w="1300" w:type="pct"/>
            <w:vAlign w:val="center"/>
          </w:tcPr>
          <w:p>
            <w:pPr>
              <w:spacing w:line="240" w:lineRule="auto"/>
              <w:jc w:val="right"/>
            </w:pPr>
            <w:r>
              <w:rPr>
                <w:rFonts w:ascii="宋体" w:eastAsia="宋体" w:hAnsi="宋体" w:cs="宋体"/>
                <w:b w:val="0"/>
              </w:rPr>
              <w:t>1,298,095,975.86</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报告期期间基金拆分变动份额（份额减少以“-”填列）</w:t>
            </w:r>
          </w:p>
        </w:tc>
        <w:tc>
          <w:tcPr>
            <w:tcW w:w="1300" w:type="pct"/>
            <w:vAlign w:val="center"/>
          </w:tcPr>
          <w:p>
            <w:pPr>
              <w:spacing w:line="240" w:lineRule="auto"/>
              <w:jc w:val="right"/>
            </w:pPr>
            <w:r>
              <w:rPr>
                <w:rFonts w:ascii="宋体" w:eastAsia="宋体" w:hAnsi="宋体" w:cs="宋体"/>
                <w:b w:val="0"/>
              </w:rPr>
              <w:t>-</w:t>
            </w:r>
          </w:p>
        </w:tc>
        <w:tc>
          <w:tcPr>
            <w:tcW w:w="1300" w:type="pct"/>
            <w:vAlign w:val="center"/>
          </w:tcPr>
          <w:p>
            <w:pPr>
              <w:spacing w:line="240" w:lineRule="auto"/>
              <w:jc w:val="right"/>
            </w:pPr>
            <w:r>
              <w:rPr>
                <w:rFonts w:ascii="宋体" w:eastAsia="宋体" w:hAnsi="宋体" w:cs="宋体"/>
                <w:b w:val="0"/>
              </w:rPr>
              <w:t>-</w:t>
            </w:r>
          </w:p>
        </w:tc>
      </w:tr>
      <w:tr>
        <w:tblPrEx>
          <w:tblW w:w="5000" w:type="pct"/>
          <w:tblLayout w:type="fixed"/>
        </w:tblPrEx>
        <w:tc>
          <w:tcPr>
            <w:tcW w:w="3021" w:type="dxa"/>
            <w:vAlign w:val="center"/>
          </w:tcPr>
          <w:p>
            <w:pPr>
              <w:spacing w:line="240" w:lineRule="auto"/>
              <w:jc w:val="left"/>
            </w:pPr>
            <w:r>
              <w:rPr>
                <w:rFonts w:ascii="宋体" w:eastAsia="宋体" w:hAnsi="宋体" w:cs="宋体"/>
                <w:b w:val="0"/>
              </w:rPr>
              <w:t>报告期期末基金份额总额</w:t>
            </w:r>
          </w:p>
        </w:tc>
        <w:tc>
          <w:tcPr>
            <w:tcW w:w="1300" w:type="pct"/>
            <w:vAlign w:val="center"/>
          </w:tcPr>
          <w:p>
            <w:pPr>
              <w:spacing w:line="240" w:lineRule="auto"/>
              <w:jc w:val="right"/>
            </w:pPr>
            <w:r>
              <w:rPr>
                <w:rFonts w:ascii="宋体" w:eastAsia="宋体" w:hAnsi="宋体" w:cs="宋体"/>
                <w:b w:val="0"/>
              </w:rPr>
              <w:t>22,942,012.01</w:t>
            </w:r>
          </w:p>
        </w:tc>
        <w:tc>
          <w:tcPr>
            <w:tcW w:w="1300" w:type="pct"/>
            <w:vAlign w:val="center"/>
          </w:tcPr>
          <w:p>
            <w:pPr>
              <w:spacing w:line="240" w:lineRule="auto"/>
              <w:jc w:val="right"/>
            </w:pPr>
            <w:r>
              <w:rPr>
                <w:rFonts w:ascii="宋体" w:eastAsia="宋体" w:hAnsi="宋体" w:cs="宋体"/>
                <w:b w:val="0"/>
              </w:rPr>
              <w:t>506,672,765.62</w:t>
            </w:r>
          </w:p>
        </w:tc>
      </w:tr>
    </w:tbl>
    <w:p>
      <w:pPr>
        <w:pStyle w:val="Heading1"/>
        <w:jc w:val="center"/>
      </w:pPr>
      <w:r>
        <w:rPr>
          <w:rFonts w:ascii="宋体" w:eastAsia="宋体" w:hAnsi="宋体" w:cs="宋体"/>
        </w:rPr>
        <w:t>§7 基金管理人运用固有资金投资本基金情况</w:t>
      </w:r>
    </w:p>
    <w:p>
      <w:pPr>
        <w:pStyle w:val="Heading2"/>
        <w:jc w:val="left"/>
      </w:pPr>
      <w:r>
        <w:rPr>
          <w:rFonts w:ascii="宋体" w:eastAsia="宋体" w:hAnsi="宋体" w:cs="宋体"/>
        </w:rPr>
        <w:t>7.1 基金管理人持有本基金份额变动情况</w:t>
      </w:r>
    </w:p>
    <w:p>
      <w:r>
        <w:rPr>
          <w:rFonts w:ascii="宋体" w:eastAsia="宋体" w:hAnsi="宋体" w:cs="宋体"/>
          <w:b w:val="0"/>
        </w:rPr>
        <w:t xml:space="preserve">    截至本报告期末，本基金管理人未持有本基金份额。</w:t>
      </w:r>
    </w:p>
    <w:p/>
    <w:p>
      <w:pPr>
        <w:pStyle w:val="Heading2"/>
        <w:jc w:val="left"/>
      </w:pPr>
      <w:r>
        <w:rPr>
          <w:rFonts w:ascii="宋体" w:eastAsia="宋体" w:hAnsi="宋体" w:cs="宋体"/>
        </w:rPr>
        <w:t>7.2 基金管理人运用固有资金投资本基金交易明细</w:t>
      </w:r>
    </w:p>
    <w:p>
      <w:r>
        <w:rPr>
          <w:rFonts w:ascii="宋体" w:eastAsia="宋体" w:hAnsi="宋体" w:cs="宋体"/>
          <w:b w:val="0"/>
        </w:rPr>
        <w:t xml:space="preserve">    本报告期内，本基金管理人未运用固有资金投资本基金。</w:t>
      </w:r>
    </w:p>
    <w:p>
      <w:pPr>
        <w:pStyle w:val="Heading1"/>
        <w:jc w:val="center"/>
      </w:pPr>
      <w:r>
        <w:rPr>
          <w:rFonts w:ascii="宋体" w:eastAsia="宋体" w:hAnsi="宋体" w:cs="宋体"/>
        </w:rPr>
        <w:t>§8 报告期末发起式基金发起资金持有份额情况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1510"/>
        <w:gridCol w:w="1510"/>
        <w:gridCol w:w="1510"/>
        <w:gridCol w:w="1510"/>
        <w:gridCol w:w="1510"/>
        <w:gridCol w:w="151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38" w:type="pct"/>
            <w:shd w:val="clear" w:color="auto" w:fill="D9D9D9"/>
            <w:vAlign w:val="center"/>
          </w:tcPr>
          <w:p>
            <w:pPr>
              <w:spacing w:line="240" w:lineRule="auto"/>
              <w:jc w:val="center"/>
            </w:pPr>
            <w:r>
              <w:rPr>
                <w:rFonts w:ascii="宋体" w:eastAsia="宋体" w:hAnsi="宋体" w:cs="宋体"/>
                <w:b w:val="0"/>
              </w:rPr>
              <w:t>项目</w:t>
            </w:r>
          </w:p>
        </w:tc>
        <w:tc>
          <w:tcPr>
            <w:tcW w:w="692" w:type="pct"/>
            <w:shd w:val="clear" w:color="auto" w:fill="D9D9D9"/>
            <w:vAlign w:val="center"/>
          </w:tcPr>
          <w:p>
            <w:pPr>
              <w:spacing w:line="240" w:lineRule="auto"/>
              <w:jc w:val="center"/>
            </w:pPr>
            <w:r>
              <w:rPr>
                <w:rFonts w:ascii="宋体" w:eastAsia="宋体" w:hAnsi="宋体" w:cs="宋体"/>
                <w:b w:val="0"/>
              </w:rPr>
              <w:t>持有份额总数</w:t>
            </w:r>
          </w:p>
        </w:tc>
        <w:tc>
          <w:tcPr>
            <w:tcW w:w="692" w:type="pct"/>
            <w:shd w:val="clear" w:color="auto" w:fill="D9D9D9"/>
            <w:vAlign w:val="center"/>
          </w:tcPr>
          <w:p>
            <w:pPr>
              <w:spacing w:line="240" w:lineRule="auto"/>
              <w:jc w:val="center"/>
            </w:pPr>
            <w:r>
              <w:rPr>
                <w:rFonts w:ascii="宋体" w:eastAsia="宋体" w:hAnsi="宋体" w:cs="宋体"/>
                <w:b w:val="0"/>
              </w:rPr>
              <w:t>持有份额占基金总份额比例</w:t>
            </w:r>
          </w:p>
        </w:tc>
        <w:tc>
          <w:tcPr>
            <w:tcW w:w="692" w:type="pct"/>
            <w:shd w:val="clear" w:color="auto" w:fill="D9D9D9"/>
            <w:vAlign w:val="center"/>
          </w:tcPr>
          <w:p>
            <w:pPr>
              <w:spacing w:line="240" w:lineRule="auto"/>
              <w:jc w:val="center"/>
            </w:pPr>
            <w:r>
              <w:rPr>
                <w:rFonts w:ascii="宋体" w:eastAsia="宋体" w:hAnsi="宋体" w:cs="宋体"/>
                <w:b w:val="0"/>
              </w:rPr>
              <w:t>发起份额总数</w:t>
            </w:r>
          </w:p>
        </w:tc>
        <w:tc>
          <w:tcPr>
            <w:tcW w:w="692" w:type="pct"/>
            <w:shd w:val="clear" w:color="auto" w:fill="D9D9D9"/>
            <w:vAlign w:val="center"/>
          </w:tcPr>
          <w:p>
            <w:pPr>
              <w:spacing w:line="240" w:lineRule="auto"/>
              <w:jc w:val="center"/>
            </w:pPr>
            <w:r>
              <w:rPr>
                <w:rFonts w:ascii="宋体" w:eastAsia="宋体" w:hAnsi="宋体" w:cs="宋体"/>
                <w:b w:val="0"/>
              </w:rPr>
              <w:t>发起份额占基金总份额比例</w:t>
            </w:r>
          </w:p>
        </w:tc>
        <w:tc>
          <w:tcPr>
            <w:tcW w:w="692" w:type="pct"/>
            <w:shd w:val="clear" w:color="auto" w:fill="D9D9D9"/>
            <w:vAlign w:val="center"/>
          </w:tcPr>
          <w:p>
            <w:pPr>
              <w:spacing w:line="240" w:lineRule="auto"/>
              <w:jc w:val="center"/>
            </w:pPr>
            <w:r>
              <w:rPr>
                <w:rFonts w:ascii="宋体" w:eastAsia="宋体" w:hAnsi="宋体" w:cs="宋体"/>
                <w:b w:val="0"/>
              </w:rPr>
              <w:t>发起份额承诺持有期限</w:t>
            </w:r>
          </w:p>
        </w:tc>
      </w:tr>
      <w:tr>
        <w:tblPrEx>
          <w:tblW w:w="5000" w:type="pct"/>
        </w:tblPrEx>
        <w:tc>
          <w:tcPr>
            <w:tcW w:w="0" w:type="dxa"/>
            <w:vAlign w:val="center"/>
          </w:tcPr>
          <w:p>
            <w:pPr>
              <w:spacing w:line="240" w:lineRule="auto"/>
              <w:jc w:val="left"/>
            </w:pPr>
            <w:r>
              <w:rPr>
                <w:rFonts w:ascii="宋体" w:eastAsia="宋体" w:hAnsi="宋体" w:cs="宋体"/>
                <w:b w:val="0"/>
              </w:rPr>
              <w:t>基金管理人固有资金</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left"/>
            </w:pPr>
            <w:r>
              <w:rPr>
                <w:rFonts w:ascii="宋体" w:eastAsia="宋体" w:hAnsi="宋体" w:cs="宋体"/>
                <w:b w:val="0"/>
              </w:rPr>
              <w:t>基金管理人高级管理人员</w:t>
            </w:r>
          </w:p>
        </w:tc>
        <w:tc>
          <w:tcPr>
            <w:tcW w:w="0" w:type="dxa"/>
            <w:vAlign w:val="center"/>
          </w:tcPr>
          <w:p>
            <w:pPr>
              <w:spacing w:line="240" w:lineRule="auto"/>
              <w:jc w:val="right"/>
            </w:pPr>
            <w:r>
              <w:rPr>
                <w:rFonts w:ascii="宋体" w:eastAsia="宋体" w:hAnsi="宋体" w:cs="宋体"/>
                <w:b w:val="0"/>
              </w:rPr>
              <w:t>10,000,388.92</w:t>
            </w:r>
          </w:p>
        </w:tc>
        <w:tc>
          <w:tcPr>
            <w:tcW w:w="0" w:type="dxa"/>
            <w:vAlign w:val="center"/>
          </w:tcPr>
          <w:p>
            <w:pPr>
              <w:spacing w:line="240" w:lineRule="auto"/>
              <w:jc w:val="right"/>
            </w:pPr>
            <w:r>
              <w:rPr>
                <w:rFonts w:ascii="宋体" w:eastAsia="宋体" w:hAnsi="宋体" w:cs="宋体"/>
                <w:b w:val="0"/>
              </w:rPr>
              <w:t>1.89%</w:t>
            </w:r>
          </w:p>
        </w:tc>
        <w:tc>
          <w:tcPr>
            <w:tcW w:w="0" w:type="dxa"/>
            <w:vAlign w:val="center"/>
          </w:tcPr>
          <w:p>
            <w:pPr>
              <w:spacing w:line="240" w:lineRule="auto"/>
              <w:jc w:val="right"/>
            </w:pPr>
            <w:r>
              <w:rPr>
                <w:rFonts w:ascii="宋体" w:eastAsia="宋体" w:hAnsi="宋体" w:cs="宋体"/>
                <w:b w:val="0"/>
              </w:rPr>
              <w:t>10,000,388.92</w:t>
            </w:r>
          </w:p>
        </w:tc>
        <w:tc>
          <w:tcPr>
            <w:tcW w:w="0" w:type="dxa"/>
            <w:vAlign w:val="center"/>
          </w:tcPr>
          <w:p>
            <w:pPr>
              <w:spacing w:line="240" w:lineRule="auto"/>
              <w:jc w:val="right"/>
            </w:pPr>
            <w:r>
              <w:rPr>
                <w:rFonts w:ascii="宋体" w:eastAsia="宋体" w:hAnsi="宋体" w:cs="宋体"/>
                <w:b w:val="0"/>
              </w:rPr>
              <w:t>1.89%</w:t>
            </w:r>
          </w:p>
        </w:tc>
        <w:tc>
          <w:tcPr>
            <w:tcW w:w="0" w:type="dxa"/>
            <w:vAlign w:val="center"/>
          </w:tcPr>
          <w:p>
            <w:pPr>
              <w:spacing w:line="240" w:lineRule="auto"/>
              <w:jc w:val="left"/>
            </w:pPr>
            <w:r>
              <w:rPr>
                <w:rFonts w:ascii="宋体" w:eastAsia="宋体" w:hAnsi="宋体" w:cs="宋体"/>
                <w:b w:val="0"/>
              </w:rPr>
              <w:t>自合同生效之日起不少于3年</w:t>
            </w:r>
          </w:p>
        </w:tc>
      </w:tr>
      <w:tr>
        <w:tblPrEx>
          <w:tblW w:w="5000" w:type="pct"/>
        </w:tblPrEx>
        <w:tc>
          <w:tcPr>
            <w:tcW w:w="0" w:type="dxa"/>
            <w:vAlign w:val="center"/>
          </w:tcPr>
          <w:p>
            <w:pPr>
              <w:spacing w:line="240" w:lineRule="auto"/>
              <w:jc w:val="left"/>
            </w:pPr>
            <w:r>
              <w:rPr>
                <w:rFonts w:ascii="宋体" w:eastAsia="宋体" w:hAnsi="宋体" w:cs="宋体"/>
                <w:b w:val="0"/>
              </w:rPr>
              <w:t>基金经理等人员</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left"/>
            </w:pPr>
            <w:r>
              <w:rPr>
                <w:rFonts w:ascii="宋体" w:eastAsia="宋体" w:hAnsi="宋体" w:cs="宋体"/>
                <w:b w:val="0"/>
              </w:rPr>
              <w:t>基金管理人股东</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left"/>
            </w:pPr>
            <w:r>
              <w:rPr>
                <w:rFonts w:ascii="宋体" w:eastAsia="宋体" w:hAnsi="宋体" w:cs="宋体"/>
                <w:b w:val="0"/>
              </w:rPr>
              <w:t>其他</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right"/>
            </w:pPr>
            <w:r>
              <w:rPr>
                <w:rFonts w:ascii="宋体" w:eastAsia="宋体" w:hAnsi="宋体" w:cs="宋体"/>
                <w:b w:val="0"/>
              </w:rPr>
              <w:t>-</w:t>
            </w:r>
          </w:p>
        </w:tc>
        <w:tc>
          <w:tcPr>
            <w:tcW w:w="0" w:type="dxa"/>
            <w:vAlign w:val="center"/>
          </w:tcPr>
          <w:p>
            <w:pPr>
              <w:spacing w:line="240" w:lineRule="auto"/>
              <w:jc w:val="left"/>
            </w:pPr>
            <w:r>
              <w:rPr>
                <w:rFonts w:ascii="宋体" w:eastAsia="宋体" w:hAnsi="宋体" w:cs="宋体"/>
                <w:b w:val="0"/>
              </w:rPr>
              <w:t>-</w:t>
            </w:r>
          </w:p>
        </w:tc>
      </w:tr>
      <w:tr>
        <w:tblPrEx>
          <w:tblW w:w="5000" w:type="pct"/>
        </w:tblPrEx>
        <w:tc>
          <w:tcPr>
            <w:tcW w:w="0" w:type="dxa"/>
            <w:vAlign w:val="center"/>
          </w:tcPr>
          <w:p>
            <w:pPr>
              <w:spacing w:line="240" w:lineRule="auto"/>
              <w:jc w:val="center"/>
            </w:pPr>
            <w:r>
              <w:rPr>
                <w:rFonts w:ascii="宋体" w:eastAsia="宋体" w:hAnsi="宋体" w:cs="宋体"/>
                <w:b w:val="0"/>
              </w:rPr>
              <w:t>合计</w:t>
            </w:r>
          </w:p>
        </w:tc>
        <w:tc>
          <w:tcPr>
            <w:tcW w:w="0" w:type="dxa"/>
            <w:vAlign w:val="center"/>
          </w:tcPr>
          <w:p>
            <w:pPr>
              <w:spacing w:line="240" w:lineRule="auto"/>
              <w:jc w:val="right"/>
            </w:pPr>
            <w:r>
              <w:rPr>
                <w:rFonts w:ascii="宋体" w:eastAsia="宋体" w:hAnsi="宋体" w:cs="宋体"/>
                <w:b w:val="0"/>
              </w:rPr>
              <w:t>10,000,388.92</w:t>
            </w:r>
          </w:p>
        </w:tc>
        <w:tc>
          <w:tcPr>
            <w:tcW w:w="0" w:type="dxa"/>
            <w:vAlign w:val="center"/>
          </w:tcPr>
          <w:p>
            <w:pPr>
              <w:spacing w:line="240" w:lineRule="auto"/>
              <w:jc w:val="right"/>
            </w:pPr>
            <w:r>
              <w:rPr>
                <w:rFonts w:ascii="宋体" w:eastAsia="宋体" w:hAnsi="宋体" w:cs="宋体"/>
                <w:b w:val="0"/>
              </w:rPr>
              <w:t>1.89%</w:t>
            </w:r>
          </w:p>
        </w:tc>
        <w:tc>
          <w:tcPr>
            <w:tcW w:w="0" w:type="dxa"/>
            <w:vAlign w:val="center"/>
          </w:tcPr>
          <w:p>
            <w:pPr>
              <w:spacing w:line="240" w:lineRule="auto"/>
              <w:jc w:val="right"/>
            </w:pPr>
            <w:r>
              <w:rPr>
                <w:rFonts w:ascii="宋体" w:eastAsia="宋体" w:hAnsi="宋体" w:cs="宋体"/>
                <w:b w:val="0"/>
              </w:rPr>
              <w:t>10,000,388.92</w:t>
            </w:r>
          </w:p>
        </w:tc>
        <w:tc>
          <w:tcPr>
            <w:tcW w:w="0" w:type="dxa"/>
            <w:vAlign w:val="center"/>
          </w:tcPr>
          <w:p>
            <w:pPr>
              <w:spacing w:line="240" w:lineRule="auto"/>
              <w:jc w:val="right"/>
            </w:pPr>
            <w:r>
              <w:rPr>
                <w:rFonts w:ascii="宋体" w:eastAsia="宋体" w:hAnsi="宋体" w:cs="宋体"/>
                <w:b w:val="0"/>
              </w:rPr>
              <w:t>1.89%</w:t>
            </w:r>
          </w:p>
        </w:tc>
        <w:tc>
          <w:tcPr>
            <w:tcW w:w="0" w:type="dxa"/>
            <w:vAlign w:val="center"/>
          </w:tcPr>
          <w:p>
            <w:pPr>
              <w:spacing w:line="240" w:lineRule="auto"/>
              <w:jc w:val="left"/>
            </w:pPr>
            <w:r>
              <w:rPr>
                <w:rFonts w:ascii="宋体" w:eastAsia="宋体" w:hAnsi="宋体" w:cs="宋体"/>
                <w:b w:val="0"/>
              </w:rPr>
              <w:t>-</w:t>
            </w:r>
          </w:p>
        </w:tc>
      </w:tr>
    </w:tbl>
    <w:p>
      <w:pPr>
        <w:pStyle w:val="Heading1"/>
        <w:jc w:val="center"/>
      </w:pPr>
      <w:r>
        <w:rPr>
          <w:rFonts w:ascii="宋体" w:eastAsia="宋体" w:hAnsi="宋体" w:cs="宋体"/>
        </w:rPr>
        <w:t>§9 影响投资者决策的其他重要信息</w:t>
      </w:r>
    </w:p>
    <w:p>
      <w:pPr>
        <w:pStyle w:val="Heading2"/>
        <w:jc w:val="left"/>
      </w:pPr>
      <w:r>
        <w:rPr>
          <w:rFonts w:ascii="宋体" w:eastAsia="宋体" w:hAnsi="宋体" w:cs="宋体"/>
        </w:rPr>
        <w:t>9.1 报告期内单一投资者持有基金份额比例达到或超过20%的情况</w:t>
      </w:r>
    </w:p>
    <w:p>
      <w:r>
        <w:rPr>
          <w:rFonts w:ascii="宋体" w:eastAsia="宋体" w:hAnsi="宋体" w:cs="宋体"/>
          <w:b w:val="0"/>
        </w:rPr>
        <w:t xml:space="preserve">    本报告期内，本基金不存在单一投资者持有基金份额比例达到或超过20%的情况。</w:t>
      </w:r>
    </w:p>
    <w:p/>
    <w:p>
      <w:pPr>
        <w:pStyle w:val="Heading2"/>
        <w:jc w:val="left"/>
      </w:pPr>
      <w:r>
        <w:rPr>
          <w:rFonts w:ascii="宋体" w:eastAsia="宋体" w:hAnsi="宋体" w:cs="宋体"/>
        </w:rPr>
        <w:t>9.2 影响投资者决策的其他重要信息</w:t>
      </w:r>
    </w:p>
    <w:p>
      <w:r>
        <w:rPr>
          <w:rFonts w:ascii="宋体" w:eastAsia="宋体" w:hAnsi="宋体" w:cs="宋体"/>
          <w:b w:val="0"/>
        </w:rPr>
        <w:t xml:space="preserve">    无。</w:t>
      </w:r>
    </w:p>
    <w:p>
      <w:pPr>
        <w:pStyle w:val="Heading1"/>
        <w:jc w:val="center"/>
      </w:pPr>
      <w:r>
        <w:rPr>
          <w:rFonts w:ascii="宋体" w:eastAsia="宋体" w:hAnsi="宋体" w:cs="宋体"/>
        </w:rPr>
        <w:t>§10 备查文件目录</w:t>
      </w:r>
    </w:p>
    <w:p>
      <w:pPr>
        <w:pStyle w:val="Heading2"/>
        <w:jc w:val="left"/>
      </w:pPr>
      <w:r>
        <w:rPr>
          <w:rFonts w:ascii="宋体" w:eastAsia="宋体" w:hAnsi="宋体" w:cs="宋体"/>
        </w:rPr>
        <w:t>10.1 备查文件目录</w:t>
      </w:r>
    </w:p>
    <w:p>
      <w:r>
        <w:rPr>
          <w:rFonts w:ascii="宋体" w:eastAsia="宋体" w:hAnsi="宋体" w:cs="宋体"/>
          <w:b w:val="0"/>
        </w:rPr>
        <w:t xml:space="preserve">    1、中国证券监督管理委员会批准的东方阿尔法科技甄选混合型发起式证券投资基金设立的文件；</w:t>
        <w:br/>
      </w:r>
      <w:r>
        <w:rPr>
          <w:rFonts w:ascii="宋体" w:eastAsia="宋体" w:hAnsi="宋体" w:cs="宋体"/>
          <w:b w:val="0"/>
        </w:rPr>
        <w:t xml:space="preserve">    2、《东方阿尔法科技甄选混合型发起式证券投资基金基金合同》；</w:t>
        <w:br/>
      </w:r>
      <w:r>
        <w:rPr>
          <w:rFonts w:ascii="宋体" w:eastAsia="宋体" w:hAnsi="宋体" w:cs="宋体"/>
          <w:b w:val="0"/>
        </w:rPr>
        <w:t xml:space="preserve">    3、《东方阿尔法科技甄选混合型发起式证券投资基金托管协议》；</w:t>
        <w:br/>
      </w:r>
      <w:r>
        <w:rPr>
          <w:rFonts w:ascii="宋体" w:eastAsia="宋体" w:hAnsi="宋体" w:cs="宋体"/>
          <w:b w:val="0"/>
        </w:rPr>
        <w:t xml:space="preserve">    4、《东方阿尔法科技甄选混合型发起式证券投资基金招募说明书》（含更新）；</w:t>
        <w:br/>
      </w:r>
      <w:r>
        <w:rPr>
          <w:rFonts w:ascii="宋体" w:eastAsia="宋体" w:hAnsi="宋体" w:cs="宋体"/>
          <w:b w:val="0"/>
        </w:rPr>
        <w:t xml:space="preserve">    5、基金管理人业务资格批件和营业执照。</w:t>
      </w:r>
    </w:p>
    <w:p/>
    <w:p>
      <w:pPr>
        <w:pStyle w:val="Heading2"/>
        <w:jc w:val="left"/>
      </w:pPr>
      <w:r>
        <w:rPr>
          <w:rFonts w:ascii="宋体" w:eastAsia="宋体" w:hAnsi="宋体" w:cs="宋体"/>
        </w:rPr>
        <w:t>10.2 存放地点</w:t>
      </w:r>
    </w:p>
    <w:p>
      <w:r>
        <w:rPr>
          <w:rFonts w:ascii="宋体" w:eastAsia="宋体" w:hAnsi="宋体" w:cs="宋体"/>
          <w:b w:val="0"/>
        </w:rPr>
        <w:t xml:space="preserve">    广东省深圳市深南大道6008号深圳特区报业大厦23BC。</w:t>
      </w:r>
    </w:p>
    <w:p/>
    <w:p>
      <w:pPr>
        <w:pStyle w:val="Heading2"/>
        <w:jc w:val="left"/>
      </w:pPr>
      <w:r>
        <w:rPr>
          <w:rFonts w:ascii="宋体" w:eastAsia="宋体" w:hAnsi="宋体" w:cs="宋体"/>
        </w:rPr>
        <w:t>10.3 查阅方式</w:t>
      </w:r>
    </w:p>
    <w:p>
      <w:r>
        <w:rPr>
          <w:rFonts w:ascii="宋体" w:eastAsia="宋体" w:hAnsi="宋体" w:cs="宋体"/>
          <w:b w:val="0"/>
        </w:rPr>
        <w:t xml:space="preserve">    1、投资者可在营业时间免费查阅，也可按工本费购买复印件。</w:t>
        <w:br/>
      </w:r>
      <w:r>
        <w:rPr>
          <w:rFonts w:ascii="宋体" w:eastAsia="宋体" w:hAnsi="宋体" w:cs="宋体"/>
          <w:b w:val="0"/>
        </w:rPr>
        <w:t xml:space="preserve">    2、投资者对本报告书如有疑问，可咨询本基金管理人东方阿尔法基金管理有限公司，客户服务电话：400-930-6677（免长途话费）。</w:t>
        <w:br/>
      </w:r>
      <w:r>
        <w:rPr>
          <w:rFonts w:ascii="宋体" w:eastAsia="宋体" w:hAnsi="宋体" w:cs="宋体"/>
          <w:b w:val="0"/>
        </w:rPr>
        <w:t xml:space="preserve">    3、投资者可通过中国证监会基金电子披露网站（http://eid.csrc.gov.cn/fund/）和基金管理人网站（https://www.dfa66.com）查阅本报告书。</w:t>
      </w:r>
    </w:p>
    <w:p/>
    <w:p/>
    <w:p/>
    <w:p>
      <w:pPr>
        <w:jc w:val="right"/>
      </w:pPr>
      <w:r>
        <w:rPr>
          <w:rFonts w:ascii="宋体" w:eastAsia="宋体" w:hAnsi="宋体" w:cs="宋体"/>
          <w:b/>
        </w:rPr>
        <w:t>东方阿尔法基金管理有限公司</w:t>
      </w:r>
    </w:p>
    <w:p>
      <w:pPr>
        <w:jc w:val="right"/>
      </w:pPr>
      <w:r>
        <w:rPr>
          <w:rFonts w:ascii="宋体" w:eastAsia="宋体" w:hAnsi="宋体" w:cs="宋体"/>
          <w:b/>
        </w:rPr>
        <w:t>二〇二六年十月二十六日</w:t>
      </w:r>
    </w:p>
    <w:sectPr w:rsidSect="000B0ABB">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pgNumType w:start="0"/>
      <w:cols w:space="425"/>
      <w:titlePg/>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DC36F2E"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BB3931" w14:paraId="0C910235" w14:textId="1E8BACBC">
    <w:pPr>
      <w:pBdr>
        <w:top w:val="single" w:sz="2" w:space="0" w:color="auto"/>
      </w:pBdr>
      <w:tabs>
        <w:tab w:val="right" w:pos="8640"/>
      </w:tabs>
      <w:jc w:val="center"/>
      <w:textAlignment w:val="center"/>
      <w:rPr>
        <w:rFonts w:ascii="宋体" w:eastAsia="宋体" w:hAnsi="宋体"/>
        <w:sz w:val="20"/>
        <w:szCs w:val="20"/>
      </w:rPr>
    </w:pPr>
    <w:r w:rsidRPr="00BB3931">
      <w:rPr>
        <w:rFonts w:ascii="宋体" w:eastAsia="宋体" w:hAnsi="宋体" w:cs="宋体" w:hint="eastAsia"/>
        <w:sz w:val="20"/>
        <w:szCs w:val="20"/>
        <w:lang w:bidi="ar"/>
      </w:rPr>
      <w:t>第</w:t>
    </w:r>
    <w:r w:rsidRPr="00BB3931">
      <w:rPr>
        <w:rFonts w:ascii="宋体" w:eastAsia="宋体" w:hAnsi="宋体" w:cs="Times New Roman" w:hint="eastAsia"/>
        <w:sz w:val="20"/>
        <w:szCs w:val="20"/>
        <w:lang w:bidi="ar"/>
      </w:rPr>
      <w:fldChar w:fldCharType="begin"/>
    </w:r>
    <w:r w:rsidRPr="00BB3931">
      <w:rPr>
        <w:rFonts w:ascii="宋体" w:eastAsia="宋体" w:hAnsi="宋体" w:cs="宋体" w:hint="eastAsia"/>
        <w:sz w:val="20"/>
        <w:szCs w:val="20"/>
        <w:lang w:bidi="ar"/>
      </w:rPr>
      <w:instrText>PAGE  \* MERGEFORMAT</w:instrText>
    </w:r>
    <w:r w:rsidRPr="00BB3931">
      <w:rPr>
        <w:rFonts w:ascii="宋体" w:eastAsia="宋体" w:hAnsi="宋体" w:cs="Times New Roman" w:hint="eastAsia"/>
        <w:sz w:val="20"/>
        <w:szCs w:val="20"/>
        <w:lang w:bidi="ar"/>
      </w:rPr>
      <w:fldChar w:fldCharType="separate"/>
    </w:r>
    <w:r w:rsidRPr="00BB3931" w:rsidR="00421707">
      <w:rPr>
        <w:rFonts w:ascii="宋体" w:eastAsia="宋体" w:hAnsi="宋体" w:cs="宋体"/>
        <w:noProof/>
        <w:sz w:val="20"/>
        <w:szCs w:val="20"/>
        <w:lang w:bidi="ar"/>
      </w:rPr>
      <w:t>2</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r w:rsidRPr="00BB3931" w:rsidR="00FA6399">
      <w:rPr>
        <w:rFonts w:ascii="宋体" w:eastAsia="宋体" w:hAnsi="宋体" w:cs="宋体" w:hint="eastAsia"/>
        <w:sz w:val="20"/>
        <w:szCs w:val="20"/>
        <w:lang w:bidi="ar"/>
      </w:rPr>
      <w:t>，</w:t>
    </w:r>
    <w:r w:rsidRPr="00BB3931">
      <w:rPr>
        <w:rFonts w:ascii="宋体" w:eastAsia="宋体" w:hAnsi="宋体" w:cs="宋体" w:hint="eastAsia"/>
        <w:sz w:val="20"/>
        <w:szCs w:val="20"/>
        <w:lang w:bidi="ar"/>
      </w:rPr>
      <w:t>共</w:t>
    </w:r>
    <w:r w:rsidRPr="00BB3931">
      <w:rPr>
        <w:rFonts w:ascii="宋体" w:eastAsia="宋体" w:hAnsi="宋体" w:cs="Times New Roman" w:hint="eastAsia"/>
        <w:sz w:val="20"/>
        <w:szCs w:val="20"/>
        <w:lang w:bidi="ar"/>
      </w:rPr>
      <w:fldChar w:fldCharType="begin"/>
    </w:r>
    <w:r w:rsidRPr="00BB3931" w:rsidR="00210325">
      <w:rPr>
        <w:rFonts w:ascii="宋体" w:eastAsia="宋体" w:hAnsi="宋体" w:cs="Times New Roman"/>
        <w:sz w:val="20"/>
        <w:szCs w:val="20"/>
        <w:lang w:bidi="ar"/>
      </w:rPr>
      <w:instrText>=</w:instrText>
    </w:r>
    <w:r w:rsidRPr="00BB3931" w:rsidR="00210325">
      <w:rPr>
        <w:rFonts w:ascii="宋体" w:eastAsia="宋体" w:hAnsi="宋体" w:cs="宋体"/>
        <w:sz w:val="20"/>
        <w:szCs w:val="20"/>
        <w:lang w:bidi="ar"/>
      </w:rPr>
      <w:fldChar w:fldCharType="begin"/>
    </w:r>
    <w:r w:rsidRPr="00BB3931" w:rsidR="00210325">
      <w:rPr>
        <w:rFonts w:ascii="宋体" w:eastAsia="宋体" w:hAnsi="宋体" w:cs="宋体"/>
        <w:sz w:val="20"/>
        <w:szCs w:val="20"/>
        <w:lang w:bidi="ar"/>
      </w:rPr>
      <w:instrText xml:space="preserve"> </w:instrText>
    </w:r>
    <w:r w:rsidRPr="00BB3931">
      <w:rPr>
        <w:rFonts w:ascii="宋体" w:eastAsia="宋体" w:hAnsi="宋体" w:cs="宋体" w:hint="eastAsia"/>
        <w:sz w:val="20"/>
        <w:szCs w:val="20"/>
        <w:lang w:bidi="ar"/>
      </w:rPr>
      <w:instrText>NUMPAGES</w:instrText>
    </w:r>
    <w:r w:rsidRPr="00BB3931" w:rsidR="00210325">
      <w:rPr>
        <w:rFonts w:ascii="宋体" w:eastAsia="宋体" w:hAnsi="宋体" w:cs="宋体"/>
        <w:sz w:val="20"/>
        <w:szCs w:val="20"/>
        <w:lang w:bidi="ar"/>
      </w:rPr>
      <w:instrText xml:space="preserve"> </w:instrText>
    </w:r>
    <w:r w:rsidRPr="00BB3931" w:rsidR="00210325">
      <w:rPr>
        <w:rFonts w:ascii="宋体" w:eastAsia="宋体" w:hAnsi="宋体" w:cs="宋体"/>
        <w:sz w:val="20"/>
        <w:szCs w:val="20"/>
        <w:lang w:bidi="ar"/>
      </w:rPr>
      <w:fldChar w:fldCharType="separate"/>
    </w:r>
    <w:r w:rsidR="00F07C93">
      <w:rPr>
        <w:rFonts w:ascii="宋体" w:eastAsia="宋体" w:hAnsi="宋体" w:cs="宋体"/>
        <w:noProof/>
        <w:sz w:val="20"/>
        <w:szCs w:val="20"/>
        <w:lang w:bidi="ar"/>
      </w:rPr>
      <w:instrText>2</w:instrText>
    </w:r>
    <w:r w:rsidRPr="00BB3931" w:rsidR="00210325">
      <w:rPr>
        <w:rFonts w:ascii="宋体" w:eastAsia="宋体" w:hAnsi="宋体" w:cs="宋体"/>
        <w:sz w:val="20"/>
        <w:szCs w:val="20"/>
        <w:lang w:bidi="ar"/>
      </w:rPr>
      <w:fldChar w:fldCharType="end"/>
    </w:r>
    <w:r w:rsidRPr="00BB3931" w:rsidR="00210325">
      <w:rPr>
        <w:rFonts w:ascii="宋体" w:eastAsia="宋体" w:hAnsi="宋体" w:cs="宋体"/>
        <w:sz w:val="20"/>
        <w:szCs w:val="20"/>
        <w:lang w:bidi="ar"/>
      </w:rPr>
      <w:instrText>-1</w:instrText>
    </w:r>
    <w:r w:rsidRPr="00BB3931">
      <w:rPr>
        <w:rFonts w:ascii="宋体" w:eastAsia="宋体" w:hAnsi="宋体" w:cs="Times New Roman" w:hint="eastAsia"/>
        <w:sz w:val="20"/>
        <w:szCs w:val="20"/>
        <w:lang w:bidi="ar"/>
      </w:rPr>
      <w:fldChar w:fldCharType="separate"/>
    </w:r>
    <w:r w:rsidR="00F07C93">
      <w:rPr>
        <w:rFonts w:ascii="宋体" w:eastAsia="宋体" w:hAnsi="宋体" w:cs="Times New Roman"/>
        <w:noProof/>
        <w:sz w:val="20"/>
        <w:szCs w:val="20"/>
        <w:lang w:bidi="ar"/>
      </w:rPr>
      <w:t>1</w:t>
    </w:r>
    <w:r w:rsidRPr="00BB3931">
      <w:rPr>
        <w:rFonts w:ascii="宋体" w:eastAsia="宋体" w:hAnsi="宋体" w:cs="宋体" w:hint="eastAsia"/>
        <w:sz w:val="20"/>
        <w:szCs w:val="20"/>
        <w:lang w:bidi="ar"/>
      </w:rPr>
      <w:fldChar w:fldCharType="end"/>
    </w:r>
    <w:r w:rsidRPr="00BB3931">
      <w:rPr>
        <w:rFonts w:ascii="宋体" w:eastAsia="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26604EC9"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4A3BB55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6EB6" w:rsidRPr="00A53CFE" w14:paraId="53998A64" w14:textId="77777777">
    <w:pPr>
      <w:pBdr>
        <w:bottom w:val="single" w:sz="4" w:space="1" w:color="auto"/>
      </w:pBdr>
      <w:jc w:val="right"/>
      <w:rPr>
        <w:rFonts w:ascii="宋体" w:eastAsia="宋体" w:hAnsi="宋体"/>
      </w:rPr>
    </w:pPr>
    <w:r w:rsidRPr="00A53CFE">
      <w:rPr>
        <w:rFonts w:ascii="宋体" w:eastAsia="宋体" w:hAnsi="宋体" w:hint="eastAsia"/>
        <w:sz w:val="18"/>
      </w:rPr>
      <w:t>东方阿尔法科技甄选混合型发起式证券投资基金2026年第3季度报告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0325" w14:paraId="0734E7EB"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31D8B"/>
    <w:rsid w:val="00033BEA"/>
    <w:rsid w:val="00093312"/>
    <w:rsid w:val="000934BF"/>
    <w:rsid w:val="000B0ABB"/>
    <w:rsid w:val="000B14F1"/>
    <w:rsid w:val="000D44F1"/>
    <w:rsid w:val="000F65E0"/>
    <w:rsid w:val="001567AA"/>
    <w:rsid w:val="001663E4"/>
    <w:rsid w:val="001941F0"/>
    <w:rsid w:val="001A0694"/>
    <w:rsid w:val="001A6F82"/>
    <w:rsid w:val="001E49DE"/>
    <w:rsid w:val="001E604E"/>
    <w:rsid w:val="001E72DB"/>
    <w:rsid w:val="00210325"/>
    <w:rsid w:val="00217CEB"/>
    <w:rsid w:val="0026022A"/>
    <w:rsid w:val="00294812"/>
    <w:rsid w:val="002C6A0C"/>
    <w:rsid w:val="002D4665"/>
    <w:rsid w:val="00315609"/>
    <w:rsid w:val="00324653"/>
    <w:rsid w:val="0039693D"/>
    <w:rsid w:val="00396EB6"/>
    <w:rsid w:val="003B4810"/>
    <w:rsid w:val="00421707"/>
    <w:rsid w:val="004245F7"/>
    <w:rsid w:val="00435171"/>
    <w:rsid w:val="0048630B"/>
    <w:rsid w:val="004A5321"/>
    <w:rsid w:val="004F33D8"/>
    <w:rsid w:val="004F7772"/>
    <w:rsid w:val="005037A9"/>
    <w:rsid w:val="00514F66"/>
    <w:rsid w:val="00536F98"/>
    <w:rsid w:val="005370B1"/>
    <w:rsid w:val="0054091C"/>
    <w:rsid w:val="005826D5"/>
    <w:rsid w:val="005B565C"/>
    <w:rsid w:val="005D1F67"/>
    <w:rsid w:val="00657345"/>
    <w:rsid w:val="00686AE6"/>
    <w:rsid w:val="006935A0"/>
    <w:rsid w:val="00695511"/>
    <w:rsid w:val="006C560C"/>
    <w:rsid w:val="007A3B64"/>
    <w:rsid w:val="007B3AFF"/>
    <w:rsid w:val="007F3D78"/>
    <w:rsid w:val="00801225"/>
    <w:rsid w:val="00832DA1"/>
    <w:rsid w:val="008432E9"/>
    <w:rsid w:val="008F2779"/>
    <w:rsid w:val="00917A48"/>
    <w:rsid w:val="0092608A"/>
    <w:rsid w:val="00931CFE"/>
    <w:rsid w:val="009A04DF"/>
    <w:rsid w:val="009A27BD"/>
    <w:rsid w:val="009C2384"/>
    <w:rsid w:val="009C68F3"/>
    <w:rsid w:val="009F43BC"/>
    <w:rsid w:val="00A53CFE"/>
    <w:rsid w:val="00A76644"/>
    <w:rsid w:val="00AB695A"/>
    <w:rsid w:val="00B02205"/>
    <w:rsid w:val="00B659D3"/>
    <w:rsid w:val="00BA1D2B"/>
    <w:rsid w:val="00BB3931"/>
    <w:rsid w:val="00BB5499"/>
    <w:rsid w:val="00BD2190"/>
    <w:rsid w:val="00C05CA1"/>
    <w:rsid w:val="00C06BEF"/>
    <w:rsid w:val="00C1377F"/>
    <w:rsid w:val="00C370BD"/>
    <w:rsid w:val="00C86ED5"/>
    <w:rsid w:val="00CA50CC"/>
    <w:rsid w:val="00CF2DE6"/>
    <w:rsid w:val="00D155B6"/>
    <w:rsid w:val="00D91EBF"/>
    <w:rsid w:val="00DB110D"/>
    <w:rsid w:val="00DE3FE0"/>
    <w:rsid w:val="00E220FA"/>
    <w:rsid w:val="00E44EAD"/>
    <w:rsid w:val="00E6731E"/>
    <w:rsid w:val="00E67AEA"/>
    <w:rsid w:val="00E913D3"/>
    <w:rsid w:val="00EC2CEF"/>
    <w:rsid w:val="00EE18AB"/>
    <w:rsid w:val="00F07C93"/>
    <w:rsid w:val="00F1496B"/>
    <w:rsid w:val="00F32DCB"/>
    <w:rsid w:val="00FA0949"/>
    <w:rsid w:val="00FA22F7"/>
    <w:rsid w:val="00FA6399"/>
    <w:rsid w:val="00FE53D3"/>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3FFCBC"/>
  <w15:docId w15:val="{D89B03D2-9D7D-433E-9AEE-2EA6D7CF9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0AC41-F1FC-4D08-9FC0-94272FA53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24</Words>
  <Characters>139</Characters>
  <Application>Microsoft Office Word</Application>
  <DocSecurity>0</DocSecurity>
  <Lines>1</Lines>
  <Paragraphs>1</Paragraphs>
  <ScaleCrop>false</ScaleCrop>
  <Company/>
  <LinksUpToDate>false</LinksUpToDate>
  <CharactersWithSpaces>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8</cp:revision>
  <dcterms:created xsi:type="dcterms:W3CDTF">2020-03-27T02:14:00Z</dcterms:created>
  <dcterms:modified xsi:type="dcterms:W3CDTF">2024-12-03T03:02:00Z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