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9.0 -->
  <w:body>
    <w:p w:rsidR="00033BEA" w:rsidP="00A76644" w14:paraId="1326CD91" w14:textId="77777777">
      <w:pPr>
        <w:pStyle w:val="TOC1"/>
        <w:tabs>
          <w:tab w:val="right" w:leader="dot" w:pos="9080"/>
        </w:tabs>
        <w:spacing w:before="72" w:after="120"/>
        <w:jc w:val="center"/>
        <w:rPr>
          <w:rFonts w:ascii="宋体" w:hAnsi="宋体"/>
          <w:b/>
          <w:bCs/>
          <w:sz w:val="24"/>
        </w:rPr>
      </w:pPr>
    </w:p>
    <w:p w:rsidR="00033BEA" w:rsidP="00A76644" w14:paraId="52A90100" w14:textId="77777777">
      <w:pPr>
        <w:pStyle w:val="TOC1"/>
        <w:tabs>
          <w:tab w:val="right" w:leader="dot" w:pos="9080"/>
        </w:tabs>
        <w:spacing w:before="72" w:after="120"/>
        <w:jc w:val="center"/>
        <w:rPr>
          <w:rFonts w:ascii="宋体" w:hAnsi="宋体"/>
          <w:b/>
          <w:bCs/>
          <w:sz w:val="24"/>
        </w:rPr>
      </w:pPr>
    </w:p>
    <w:p w:rsidR="00396EB6" w:rsidRPr="00421707" w:rsidP="001663E4" w14:paraId="38984839" w14:textId="77777777">
      <w:pPr>
        <w:pStyle w:val="TOC1"/>
        <w:tabs>
          <w:tab w:val="right" w:leader="dot" w:pos="9080"/>
        </w:tabs>
        <w:jc w:val="center"/>
        <w:rPr>
          <w:rFonts w:ascii="黑体" w:eastAsia="黑体" w:hAnsi="黑体"/>
          <w:b/>
          <w:bCs/>
          <w:sz w:val="36"/>
          <w:szCs w:val="36"/>
        </w:rPr>
      </w:pPr>
      <w:r w:rsidRPr="00421707">
        <w:rPr>
          <w:rFonts w:ascii="黑体" w:eastAsia="黑体" w:hAnsi="黑体" w:hint="eastAsia"/>
          <w:b/>
          <w:bCs/>
          <w:sz w:val="36"/>
          <w:szCs w:val="36"/>
        </w:rPr>
        <w:t>东方阿尔法瑞利混合型发起式证券投资基金</w:t>
      </w:r>
    </w:p>
    <w:p w:rsidR="00396EB6" w:rsidRPr="00421707" w:rsidP="001663E4" w14:paraId="451789C6" w14:textId="77777777">
      <w:pPr>
        <w:pStyle w:val="TOC1"/>
        <w:tabs>
          <w:tab w:val="right" w:leader="dot" w:pos="9080"/>
        </w:tabs>
        <w:jc w:val="center"/>
        <w:rPr>
          <w:rFonts w:ascii="黑体" w:eastAsia="黑体" w:hAnsi="黑体"/>
          <w:b/>
          <w:bCs/>
          <w:sz w:val="36"/>
          <w:szCs w:val="36"/>
        </w:rPr>
      </w:pPr>
      <w:r w:rsidRPr="00421707">
        <w:rPr>
          <w:rFonts w:ascii="黑体" w:eastAsia="黑体" w:hAnsi="黑体" w:hint="eastAsia"/>
          <w:b/>
          <w:bCs/>
          <w:sz w:val="36"/>
          <w:szCs w:val="36"/>
        </w:rPr>
        <w:t>2026年第3季度报告</w:t>
      </w:r>
    </w:p>
    <w:p w:rsidR="00695511" w:rsidRPr="00A76644" w:rsidP="00421707" w14:paraId="330D4D51" w14:textId="77777777">
      <w:pPr>
        <w:pStyle w:val="TOC1"/>
        <w:tabs>
          <w:tab w:val="right" w:leader="dot" w:pos="9080"/>
        </w:tabs>
        <w:spacing w:line="480" w:lineRule="auto"/>
        <w:jc w:val="center"/>
        <w:rPr>
          <w:rFonts w:ascii="宋体" w:eastAsia="宋体" w:hAnsi="宋体" w:cs="宋体"/>
          <w:b/>
          <w:bCs/>
          <w:sz w:val="24"/>
        </w:rPr>
      </w:pPr>
      <w:r>
        <w:rPr>
          <w:rFonts w:ascii="宋体" w:eastAsia="宋体" w:hAnsi="宋体" w:cs="宋体" w:hint="eastAsia"/>
          <w:b/>
          <w:bCs/>
          <w:sz w:val="24"/>
        </w:rPr>
        <w:t>2026年09月30日</w:t>
      </w:r>
    </w:p>
    <w:p w:rsidR="00514F66" w:rsidRPr="00514F66" w:rsidP="00514F66" w14:paraId="205BF4D8" w14:textId="77777777">
      <w:pPr>
        <w:pStyle w:val="TOC1"/>
        <w:tabs>
          <w:tab w:val="right" w:leader="dot" w:pos="9080"/>
        </w:tabs>
        <w:spacing w:before="72" w:after="120"/>
        <w:jc w:val="center"/>
        <w:rPr>
          <w:rFonts w:ascii="宋体" w:hAnsi="宋体"/>
          <w:b/>
          <w:bCs/>
          <w:sz w:val="24"/>
        </w:rPr>
      </w:pPr>
    </w:p>
    <w:p w:rsidR="00514F66" w:rsidRPr="00514F66" w:rsidP="00514F66" w14:paraId="02CCC2D6" w14:textId="77777777">
      <w:pPr>
        <w:pStyle w:val="TOC1"/>
        <w:tabs>
          <w:tab w:val="right" w:leader="dot" w:pos="9080"/>
        </w:tabs>
        <w:spacing w:before="72" w:after="120"/>
        <w:jc w:val="center"/>
        <w:rPr>
          <w:rFonts w:ascii="宋体" w:hAnsi="宋体"/>
          <w:b/>
          <w:bCs/>
          <w:sz w:val="24"/>
        </w:rPr>
      </w:pPr>
    </w:p>
    <w:p w:rsidR="00514F66" w:rsidRPr="00514F66" w:rsidP="00514F66" w14:paraId="045B4059" w14:textId="77777777">
      <w:pPr>
        <w:pStyle w:val="TOC1"/>
        <w:tabs>
          <w:tab w:val="right" w:leader="dot" w:pos="9080"/>
        </w:tabs>
        <w:spacing w:before="72" w:after="120"/>
        <w:jc w:val="center"/>
        <w:rPr>
          <w:rFonts w:ascii="宋体" w:hAnsi="宋体"/>
          <w:b/>
          <w:bCs/>
          <w:sz w:val="24"/>
        </w:rPr>
      </w:pPr>
    </w:p>
    <w:p w:rsidR="00514F66" w:rsidRPr="00514F66" w:rsidP="00514F66" w14:paraId="3BC03714" w14:textId="77777777">
      <w:pPr>
        <w:pStyle w:val="TOC1"/>
        <w:tabs>
          <w:tab w:val="right" w:leader="dot" w:pos="9080"/>
        </w:tabs>
        <w:spacing w:before="72" w:after="120"/>
        <w:jc w:val="center"/>
        <w:rPr>
          <w:rFonts w:ascii="宋体" w:hAnsi="宋体"/>
          <w:b/>
          <w:bCs/>
          <w:sz w:val="24"/>
        </w:rPr>
      </w:pPr>
    </w:p>
    <w:p w:rsidR="00514F66" w:rsidRPr="00514F66" w:rsidP="00514F66" w14:paraId="580DD332" w14:textId="77777777">
      <w:pPr>
        <w:pStyle w:val="TOC1"/>
        <w:tabs>
          <w:tab w:val="right" w:leader="dot" w:pos="9080"/>
        </w:tabs>
        <w:spacing w:before="72" w:after="120"/>
        <w:jc w:val="center"/>
        <w:rPr>
          <w:rFonts w:ascii="宋体" w:hAnsi="宋体"/>
          <w:b/>
          <w:bCs/>
          <w:sz w:val="24"/>
        </w:rPr>
      </w:pPr>
    </w:p>
    <w:p w:rsidR="00514F66" w:rsidRPr="00514F66" w:rsidP="00514F66" w14:paraId="256C0706" w14:textId="77777777">
      <w:pPr>
        <w:pStyle w:val="TOC1"/>
        <w:tabs>
          <w:tab w:val="right" w:leader="dot" w:pos="9080"/>
        </w:tabs>
        <w:spacing w:before="72" w:after="120"/>
        <w:jc w:val="center"/>
        <w:rPr>
          <w:rFonts w:ascii="宋体" w:hAnsi="宋体"/>
          <w:b/>
          <w:bCs/>
          <w:sz w:val="24"/>
        </w:rPr>
      </w:pPr>
    </w:p>
    <w:p w:rsidR="00514F66" w:rsidRPr="00514F66" w:rsidP="00514F66" w14:paraId="3C562D33" w14:textId="77777777">
      <w:pPr>
        <w:pStyle w:val="TOC1"/>
        <w:tabs>
          <w:tab w:val="right" w:leader="dot" w:pos="9080"/>
        </w:tabs>
        <w:spacing w:before="72" w:after="120"/>
        <w:jc w:val="center"/>
        <w:rPr>
          <w:rFonts w:ascii="宋体" w:hAnsi="宋体"/>
          <w:b/>
          <w:bCs/>
          <w:sz w:val="24"/>
        </w:rPr>
      </w:pPr>
    </w:p>
    <w:p w:rsidR="00514F66" w:rsidRPr="00514F66" w:rsidP="00514F66" w14:paraId="5110C3F6" w14:textId="77777777">
      <w:pPr>
        <w:pStyle w:val="TOC1"/>
        <w:tabs>
          <w:tab w:val="right" w:leader="dot" w:pos="9080"/>
        </w:tabs>
        <w:spacing w:before="72" w:after="120"/>
        <w:jc w:val="center"/>
        <w:rPr>
          <w:rFonts w:ascii="宋体" w:hAnsi="宋体"/>
          <w:b/>
          <w:bCs/>
          <w:sz w:val="24"/>
        </w:rPr>
      </w:pPr>
    </w:p>
    <w:p w:rsidR="00514F66" w:rsidRPr="00514F66" w:rsidP="00514F66" w14:paraId="0B3A8452" w14:textId="77777777">
      <w:pPr>
        <w:pStyle w:val="TOC1"/>
        <w:tabs>
          <w:tab w:val="right" w:leader="dot" w:pos="9080"/>
        </w:tabs>
        <w:spacing w:before="72" w:after="120"/>
        <w:jc w:val="center"/>
        <w:rPr>
          <w:rFonts w:ascii="宋体" w:hAnsi="宋体"/>
          <w:b/>
          <w:bCs/>
          <w:sz w:val="24"/>
        </w:rPr>
      </w:pPr>
    </w:p>
    <w:p w:rsidR="00514F66" w:rsidRPr="00514F66" w:rsidP="00514F66" w14:paraId="5EF2E9FF" w14:textId="77777777">
      <w:pPr>
        <w:pStyle w:val="TOC1"/>
        <w:tabs>
          <w:tab w:val="right" w:leader="dot" w:pos="9080"/>
        </w:tabs>
        <w:spacing w:before="72" w:after="120"/>
        <w:jc w:val="center"/>
        <w:rPr>
          <w:rFonts w:ascii="宋体" w:hAnsi="宋体"/>
          <w:b/>
          <w:bCs/>
          <w:sz w:val="24"/>
        </w:rPr>
      </w:pPr>
    </w:p>
    <w:p w:rsidR="00514F66" w:rsidRPr="00514F66" w:rsidP="00514F66" w14:paraId="2807BBEC" w14:textId="77777777">
      <w:pPr>
        <w:pStyle w:val="TOC1"/>
        <w:tabs>
          <w:tab w:val="right" w:leader="dot" w:pos="9080"/>
        </w:tabs>
        <w:spacing w:before="72" w:after="120"/>
        <w:jc w:val="center"/>
        <w:rPr>
          <w:rFonts w:ascii="宋体" w:hAnsi="宋体"/>
          <w:b/>
          <w:bCs/>
          <w:sz w:val="24"/>
        </w:rPr>
      </w:pPr>
    </w:p>
    <w:p w:rsidR="00514F66" w:rsidRPr="00514F66" w:rsidP="00514F66" w14:paraId="4BC10FDF" w14:textId="77777777">
      <w:pPr>
        <w:pStyle w:val="TOC1"/>
        <w:tabs>
          <w:tab w:val="right" w:leader="dot" w:pos="9080"/>
        </w:tabs>
        <w:spacing w:before="72" w:after="120"/>
        <w:jc w:val="center"/>
        <w:rPr>
          <w:rFonts w:ascii="宋体" w:hAnsi="宋体"/>
          <w:b/>
          <w:bCs/>
          <w:sz w:val="24"/>
        </w:rPr>
      </w:pPr>
    </w:p>
    <w:p w:rsidR="00514F66" w:rsidRPr="00514F66" w:rsidP="00514F66" w14:paraId="488AAE42" w14:textId="77777777">
      <w:pPr>
        <w:pStyle w:val="TOC1"/>
        <w:tabs>
          <w:tab w:val="right" w:leader="dot" w:pos="9080"/>
        </w:tabs>
        <w:spacing w:before="72" w:after="120"/>
        <w:jc w:val="center"/>
        <w:rPr>
          <w:rFonts w:ascii="宋体" w:hAnsi="宋体"/>
          <w:b/>
          <w:bCs/>
          <w:sz w:val="24"/>
        </w:rPr>
      </w:pPr>
    </w:p>
    <w:p w:rsidR="00514F66" w:rsidRPr="00514F66" w:rsidP="00514F66" w14:paraId="0B4C086D" w14:textId="77777777">
      <w:pPr>
        <w:pStyle w:val="TOC1"/>
        <w:tabs>
          <w:tab w:val="right" w:leader="dot" w:pos="9080"/>
        </w:tabs>
        <w:spacing w:before="72" w:after="120"/>
        <w:jc w:val="center"/>
        <w:rPr>
          <w:rFonts w:ascii="宋体" w:hAnsi="宋体"/>
          <w:b/>
          <w:bCs/>
          <w:sz w:val="24"/>
        </w:rPr>
      </w:pPr>
    </w:p>
    <w:p w:rsidR="00514F66" w:rsidRPr="00514F66" w:rsidP="00514F66" w14:paraId="7EEBE708" w14:textId="77777777">
      <w:pPr>
        <w:pStyle w:val="TOC1"/>
        <w:tabs>
          <w:tab w:val="right" w:leader="dot" w:pos="9080"/>
        </w:tabs>
        <w:spacing w:before="72" w:after="120"/>
        <w:jc w:val="center"/>
        <w:rPr>
          <w:rFonts w:ascii="宋体" w:hAnsi="宋体"/>
          <w:b/>
          <w:bCs/>
          <w:sz w:val="24"/>
        </w:rPr>
      </w:pPr>
    </w:p>
    <w:p w:rsidR="00396EB6" w:rsidP="00421707" w14:paraId="3B0B08E8" w14:textId="77777777">
      <w:pPr>
        <w:pStyle w:val="TOC1"/>
        <w:tabs>
          <w:tab w:val="right" w:leader="dot" w:pos="9080"/>
        </w:tabs>
        <w:spacing w:line="360" w:lineRule="auto"/>
        <w:jc w:val="center"/>
        <w:rPr>
          <w:rFonts w:ascii="宋体" w:eastAsia="宋体" w:hAnsi="宋体" w:cs="宋体"/>
          <w:b/>
          <w:bCs/>
          <w:sz w:val="24"/>
        </w:rPr>
      </w:pPr>
      <w:r>
        <w:rPr>
          <w:rFonts w:ascii="宋体" w:eastAsia="宋体" w:hAnsi="宋体" w:cs="宋体" w:hint="eastAsia"/>
          <w:b/>
          <w:bCs/>
          <w:sz w:val="24"/>
        </w:rPr>
        <w:t>基金管理人:</w:t>
      </w:r>
      <w:r>
        <w:rPr>
          <w:rFonts w:ascii="宋体" w:eastAsia="宋体" w:hAnsi="宋体" w:cs="宋体"/>
          <w:b/>
          <w:color w:val="auto"/>
          <w:sz w:val="24"/>
          <w:u w:val="none"/>
        </w:rPr>
        <w:t>东方阿尔法基金管理有限公司</w:t>
      </w:r>
    </w:p>
    <w:p w:rsidR="00396EB6" w:rsidP="00421707" w14:paraId="31616E72" w14:textId="77777777">
      <w:pPr>
        <w:pStyle w:val="TOC1"/>
        <w:tabs>
          <w:tab w:val="right" w:leader="dot" w:pos="9080"/>
        </w:tabs>
        <w:spacing w:line="360" w:lineRule="auto"/>
        <w:jc w:val="center"/>
        <w:rPr>
          <w:rFonts w:ascii="宋体" w:eastAsia="宋体" w:hAnsi="宋体" w:cs="宋体"/>
          <w:b/>
          <w:bCs/>
          <w:sz w:val="24"/>
        </w:rPr>
      </w:pPr>
      <w:r>
        <w:rPr>
          <w:rFonts w:ascii="宋体" w:eastAsia="宋体" w:hAnsi="宋体" w:cs="宋体" w:hint="eastAsia"/>
          <w:b/>
          <w:bCs/>
          <w:sz w:val="24"/>
        </w:rPr>
        <w:t>基金托管人:</w:t>
      </w:r>
      <w:r>
        <w:rPr>
          <w:rFonts w:ascii="宋体" w:eastAsia="宋体" w:hAnsi="宋体" w:cs="宋体"/>
          <w:b/>
          <w:color w:val="auto"/>
          <w:sz w:val="24"/>
          <w:u w:val="none"/>
        </w:rPr>
        <w:t>招商银行股份有限公司</w:t>
      </w:r>
    </w:p>
    <w:p w:rsidR="00396EB6" w:rsidP="00421707" w14:paraId="01D6CDCE" w14:textId="77777777">
      <w:pPr>
        <w:pStyle w:val="TOC1"/>
        <w:tabs>
          <w:tab w:val="right" w:leader="dot" w:pos="9080"/>
        </w:tabs>
        <w:spacing w:line="360" w:lineRule="auto"/>
        <w:jc w:val="center"/>
        <w:rPr>
          <w:rFonts w:ascii="宋体" w:eastAsia="宋体" w:hAnsi="宋体" w:cs="宋体"/>
          <w:b/>
          <w:bCs/>
          <w:sz w:val="24"/>
        </w:rPr>
      </w:pPr>
      <w:r>
        <w:rPr>
          <w:rFonts w:ascii="宋体" w:eastAsia="宋体" w:hAnsi="宋体" w:cs="宋体" w:hint="eastAsia"/>
          <w:b/>
          <w:bCs/>
          <w:sz w:val="24"/>
        </w:rPr>
        <w:t>报告送出日期:</w:t>
      </w:r>
      <w:r>
        <w:rPr>
          <w:rFonts w:ascii="宋体" w:eastAsia="宋体" w:hAnsi="宋体" w:cs="宋体"/>
          <w:b/>
          <w:color w:val="auto"/>
          <w:sz w:val="24"/>
          <w:u w:val="none"/>
        </w:rPr>
        <w:t>2026年10月26日</w:t>
      </w:r>
    </w:p>
    <w:p w:rsidR="00396EB6" w:rsidP="00A76644" w14:paraId="28A208C4" w14:textId="77777777">
      <w:pPr>
        <w:jc w:val="center"/>
      </w:pPr>
      <w:r>
        <w:br w:type="page"/>
      </w:r>
    </w:p>
    <w:p w:rsidR="00C370BD" w:rsidRPr="00C370BD" w:rsidP="00801225" w14:paraId="6B371222" w14:textId="77777777">
      <w:pPr>
        <w:pStyle w:val="Heading1"/>
        <w:spacing w:line="576" w:lineRule="auto"/>
        <w:jc w:val="center"/>
        <w:rPr>
          <w:rFonts w:ascii="宋体" w:eastAsia="宋体" w:hAnsi="宋体"/>
          <w:sz w:val="24"/>
          <w:szCs w:val="24"/>
        </w:rPr>
      </w:pPr>
      <w:bookmarkStart w:id="0" w:name="_Toc73379713"/>
      <w:r w:rsidRPr="00C370BD">
        <w:rPr>
          <w:rFonts w:ascii="宋体" w:eastAsia="宋体" w:hAnsi="宋体" w:hint="eastAsia"/>
          <w:bCs w:val="0"/>
          <w:sz w:val="24"/>
          <w:szCs w:val="24"/>
        </w:rPr>
        <w:t>§1 重要提示</w:t>
      </w:r>
      <w:bookmarkEnd w:id="0"/>
    </w:p>
    <w:p w:rsidR="00F07C93" w:rsidP="00E67AEA" w14:paraId="7F352D6E" w14:textId="35951F40">
      <w:pPr>
        <w:widowControl/>
        <w:rPr>
          <w:rFonts w:ascii="宋体" w:eastAsia="宋体" w:hAnsi="宋体"/>
        </w:rPr>
      </w:pPr>
      <w:r>
        <w:t xml:space="preserve">    基金管理人的董事会及董事保证本报告所载资料不存在虚假记载、误导性陈述或重大遗漏，并对其内容的真实性、准确性和完整性承担个别及连带责任。</w:t>
        <w:cr/>
        <w:t xml:space="preserve">    基金托管人招商银行股份有限公司根据本基金合同规定，于2026年10月23日复核了本报告中的财务指标、净值表现和投资组合报告等内容，保证复核内容不存在虚假记载、误导性陈述或者重大遗漏。</w:t>
        <w:cr/>
        <w:t xml:space="preserve">    基金管理人承诺以诚实信用、勤勉尽责的原则管理和运用基金资产，但不保证基金一定盈利。</w:t>
        <w:cr/>
        <w:t xml:space="preserve">    基金的过往业绩并不代表其未来表现。投资有风险，投资者在做出投资决策前应仔细阅读本基金的招募说明书。</w:t>
        <w:cr/>
        <w:t xml:space="preserve">    本报告中财务资料未经审计。</w:t>
        <w:cr/>
        <w:t xml:space="preserve">    本报告期自2026年07月01日起至2026年09月30日止。</w:t>
      </w:r>
    </w:p>
    <w:p/>
    <w:p>
      <w:pPr>
        <w:pStyle w:val="Heading1"/>
        <w:jc w:val="center"/>
      </w:pPr>
      <w:r>
        <w:rPr>
          <w:rFonts w:ascii="宋体" w:eastAsia="宋体" w:hAnsi="宋体" w:cs="宋体"/>
        </w:rPr>
        <w:t>§2 基金产品概况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3021"/>
        <w:gridCol w:w="3021"/>
        <w:gridCol w:w="302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3" w:type="pct"/>
            <w:vAlign w:val="center"/>
          </w:tcPr>
          <w:p>
            <w:pPr>
              <w:spacing w:line="240" w:lineRule="auto"/>
              <w:jc w:val="left"/>
            </w:pPr>
            <w:r>
              <w:rPr>
                <w:rFonts w:ascii="宋体" w:eastAsia="宋体" w:hAnsi="宋体" w:cs="宋体"/>
                <w:b w:val="0"/>
              </w:rPr>
              <w:t>基金简称</w:t>
            </w:r>
          </w:p>
        </w:tc>
        <w:tc>
          <w:tcPr>
            <w:tcW w:w="3077" w:type="pct"/>
            <w:gridSpan w:val="2"/>
            <w:vAlign w:val="center"/>
          </w:tcPr>
          <w:p>
            <w:pPr>
              <w:spacing w:line="240" w:lineRule="auto"/>
              <w:jc w:val="left"/>
            </w:pPr>
            <w:r>
              <w:rPr>
                <w:rFonts w:ascii="宋体" w:eastAsia="宋体" w:hAnsi="宋体" w:cs="宋体"/>
                <w:b w:val="0"/>
              </w:rPr>
              <w:t>东方阿尔法瑞利混合发起</w:t>
            </w:r>
          </w:p>
        </w:tc>
      </w:tr>
      <w:tr>
        <w:tblPrEx>
          <w:tblW w:w="5000" w:type="pct"/>
        </w:tblPrEx>
        <w:tc>
          <w:tcPr>
            <w:tcW w:w="1923" w:type="pct"/>
            <w:vAlign w:val="center"/>
          </w:tcPr>
          <w:p>
            <w:pPr>
              <w:spacing w:line="240" w:lineRule="auto"/>
              <w:jc w:val="left"/>
            </w:pPr>
            <w:r>
              <w:rPr>
                <w:rFonts w:ascii="宋体" w:eastAsia="宋体" w:hAnsi="宋体" w:cs="宋体"/>
                <w:b w:val="0"/>
              </w:rPr>
              <w:t>基金主代码</w:t>
            </w:r>
          </w:p>
        </w:tc>
        <w:tc>
          <w:tcPr>
            <w:tcW w:w="0" w:type="dxa"/>
            <w:gridSpan w:val="2"/>
            <w:vAlign w:val="center"/>
          </w:tcPr>
          <w:p>
            <w:pPr>
              <w:spacing w:line="240" w:lineRule="auto"/>
              <w:jc w:val="left"/>
            </w:pPr>
            <w:r>
              <w:rPr>
                <w:rFonts w:ascii="宋体" w:eastAsia="宋体" w:hAnsi="宋体" w:cs="宋体"/>
                <w:b w:val="0"/>
              </w:rPr>
              <w:t>026993</w:t>
            </w:r>
          </w:p>
        </w:tc>
      </w:tr>
      <w:tr>
        <w:tblPrEx>
          <w:tblW w:w="5000" w:type="pct"/>
        </w:tblPrEx>
        <w:tc>
          <w:tcPr>
            <w:tcW w:w="1923" w:type="pct"/>
            <w:vAlign w:val="center"/>
          </w:tcPr>
          <w:p>
            <w:pPr>
              <w:spacing w:line="240" w:lineRule="auto"/>
              <w:jc w:val="left"/>
            </w:pPr>
            <w:r>
              <w:rPr>
                <w:rFonts w:ascii="宋体" w:eastAsia="宋体" w:hAnsi="宋体" w:cs="宋体"/>
                <w:b w:val="0"/>
              </w:rPr>
              <w:t>基金运作方式</w:t>
            </w:r>
          </w:p>
        </w:tc>
        <w:tc>
          <w:tcPr>
            <w:tcW w:w="0" w:type="dxa"/>
            <w:gridSpan w:val="2"/>
            <w:vAlign w:val="center"/>
          </w:tcPr>
          <w:p>
            <w:pPr>
              <w:spacing w:line="240" w:lineRule="auto"/>
              <w:jc w:val="left"/>
            </w:pPr>
            <w:r>
              <w:rPr>
                <w:rFonts w:ascii="宋体" w:eastAsia="宋体" w:hAnsi="宋体" w:cs="宋体"/>
                <w:b w:val="0"/>
              </w:rPr>
              <w:t>契约型开放式</w:t>
            </w:r>
          </w:p>
        </w:tc>
      </w:tr>
      <w:tr>
        <w:tblPrEx>
          <w:tblW w:w="5000" w:type="pct"/>
        </w:tblPrEx>
        <w:tc>
          <w:tcPr>
            <w:tcW w:w="1923" w:type="pct"/>
            <w:vAlign w:val="center"/>
          </w:tcPr>
          <w:p>
            <w:pPr>
              <w:spacing w:line="240" w:lineRule="auto"/>
              <w:jc w:val="left"/>
            </w:pPr>
            <w:r>
              <w:rPr>
                <w:rFonts w:ascii="宋体" w:eastAsia="宋体" w:hAnsi="宋体" w:cs="宋体"/>
                <w:b w:val="0"/>
              </w:rPr>
              <w:t>基金合同生效日</w:t>
            </w:r>
          </w:p>
        </w:tc>
        <w:tc>
          <w:tcPr>
            <w:tcW w:w="0" w:type="dxa"/>
            <w:gridSpan w:val="2"/>
            <w:vAlign w:val="center"/>
          </w:tcPr>
          <w:p>
            <w:pPr>
              <w:spacing w:line="240" w:lineRule="auto"/>
              <w:jc w:val="left"/>
            </w:pPr>
            <w:r>
              <w:rPr>
                <w:rFonts w:ascii="宋体" w:eastAsia="宋体" w:hAnsi="宋体" w:cs="宋体"/>
                <w:b w:val="0"/>
              </w:rPr>
              <w:t>2026年04月14日</w:t>
            </w:r>
          </w:p>
        </w:tc>
      </w:tr>
      <w:tr>
        <w:tblPrEx>
          <w:tblW w:w="5000" w:type="pct"/>
        </w:tblPrEx>
        <w:tc>
          <w:tcPr>
            <w:tcW w:w="1923" w:type="pct"/>
            <w:vAlign w:val="center"/>
          </w:tcPr>
          <w:p>
            <w:pPr>
              <w:spacing w:line="240" w:lineRule="auto"/>
              <w:jc w:val="left"/>
            </w:pPr>
            <w:r>
              <w:rPr>
                <w:rFonts w:ascii="宋体" w:eastAsia="宋体" w:hAnsi="宋体" w:cs="宋体"/>
                <w:b w:val="0"/>
              </w:rPr>
              <w:t>报告期末基金份额总额</w:t>
            </w:r>
          </w:p>
        </w:tc>
        <w:tc>
          <w:tcPr>
            <w:tcW w:w="0" w:type="dxa"/>
            <w:gridSpan w:val="2"/>
            <w:vAlign w:val="center"/>
          </w:tcPr>
          <w:p>
            <w:pPr>
              <w:spacing w:line="240" w:lineRule="auto"/>
              <w:jc w:val="left"/>
            </w:pPr>
            <w:r>
              <w:rPr>
                <w:rFonts w:ascii="宋体" w:eastAsia="宋体" w:hAnsi="宋体" w:cs="宋体"/>
                <w:b w:val="0"/>
              </w:rPr>
              <w:t>167,912,213.73份</w:t>
            </w:r>
          </w:p>
        </w:tc>
      </w:tr>
      <w:tr>
        <w:tblPrEx>
          <w:tblW w:w="5000" w:type="pct"/>
        </w:tblPrEx>
        <w:tc>
          <w:tcPr>
            <w:tcW w:w="1923" w:type="pct"/>
            <w:vAlign w:val="center"/>
          </w:tcPr>
          <w:p>
            <w:pPr>
              <w:spacing w:line="240" w:lineRule="auto"/>
              <w:jc w:val="left"/>
            </w:pPr>
            <w:r>
              <w:rPr>
                <w:rFonts w:ascii="宋体" w:eastAsia="宋体" w:hAnsi="宋体" w:cs="宋体"/>
                <w:b w:val="0"/>
              </w:rPr>
              <w:t>投资目标</w:t>
            </w:r>
          </w:p>
        </w:tc>
        <w:tc>
          <w:tcPr>
            <w:tcW w:w="2592" w:type="pct"/>
            <w:gridSpan w:val="2"/>
            <w:vAlign w:val="center"/>
          </w:tcPr>
          <w:p>
            <w:pPr>
              <w:spacing w:line="240" w:lineRule="auto"/>
              <w:jc w:val="left"/>
            </w:pPr>
            <w:r>
              <w:rPr>
                <w:rFonts w:ascii="宋体" w:eastAsia="宋体" w:hAnsi="宋体" w:cs="宋体"/>
                <w:b w:val="0"/>
              </w:rPr>
              <w:t>在严格控制投资组合风险并保持基金资产良好的流动性的前提下，通过专业化研究分析，力争实现基金资产的稳健增值。</w:t>
            </w:r>
          </w:p>
        </w:tc>
      </w:tr>
      <w:tr>
        <w:tblPrEx>
          <w:tblW w:w="5000" w:type="pct"/>
        </w:tblPrEx>
        <w:tc>
          <w:tcPr>
            <w:tcW w:w="1923" w:type="pct"/>
            <w:vAlign w:val="center"/>
          </w:tcPr>
          <w:p>
            <w:pPr>
              <w:spacing w:line="240" w:lineRule="auto"/>
              <w:jc w:val="left"/>
            </w:pPr>
            <w:r>
              <w:rPr>
                <w:rFonts w:ascii="宋体" w:eastAsia="宋体" w:hAnsi="宋体" w:cs="宋体"/>
                <w:b w:val="0"/>
              </w:rPr>
              <w:t>投资策略</w:t>
            </w:r>
          </w:p>
        </w:tc>
        <w:tc>
          <w:tcPr>
            <w:tcW w:w="0" w:type="dxa"/>
            <w:gridSpan w:val="2"/>
            <w:vAlign w:val="center"/>
          </w:tcPr>
          <w:p>
            <w:pPr>
              <w:spacing w:line="240" w:lineRule="auto"/>
              <w:jc w:val="left"/>
            </w:pPr>
            <w:r>
              <w:rPr>
                <w:rFonts w:ascii="宋体" w:eastAsia="宋体" w:hAnsi="宋体" w:cs="宋体"/>
                <w:b w:val="0"/>
              </w:rPr>
              <w:t>本基金的投资策略主要有以下11个方面内容：</w:t>
              <w:br/>
            </w:r>
            <w:r>
              <w:rPr>
                <w:rFonts w:ascii="宋体" w:eastAsia="宋体" w:hAnsi="宋体" w:cs="宋体"/>
                <w:b w:val="0"/>
              </w:rPr>
              <w:t>1、大类资产配置策略</w:t>
              <w:br/>
            </w:r>
            <w:r>
              <w:rPr>
                <w:rFonts w:ascii="宋体" w:eastAsia="宋体" w:hAnsi="宋体" w:cs="宋体"/>
                <w:b w:val="0"/>
              </w:rPr>
              <w:t>本基金将根据国内外宏观经济情况、国内外证券市场估值水平阶段性不断调整权益类资产和其他资产之间的大类资产配置比例。</w:t>
              <w:br/>
            </w:r>
            <w:r>
              <w:rPr>
                <w:rFonts w:ascii="宋体" w:eastAsia="宋体" w:hAnsi="宋体" w:cs="宋体"/>
                <w:b w:val="0"/>
              </w:rPr>
              <w:t>2、股票投资策略</w:t>
              <w:br/>
            </w:r>
            <w:r>
              <w:rPr>
                <w:rFonts w:ascii="宋体" w:eastAsia="宋体" w:hAnsi="宋体" w:cs="宋体"/>
                <w:b w:val="0"/>
              </w:rPr>
              <w:t>在大类资产配置的基础上，本基金将采用“自下而上”的方式精选个股，结合定性和定量分析对公司投资价值进行评估，在控制风险的基础上创造持续超越业绩比较基准的收益。</w:t>
              <w:br/>
            </w:r>
            <w:r>
              <w:rPr>
                <w:rFonts w:ascii="宋体" w:eastAsia="宋体" w:hAnsi="宋体" w:cs="宋体"/>
                <w:b w:val="0"/>
              </w:rPr>
              <w:t xml:space="preserve">3、港股投资策略 </w:t>
              <w:br/>
            </w:r>
            <w:r>
              <w:rPr>
                <w:rFonts w:ascii="宋体" w:eastAsia="宋体" w:hAnsi="宋体" w:cs="宋体"/>
                <w:b w:val="0"/>
              </w:rPr>
              <w:t>本基金将通过内地与香港股票市场交易互联互通机制投资于香港股票市场，不使用合格境内机构投资者(QDII)境外投资额度进行境外投资。</w:t>
              <w:br/>
            </w:r>
            <w:r>
              <w:rPr>
                <w:rFonts w:ascii="宋体" w:eastAsia="宋体" w:hAnsi="宋体" w:cs="宋体"/>
                <w:b w:val="0"/>
              </w:rPr>
              <w:t>4、存托凭证投资策略</w:t>
              <w:br/>
            </w:r>
            <w:r>
              <w:rPr>
                <w:rFonts w:ascii="宋体" w:eastAsia="宋体" w:hAnsi="宋体" w:cs="宋体"/>
                <w:b w:val="0"/>
              </w:rPr>
              <w:t>本基金投资存托凭证的策略依照上述境内上市交易的股票投资策略执行。</w:t>
              <w:br/>
            </w:r>
            <w:r>
              <w:rPr>
                <w:rFonts w:ascii="宋体" w:eastAsia="宋体" w:hAnsi="宋体" w:cs="宋体"/>
                <w:b w:val="0"/>
              </w:rPr>
              <w:t>5、债券类资产投资策略</w:t>
              <w:br/>
            </w:r>
            <w:r>
              <w:rPr>
                <w:rFonts w:ascii="宋体" w:eastAsia="宋体" w:hAnsi="宋体" w:cs="宋体"/>
                <w:b w:val="0"/>
              </w:rPr>
              <w:t>本基金将通过研究判断宏观经济趋势、财政和货币政策走向、市场供求和估值变化，合理配置债券类资产，并灵活运用久期偏离、收益率曲线配置和类属配置等投资策略。</w:t>
              <w:br/>
            </w:r>
            <w:r>
              <w:rPr>
                <w:rFonts w:ascii="宋体" w:eastAsia="宋体" w:hAnsi="宋体" w:cs="宋体"/>
                <w:b w:val="0"/>
              </w:rPr>
              <w:t>6、可转换债券及可交换债券投资策略</w:t>
              <w:br/>
            </w:r>
            <w:r>
              <w:rPr>
                <w:rFonts w:ascii="宋体" w:eastAsia="宋体" w:hAnsi="宋体" w:cs="宋体"/>
                <w:b w:val="0"/>
              </w:rPr>
              <w:t>本基金将通过对发行人、转股标的公司进行各自行业和基本面分析，再结合市场估值和内嵌条款对其投资价值进行综合判断。</w:t>
              <w:br/>
            </w:r>
            <w:r>
              <w:rPr>
                <w:rFonts w:ascii="宋体" w:eastAsia="宋体" w:hAnsi="宋体" w:cs="宋体"/>
                <w:b w:val="0"/>
              </w:rPr>
              <w:t>7、资产支持证券投资策略</w:t>
              <w:br/>
            </w:r>
            <w:r>
              <w:rPr>
                <w:rFonts w:ascii="宋体" w:eastAsia="宋体" w:hAnsi="宋体" w:cs="宋体"/>
                <w:b w:val="0"/>
              </w:rPr>
              <w:t>本基金将通过分析影响资产支持证券定价的多种因素，包括市场利率、发行条款、提前偿还率、支持资产的构成及质量等，评估其内在价值进行投资。</w:t>
              <w:br/>
            </w:r>
            <w:r>
              <w:rPr>
                <w:rFonts w:ascii="宋体" w:eastAsia="宋体" w:hAnsi="宋体" w:cs="宋体"/>
                <w:b w:val="0"/>
              </w:rPr>
              <w:t>8、股指期货投资策略</w:t>
              <w:br/>
            </w:r>
            <w:r>
              <w:rPr>
                <w:rFonts w:ascii="宋体" w:eastAsia="宋体" w:hAnsi="宋体" w:cs="宋体"/>
                <w:b w:val="0"/>
              </w:rPr>
              <w:t>本基金将按照风险管理的原则，以套期保值为主要目的，参与股指期货的投资。本基金还将利用股指期货流动性好、交易成本低等特点，通过股指期货对投资组合的仓位进行及时调整，提高投资组合的运作效率。</w:t>
              <w:br/>
            </w:r>
            <w:r>
              <w:rPr>
                <w:rFonts w:ascii="宋体" w:eastAsia="宋体" w:hAnsi="宋体" w:cs="宋体"/>
                <w:b w:val="0"/>
              </w:rPr>
              <w:t>9、国债期货投资策略</w:t>
              <w:br/>
            </w:r>
            <w:r>
              <w:rPr>
                <w:rFonts w:ascii="宋体" w:eastAsia="宋体" w:hAnsi="宋体" w:cs="宋体"/>
                <w:b w:val="0"/>
              </w:rPr>
              <w:t>本基金以套期保值为主要目的，参与国债期货的投资。本基金还将利用国债期货合约流动性好、交易成本低等特点，通过分析期货合约的风险收益特征对投资组合的利率风险暴露进行及时调整，提高投资组合的运作效率。</w:t>
              <w:br/>
            </w:r>
            <w:r>
              <w:rPr>
                <w:rFonts w:ascii="宋体" w:eastAsia="宋体" w:hAnsi="宋体" w:cs="宋体"/>
                <w:b w:val="0"/>
              </w:rPr>
              <w:t>10、股票期权投资策略</w:t>
              <w:br/>
            </w:r>
            <w:r>
              <w:rPr>
                <w:rFonts w:ascii="宋体" w:eastAsia="宋体" w:hAnsi="宋体" w:cs="宋体"/>
                <w:b w:val="0"/>
              </w:rPr>
              <w:t>本基金以套期保值为主要目的参与股票期权交易，利用场内期权合约流动性好、交易成本低等特点，通过分析期权合约的风险收益特征对投资组合的仓位进行及时调整，提高投资组合的运作效率。</w:t>
              <w:br/>
            </w:r>
            <w:r>
              <w:rPr>
                <w:rFonts w:ascii="宋体" w:eastAsia="宋体" w:hAnsi="宋体" w:cs="宋体"/>
                <w:b w:val="0"/>
              </w:rPr>
              <w:t>11、融资业务投资策略</w:t>
              <w:br/>
            </w:r>
            <w:r>
              <w:rPr>
                <w:rFonts w:ascii="宋体" w:eastAsia="宋体" w:hAnsi="宋体" w:cs="宋体"/>
                <w:b w:val="0"/>
              </w:rPr>
              <w:t>本基金如参与融资业务，将综合考虑融资成本、保证金比例、冲抵保证金证券折算率、信用资质等条件选择合适的交易对手方。在保障基金投资组合充足流动性以及有效控制融资杠杆风险的前提下，确定融资比例。</w:t>
            </w:r>
          </w:p>
        </w:tc>
      </w:tr>
      <w:tr>
        <w:tblPrEx>
          <w:tblW w:w="5000" w:type="pct"/>
        </w:tblPrEx>
        <w:tc>
          <w:tcPr>
            <w:tcW w:w="1923" w:type="pct"/>
            <w:vAlign w:val="center"/>
          </w:tcPr>
          <w:p>
            <w:pPr>
              <w:spacing w:line="240" w:lineRule="auto"/>
              <w:jc w:val="left"/>
            </w:pPr>
            <w:r>
              <w:rPr>
                <w:rFonts w:ascii="宋体" w:eastAsia="宋体" w:hAnsi="宋体" w:cs="宋体"/>
                <w:b w:val="0"/>
              </w:rPr>
              <w:t>业绩比较基准</w:t>
            </w:r>
          </w:p>
        </w:tc>
        <w:tc>
          <w:tcPr>
            <w:tcW w:w="0" w:type="dxa"/>
            <w:gridSpan w:val="2"/>
            <w:vAlign w:val="center"/>
          </w:tcPr>
          <w:p>
            <w:pPr>
              <w:spacing w:line="240" w:lineRule="auto"/>
              <w:jc w:val="left"/>
            </w:pPr>
            <w:r>
              <w:rPr>
                <w:rFonts w:ascii="宋体" w:eastAsia="宋体" w:hAnsi="宋体" w:cs="宋体"/>
                <w:b w:val="0"/>
              </w:rPr>
              <w:t>中证800指数收益率×60%+中证综合债（全价）指数收益率×20%+恒生指数收益率×20%</w:t>
            </w:r>
          </w:p>
        </w:tc>
      </w:tr>
      <w:tr>
        <w:tblPrEx>
          <w:tblW w:w="5000" w:type="pct"/>
        </w:tblPrEx>
        <w:tc>
          <w:tcPr>
            <w:tcW w:w="1923" w:type="pct"/>
            <w:vAlign w:val="center"/>
          </w:tcPr>
          <w:p>
            <w:pPr>
              <w:spacing w:line="240" w:lineRule="auto"/>
              <w:jc w:val="left"/>
            </w:pPr>
            <w:r>
              <w:rPr>
                <w:rFonts w:ascii="宋体" w:eastAsia="宋体" w:hAnsi="宋体" w:cs="宋体"/>
                <w:b w:val="0"/>
              </w:rPr>
              <w:t>风险收益特征</w:t>
            </w:r>
          </w:p>
        </w:tc>
        <w:tc>
          <w:tcPr>
            <w:tcW w:w="2592" w:type="pct"/>
            <w:gridSpan w:val="2"/>
            <w:vAlign w:val="center"/>
          </w:tcPr>
          <w:p>
            <w:pPr>
              <w:spacing w:line="240" w:lineRule="auto"/>
              <w:jc w:val="left"/>
            </w:pPr>
            <w:r>
              <w:rPr>
                <w:rFonts w:ascii="宋体" w:eastAsia="宋体" w:hAnsi="宋体" w:cs="宋体"/>
                <w:b w:val="0"/>
              </w:rPr>
              <w:t>本基金为混合型基金，其预期收益和风险高于货币型基金、债券型基金。本基金如果投资港股通标的股票，需承担汇率风险以及境外市场的风险。</w:t>
            </w:r>
          </w:p>
        </w:tc>
      </w:tr>
      <w:tr>
        <w:tblPrEx>
          <w:tblW w:w="5000" w:type="pct"/>
        </w:tblPrEx>
        <w:tc>
          <w:tcPr>
            <w:tcW w:w="1923" w:type="pct"/>
            <w:vAlign w:val="center"/>
          </w:tcPr>
          <w:p>
            <w:pPr>
              <w:spacing w:line="240" w:lineRule="auto"/>
              <w:jc w:val="left"/>
            </w:pPr>
            <w:r>
              <w:rPr>
                <w:rFonts w:ascii="宋体" w:eastAsia="宋体" w:hAnsi="宋体" w:cs="宋体"/>
                <w:b w:val="0"/>
              </w:rPr>
              <w:t>基金管理人</w:t>
            </w:r>
          </w:p>
        </w:tc>
        <w:tc>
          <w:tcPr>
            <w:tcW w:w="0" w:type="dxa"/>
            <w:gridSpan w:val="2"/>
            <w:vAlign w:val="center"/>
          </w:tcPr>
          <w:p>
            <w:pPr>
              <w:spacing w:line="240" w:lineRule="auto"/>
              <w:jc w:val="left"/>
            </w:pPr>
            <w:r>
              <w:rPr>
                <w:rFonts w:ascii="宋体" w:eastAsia="宋体" w:hAnsi="宋体" w:cs="宋体"/>
                <w:b w:val="0"/>
              </w:rPr>
              <w:t>东方阿尔法基金管理有限公司</w:t>
            </w:r>
          </w:p>
        </w:tc>
      </w:tr>
      <w:tr>
        <w:tblPrEx>
          <w:tblW w:w="5000" w:type="pct"/>
        </w:tblPrEx>
        <w:tc>
          <w:tcPr>
            <w:tcW w:w="1923" w:type="pct"/>
            <w:vAlign w:val="center"/>
          </w:tcPr>
          <w:p>
            <w:pPr>
              <w:spacing w:line="240" w:lineRule="auto"/>
              <w:jc w:val="left"/>
            </w:pPr>
            <w:r>
              <w:rPr>
                <w:rFonts w:ascii="宋体" w:eastAsia="宋体" w:hAnsi="宋体" w:cs="宋体"/>
                <w:b w:val="0"/>
              </w:rPr>
              <w:t>基金托管人</w:t>
            </w:r>
          </w:p>
        </w:tc>
        <w:tc>
          <w:tcPr>
            <w:tcW w:w="0" w:type="dxa"/>
            <w:gridSpan w:val="2"/>
            <w:vAlign w:val="center"/>
          </w:tcPr>
          <w:p>
            <w:pPr>
              <w:spacing w:line="240" w:lineRule="auto"/>
              <w:jc w:val="left"/>
            </w:pPr>
            <w:r>
              <w:rPr>
                <w:rFonts w:ascii="宋体" w:eastAsia="宋体" w:hAnsi="宋体" w:cs="宋体"/>
                <w:b w:val="0"/>
              </w:rPr>
              <w:t>招商银行股份有限公司</w:t>
            </w:r>
          </w:p>
        </w:tc>
      </w:tr>
      <w:tr>
        <w:tblPrEx>
          <w:tblW w:w="5000" w:type="pct"/>
        </w:tblPrEx>
        <w:tc>
          <w:tcPr>
            <w:tcW w:w="0" w:type="dxa"/>
            <w:vAlign w:val="center"/>
          </w:tcPr>
          <w:p>
            <w:pPr>
              <w:spacing w:line="240" w:lineRule="auto"/>
              <w:jc w:val="left"/>
            </w:pPr>
            <w:r>
              <w:rPr>
                <w:rFonts w:ascii="宋体" w:eastAsia="宋体" w:hAnsi="宋体" w:cs="宋体"/>
                <w:b w:val="0"/>
              </w:rPr>
              <w:t>下属分级基金的基金简称</w:t>
            </w:r>
          </w:p>
        </w:tc>
        <w:tc>
          <w:tcPr>
            <w:tcW w:w="1500" w:type="pct"/>
            <w:vAlign w:val="center"/>
          </w:tcPr>
          <w:p>
            <w:pPr>
              <w:spacing w:line="240" w:lineRule="auto"/>
              <w:jc w:val="left"/>
            </w:pPr>
            <w:r>
              <w:rPr>
                <w:rFonts w:ascii="宋体" w:eastAsia="宋体" w:hAnsi="宋体" w:cs="宋体"/>
                <w:b w:val="0"/>
              </w:rPr>
              <w:t>东方阿尔法瑞利混合发起A</w:t>
            </w:r>
          </w:p>
        </w:tc>
        <w:tc>
          <w:tcPr>
            <w:tcW w:w="1500" w:type="pct"/>
            <w:vAlign w:val="center"/>
          </w:tcPr>
          <w:p>
            <w:pPr>
              <w:spacing w:line="240" w:lineRule="auto"/>
              <w:jc w:val="left"/>
            </w:pPr>
            <w:r>
              <w:rPr>
                <w:rFonts w:ascii="宋体" w:eastAsia="宋体" w:hAnsi="宋体" w:cs="宋体"/>
                <w:b w:val="0"/>
              </w:rPr>
              <w:t>东方阿尔法瑞利混合发起C</w:t>
            </w:r>
          </w:p>
        </w:tc>
      </w:tr>
      <w:tr>
        <w:tblPrEx>
          <w:tblW w:w="5000" w:type="pct"/>
        </w:tblPrEx>
        <w:tc>
          <w:tcPr>
            <w:tcW w:w="0" w:type="dxa"/>
            <w:vAlign w:val="center"/>
          </w:tcPr>
          <w:p>
            <w:pPr>
              <w:spacing w:line="240" w:lineRule="auto"/>
              <w:jc w:val="left"/>
            </w:pPr>
            <w:r>
              <w:rPr>
                <w:rFonts w:ascii="宋体" w:eastAsia="宋体" w:hAnsi="宋体" w:cs="宋体"/>
                <w:b w:val="0"/>
              </w:rPr>
              <w:t>下属分级基金的交易代码</w:t>
            </w:r>
          </w:p>
        </w:tc>
        <w:tc>
          <w:tcPr>
            <w:tcW w:w="1500" w:type="pct"/>
            <w:vAlign w:val="center"/>
          </w:tcPr>
          <w:p>
            <w:pPr>
              <w:spacing w:line="240" w:lineRule="auto"/>
              <w:jc w:val="left"/>
            </w:pPr>
            <w:r>
              <w:rPr>
                <w:rFonts w:ascii="宋体" w:eastAsia="宋体" w:hAnsi="宋体" w:cs="宋体"/>
                <w:b w:val="0"/>
              </w:rPr>
              <w:t>026993</w:t>
            </w:r>
          </w:p>
        </w:tc>
        <w:tc>
          <w:tcPr>
            <w:tcW w:w="1500" w:type="pct"/>
            <w:vAlign w:val="center"/>
          </w:tcPr>
          <w:p>
            <w:pPr>
              <w:spacing w:line="240" w:lineRule="auto"/>
              <w:jc w:val="left"/>
            </w:pPr>
            <w:r>
              <w:rPr>
                <w:rFonts w:ascii="宋体" w:eastAsia="宋体" w:hAnsi="宋体" w:cs="宋体"/>
                <w:b w:val="0"/>
              </w:rPr>
              <w:t>026994</w:t>
            </w:r>
          </w:p>
        </w:tc>
      </w:tr>
      <w:tr>
        <w:tblPrEx>
          <w:tblW w:w="5000" w:type="pct"/>
        </w:tblPrEx>
        <w:tc>
          <w:tcPr>
            <w:tcW w:w="0" w:type="dxa"/>
            <w:vAlign w:val="center"/>
          </w:tcPr>
          <w:p>
            <w:pPr>
              <w:spacing w:line="240" w:lineRule="auto"/>
              <w:jc w:val="left"/>
            </w:pPr>
            <w:r>
              <w:rPr>
                <w:rFonts w:ascii="宋体" w:eastAsia="宋体" w:hAnsi="宋体" w:cs="宋体"/>
                <w:b w:val="0"/>
              </w:rPr>
              <w:t>报告期末下属分级基金的份额总额</w:t>
            </w:r>
          </w:p>
        </w:tc>
        <w:tc>
          <w:tcPr>
            <w:tcW w:w="1500" w:type="pct"/>
            <w:vAlign w:val="center"/>
          </w:tcPr>
          <w:p>
            <w:pPr>
              <w:spacing w:line="240" w:lineRule="auto"/>
              <w:jc w:val="left"/>
            </w:pPr>
            <w:r>
              <w:rPr>
                <w:rFonts w:ascii="宋体" w:eastAsia="宋体" w:hAnsi="宋体" w:cs="宋体"/>
                <w:b w:val="0"/>
              </w:rPr>
              <w:t>22,434,057.22份</w:t>
            </w:r>
          </w:p>
        </w:tc>
        <w:tc>
          <w:tcPr>
            <w:tcW w:w="1500" w:type="pct"/>
            <w:vAlign w:val="center"/>
          </w:tcPr>
          <w:p>
            <w:pPr>
              <w:spacing w:line="240" w:lineRule="auto"/>
              <w:jc w:val="left"/>
            </w:pPr>
            <w:r>
              <w:rPr>
                <w:rFonts w:ascii="宋体" w:eastAsia="宋体" w:hAnsi="宋体" w:cs="宋体"/>
                <w:b w:val="0"/>
              </w:rPr>
              <w:t>145,478,156.51份</w:t>
            </w:r>
          </w:p>
        </w:tc>
      </w:tr>
    </w:tbl>
    <w:p>
      <w:pPr>
        <w:pStyle w:val="Heading1"/>
        <w:jc w:val="center"/>
      </w:pPr>
      <w:r>
        <w:rPr>
          <w:rFonts w:ascii="宋体" w:eastAsia="宋体" w:hAnsi="宋体" w:cs="宋体"/>
        </w:rPr>
        <w:t>§3 主要财务指标和基金净值表现</w:t>
      </w:r>
    </w:p>
    <w:p>
      <w:pPr>
        <w:pStyle w:val="Heading2"/>
        <w:jc w:val="left"/>
      </w:pPr>
      <w:r>
        <w:rPr>
          <w:rFonts w:ascii="宋体" w:eastAsia="宋体" w:hAnsi="宋体" w:cs="宋体"/>
        </w:rPr>
        <w:t>3.1 主要财务指标</w:t>
      </w:r>
    </w:p>
    <w:p>
      <w:pPr>
        <w:jc w:val="right"/>
      </w:pPr>
      <w:r>
        <w:rPr>
          <w:rFonts w:ascii="宋体" w:eastAsia="宋体" w:hAnsi="宋体" w:cs="宋体"/>
          <w:b w:val="0"/>
        </w:rPr>
        <w:t>单位：人民币元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3021"/>
        <w:gridCol w:w="3021"/>
        <w:gridCol w:w="302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3" w:type="pct"/>
            <w:vMerge w:val="restart"/>
            <w:shd w:val="clear" w:color="auto" w:fill="D9D9D9"/>
            <w:vAlign w:val="center"/>
          </w:tcPr>
          <w:p>
            <w:pPr>
              <w:spacing w:line="240" w:lineRule="auto"/>
              <w:jc w:val="center"/>
            </w:pPr>
            <w:r>
              <w:rPr>
                <w:rFonts w:ascii="宋体" w:eastAsia="宋体" w:hAnsi="宋体" w:cs="宋体"/>
                <w:b/>
              </w:rPr>
              <w:t>主要财务指标</w:t>
            </w:r>
          </w:p>
        </w:tc>
        <w:tc>
          <w:tcPr>
            <w:tcW w:w="3077" w:type="pct"/>
            <w:gridSpan w:val="2"/>
            <w:shd w:val="clear" w:color="auto" w:fill="D9D9D9"/>
            <w:vAlign w:val="center"/>
          </w:tcPr>
          <w:p>
            <w:pPr>
              <w:spacing w:line="240" w:lineRule="auto"/>
              <w:jc w:val="center"/>
            </w:pPr>
            <w:r>
              <w:rPr>
                <w:rFonts w:ascii="宋体" w:eastAsia="宋体" w:hAnsi="宋体" w:cs="宋体"/>
                <w:b w:val="0"/>
              </w:rPr>
              <w:t>报告期（2026年07月01日-2026年09月30日）</w:t>
            </w:r>
          </w:p>
        </w:tc>
      </w:tr>
      <w:tr>
        <w:tblPrEx>
          <w:tblW w:w="5000" w:type="pct"/>
        </w:tblPrEx>
        <w:tc>
          <w:tcPr>
            <w:vMerge/>
          </w:tcPr>
          <w:p/>
        </w:tc>
        <w:tc>
          <w:tcPr>
            <w:tcW w:w="1500" w:type="pct"/>
            <w:shd w:val="clear" w:color="auto" w:fill="D9D9D9"/>
            <w:vAlign w:val="center"/>
          </w:tcPr>
          <w:p>
            <w:pPr>
              <w:spacing w:line="240" w:lineRule="auto"/>
              <w:jc w:val="center"/>
            </w:pPr>
            <w:r>
              <w:rPr>
                <w:rFonts w:ascii="宋体" w:eastAsia="宋体" w:hAnsi="宋体" w:cs="宋体"/>
                <w:b w:val="0"/>
              </w:rPr>
              <w:t>东方阿尔法瑞利混合发起A</w:t>
            </w:r>
          </w:p>
        </w:tc>
        <w:tc>
          <w:tcPr>
            <w:tcW w:w="1500" w:type="pct"/>
            <w:shd w:val="clear" w:color="auto" w:fill="D9D9D9"/>
            <w:vAlign w:val="center"/>
          </w:tcPr>
          <w:p>
            <w:pPr>
              <w:spacing w:line="240" w:lineRule="auto"/>
              <w:jc w:val="center"/>
            </w:pPr>
            <w:r>
              <w:rPr>
                <w:rFonts w:ascii="宋体" w:eastAsia="宋体" w:hAnsi="宋体" w:cs="宋体"/>
                <w:b w:val="0"/>
              </w:rPr>
              <w:t>东方阿尔法瑞利混合发起C</w:t>
            </w:r>
          </w:p>
        </w:tc>
      </w:tr>
      <w:tr>
        <w:tblPrEx>
          <w:tblW w:w="5000" w:type="pct"/>
        </w:tblPrEx>
        <w:tc>
          <w:tcPr>
            <w:tcW w:w="0" w:type="dxa"/>
            <w:vAlign w:val="center"/>
          </w:tcPr>
          <w:p>
            <w:pPr>
              <w:spacing w:line="240" w:lineRule="auto"/>
              <w:jc w:val="left"/>
            </w:pPr>
            <w:r>
              <w:rPr>
                <w:rFonts w:ascii="宋体" w:eastAsia="宋体" w:hAnsi="宋体" w:cs="宋体"/>
                <w:b w:val="0"/>
              </w:rPr>
              <w:t>1.本期已实现收益</w:t>
            </w:r>
          </w:p>
        </w:tc>
        <w:tc>
          <w:tcPr>
            <w:tcW w:w="1500" w:type="pct"/>
            <w:vAlign w:val="center"/>
          </w:tcPr>
          <w:p>
            <w:pPr>
              <w:spacing w:line="240" w:lineRule="auto"/>
              <w:jc w:val="right"/>
            </w:pPr>
            <w:r>
              <w:rPr>
                <w:rFonts w:ascii="宋体" w:eastAsia="宋体" w:hAnsi="宋体" w:cs="宋体"/>
                <w:b w:val="0"/>
              </w:rPr>
              <w:t>-4,464,229.70</w:t>
            </w:r>
          </w:p>
        </w:tc>
        <w:tc>
          <w:tcPr>
            <w:tcW w:w="1500" w:type="pct"/>
            <w:vAlign w:val="center"/>
          </w:tcPr>
          <w:p>
            <w:pPr>
              <w:spacing w:line="240" w:lineRule="auto"/>
              <w:jc w:val="right"/>
            </w:pPr>
            <w:r>
              <w:rPr>
                <w:rFonts w:ascii="宋体" w:eastAsia="宋体" w:hAnsi="宋体" w:cs="宋体"/>
                <w:b w:val="0"/>
              </w:rPr>
              <w:t>-30,896,530.92</w:t>
            </w:r>
          </w:p>
        </w:tc>
      </w:tr>
      <w:tr>
        <w:tblPrEx>
          <w:tblW w:w="5000" w:type="pct"/>
        </w:tblPrEx>
        <w:tc>
          <w:tcPr>
            <w:tcW w:w="0" w:type="dxa"/>
            <w:vAlign w:val="center"/>
          </w:tcPr>
          <w:p>
            <w:pPr>
              <w:spacing w:line="240" w:lineRule="auto"/>
              <w:jc w:val="left"/>
            </w:pPr>
            <w:r>
              <w:rPr>
                <w:rFonts w:ascii="宋体" w:eastAsia="宋体" w:hAnsi="宋体" w:cs="宋体"/>
                <w:b w:val="0"/>
              </w:rPr>
              <w:t>2.本期利润</w:t>
            </w:r>
          </w:p>
        </w:tc>
        <w:tc>
          <w:tcPr>
            <w:tcW w:w="1500" w:type="pct"/>
            <w:vAlign w:val="center"/>
          </w:tcPr>
          <w:p>
            <w:pPr>
              <w:spacing w:line="240" w:lineRule="auto"/>
              <w:jc w:val="right"/>
            </w:pPr>
            <w:r>
              <w:rPr>
                <w:rFonts w:ascii="宋体" w:eastAsia="宋体" w:hAnsi="宋体" w:cs="宋体"/>
                <w:b w:val="0"/>
              </w:rPr>
              <w:t>-11,884,304.48</w:t>
            </w:r>
          </w:p>
        </w:tc>
        <w:tc>
          <w:tcPr>
            <w:tcW w:w="1500" w:type="pct"/>
            <w:vAlign w:val="center"/>
          </w:tcPr>
          <w:p>
            <w:pPr>
              <w:spacing w:line="240" w:lineRule="auto"/>
              <w:jc w:val="right"/>
            </w:pPr>
            <w:r>
              <w:rPr>
                <w:rFonts w:ascii="宋体" w:eastAsia="宋体" w:hAnsi="宋体" w:cs="宋体"/>
                <w:b w:val="0"/>
              </w:rPr>
              <w:t>-86,769,135.08</w:t>
            </w:r>
          </w:p>
        </w:tc>
      </w:tr>
      <w:tr>
        <w:tblPrEx>
          <w:tblW w:w="5000" w:type="pct"/>
        </w:tblPrEx>
        <w:tc>
          <w:tcPr>
            <w:tcW w:w="0" w:type="dxa"/>
            <w:vAlign w:val="center"/>
          </w:tcPr>
          <w:p>
            <w:pPr>
              <w:spacing w:line="240" w:lineRule="auto"/>
              <w:jc w:val="left"/>
            </w:pPr>
            <w:r>
              <w:rPr>
                <w:rFonts w:ascii="宋体" w:eastAsia="宋体" w:hAnsi="宋体" w:cs="宋体"/>
                <w:b w:val="0"/>
              </w:rPr>
              <w:t>3.加权平均基金份额本期利润</w:t>
            </w:r>
          </w:p>
        </w:tc>
        <w:tc>
          <w:tcPr>
            <w:tcW w:w="1500" w:type="pct"/>
            <w:vAlign w:val="center"/>
          </w:tcPr>
          <w:p>
            <w:pPr>
              <w:spacing w:line="240" w:lineRule="auto"/>
              <w:jc w:val="right"/>
            </w:pPr>
            <w:r>
              <w:rPr>
                <w:rFonts w:ascii="宋体" w:eastAsia="宋体" w:hAnsi="宋体" w:cs="宋体"/>
                <w:b w:val="0"/>
              </w:rPr>
              <w:t>-0.5180</w:t>
            </w:r>
          </w:p>
        </w:tc>
        <w:tc>
          <w:tcPr>
            <w:tcW w:w="1500" w:type="pct"/>
            <w:vAlign w:val="center"/>
          </w:tcPr>
          <w:p>
            <w:pPr>
              <w:spacing w:line="240" w:lineRule="auto"/>
              <w:jc w:val="right"/>
            </w:pPr>
            <w:r>
              <w:rPr>
                <w:rFonts w:ascii="宋体" w:eastAsia="宋体" w:hAnsi="宋体" w:cs="宋体"/>
                <w:b w:val="0"/>
              </w:rPr>
              <w:t>-0.5669</w:t>
            </w:r>
          </w:p>
        </w:tc>
      </w:tr>
      <w:tr>
        <w:tblPrEx>
          <w:tblW w:w="5000" w:type="pct"/>
        </w:tblPrEx>
        <w:tc>
          <w:tcPr>
            <w:tcW w:w="0" w:type="dxa"/>
            <w:vAlign w:val="center"/>
          </w:tcPr>
          <w:p>
            <w:pPr>
              <w:spacing w:line="240" w:lineRule="auto"/>
              <w:jc w:val="left"/>
            </w:pPr>
            <w:r>
              <w:rPr>
                <w:rFonts w:ascii="宋体" w:eastAsia="宋体" w:hAnsi="宋体" w:cs="宋体"/>
                <w:b w:val="0"/>
              </w:rPr>
              <w:t>4.期末基金资产净值</w:t>
            </w:r>
          </w:p>
        </w:tc>
        <w:tc>
          <w:tcPr>
            <w:tcW w:w="1500" w:type="pct"/>
            <w:vAlign w:val="center"/>
          </w:tcPr>
          <w:p>
            <w:pPr>
              <w:spacing w:line="240" w:lineRule="auto"/>
              <w:jc w:val="right"/>
            </w:pPr>
            <w:r>
              <w:rPr>
                <w:rFonts w:ascii="宋体" w:eastAsia="宋体" w:hAnsi="宋体" w:cs="宋体"/>
                <w:b w:val="0"/>
              </w:rPr>
              <w:t>21,208,789.05</w:t>
            </w:r>
          </w:p>
        </w:tc>
        <w:tc>
          <w:tcPr>
            <w:tcW w:w="1500" w:type="pct"/>
            <w:vAlign w:val="center"/>
          </w:tcPr>
          <w:p>
            <w:pPr>
              <w:spacing w:line="240" w:lineRule="auto"/>
              <w:jc w:val="right"/>
            </w:pPr>
            <w:r>
              <w:rPr>
                <w:rFonts w:ascii="宋体" w:eastAsia="宋体" w:hAnsi="宋体" w:cs="宋体"/>
                <w:b w:val="0"/>
              </w:rPr>
              <w:t>137,355,463.31</w:t>
            </w:r>
          </w:p>
        </w:tc>
      </w:tr>
      <w:tr>
        <w:tblPrEx>
          <w:tblW w:w="5000" w:type="pct"/>
        </w:tblPrEx>
        <w:tc>
          <w:tcPr>
            <w:tcW w:w="0" w:type="dxa"/>
            <w:vAlign w:val="center"/>
          </w:tcPr>
          <w:p>
            <w:pPr>
              <w:spacing w:line="240" w:lineRule="auto"/>
              <w:jc w:val="left"/>
            </w:pPr>
            <w:r>
              <w:rPr>
                <w:rFonts w:ascii="宋体" w:eastAsia="宋体" w:hAnsi="宋体" w:cs="宋体"/>
                <w:b w:val="0"/>
              </w:rPr>
              <w:t>5.期末基金份额净值</w:t>
            </w:r>
          </w:p>
        </w:tc>
        <w:tc>
          <w:tcPr>
            <w:tcW w:w="1500" w:type="pct"/>
            <w:vAlign w:val="center"/>
          </w:tcPr>
          <w:p>
            <w:pPr>
              <w:spacing w:line="240" w:lineRule="auto"/>
              <w:jc w:val="right"/>
            </w:pPr>
            <w:r>
              <w:rPr>
                <w:rFonts w:ascii="宋体" w:eastAsia="宋体" w:hAnsi="宋体" w:cs="宋体"/>
                <w:b w:val="0"/>
              </w:rPr>
              <w:t>0.9454</w:t>
            </w:r>
          </w:p>
        </w:tc>
        <w:tc>
          <w:tcPr>
            <w:tcW w:w="1500" w:type="pct"/>
            <w:vAlign w:val="center"/>
          </w:tcPr>
          <w:p>
            <w:pPr>
              <w:spacing w:line="240" w:lineRule="auto"/>
              <w:jc w:val="right"/>
            </w:pPr>
            <w:r>
              <w:rPr>
                <w:rFonts w:ascii="宋体" w:eastAsia="宋体" w:hAnsi="宋体" w:cs="宋体"/>
                <w:b w:val="0"/>
              </w:rPr>
              <w:t>0.9442</w:t>
            </w:r>
          </w:p>
        </w:tc>
      </w:tr>
    </w:tbl>
    <w:p>
      <w:r>
        <w:rPr>
          <w:rFonts w:ascii="宋体" w:eastAsia="宋体" w:hAnsi="宋体" w:cs="宋体"/>
          <w:b w:val="0"/>
        </w:rPr>
        <w:t>注：1、本期已实现收益指基金本期利息收入、投资收益、其他收入(不含公允价值变动收益)扣除相关费用后的余额，本期利润为本期已实现收益加上本期公允价值变动收益。</w:t>
        <w:br/>
      </w:r>
      <w:r>
        <w:rPr>
          <w:rFonts w:ascii="宋体" w:eastAsia="宋体" w:hAnsi="宋体" w:cs="宋体"/>
          <w:b w:val="0"/>
        </w:rPr>
        <w:t>2、所述基金业绩指标不包括持有人认购或交易基金的各项费用，计入费用后实际收益水平要低于所列数字。</w:t>
      </w:r>
    </w:p>
    <w:p/>
    <w:p>
      <w:pPr>
        <w:pStyle w:val="Heading2"/>
        <w:jc w:val="left"/>
      </w:pPr>
      <w:r>
        <w:rPr>
          <w:rFonts w:ascii="宋体" w:eastAsia="宋体" w:hAnsi="宋体" w:cs="宋体"/>
        </w:rPr>
        <w:t>3.2 基金净值表现</w:t>
      </w:r>
    </w:p>
    <w:p>
      <w:pPr>
        <w:pStyle w:val="zhangjiep2"/>
      </w:pPr>
      <w:r>
        <w:rPr>
          <w:rStyle w:val="DefaultParagraphFont"/>
          <w:rFonts w:ascii="宋体" w:eastAsia="宋体" w:hAnsi="宋体" w:cs="宋体"/>
          <w:b/>
        </w:rPr>
        <w:t>3.2.1 基金份额净值增长率及其与同期业绩比较基准收益率的比较</w:t>
      </w:r>
    </w:p>
    <w:p>
      <w:pPr>
        <w:jc w:val="left"/>
      </w:pPr>
      <w:r>
        <w:rPr>
          <w:rFonts w:ascii="宋体" w:eastAsia="宋体" w:hAnsi="宋体" w:cs="宋体"/>
          <w:b/>
        </w:rPr>
        <w:t>东方阿尔法瑞利混合发起A净值表现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295"/>
        <w:gridCol w:w="1295"/>
        <w:gridCol w:w="1295"/>
        <w:gridCol w:w="1295"/>
        <w:gridCol w:w="1295"/>
        <w:gridCol w:w="1295"/>
        <w:gridCol w:w="129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46" w:type="pct"/>
            <w:shd w:val="clear" w:color="auto" w:fill="D9D9D9"/>
            <w:vAlign w:val="center"/>
          </w:tcPr>
          <w:p>
            <w:pPr>
              <w:spacing w:line="240" w:lineRule="auto"/>
              <w:jc w:val="center"/>
            </w:pPr>
            <w:r>
              <w:rPr>
                <w:rFonts w:ascii="宋体" w:eastAsia="宋体" w:hAnsi="宋体" w:cs="宋体"/>
                <w:b w:val="0"/>
              </w:rPr>
              <w:t>阶段</w:t>
            </w:r>
          </w:p>
        </w:tc>
        <w:tc>
          <w:tcPr>
            <w:tcW w:w="692" w:type="pct"/>
            <w:shd w:val="clear" w:color="auto" w:fill="D9D9D9"/>
            <w:vAlign w:val="center"/>
          </w:tcPr>
          <w:p>
            <w:pPr>
              <w:spacing w:line="240" w:lineRule="auto"/>
              <w:jc w:val="center"/>
            </w:pPr>
            <w:r>
              <w:rPr>
                <w:rFonts w:ascii="宋体" w:eastAsia="宋体" w:hAnsi="宋体" w:cs="宋体"/>
                <w:b w:val="0"/>
              </w:rPr>
              <w:t>净值增长率①</w:t>
            </w:r>
          </w:p>
        </w:tc>
        <w:tc>
          <w:tcPr>
            <w:tcW w:w="692" w:type="pct"/>
            <w:shd w:val="clear" w:color="auto" w:fill="D9D9D9"/>
            <w:vAlign w:val="center"/>
          </w:tcPr>
          <w:p>
            <w:pPr>
              <w:spacing w:line="240" w:lineRule="auto"/>
              <w:jc w:val="center"/>
            </w:pPr>
            <w:r>
              <w:rPr>
                <w:rFonts w:ascii="宋体" w:eastAsia="宋体" w:hAnsi="宋体" w:cs="宋体"/>
                <w:b w:val="0"/>
              </w:rPr>
              <w:t>净值增长率标准差②</w:t>
            </w:r>
          </w:p>
        </w:tc>
        <w:tc>
          <w:tcPr>
            <w:tcW w:w="692" w:type="pct"/>
            <w:shd w:val="clear" w:color="auto" w:fill="D9D9D9"/>
            <w:vAlign w:val="center"/>
          </w:tcPr>
          <w:p>
            <w:pPr>
              <w:spacing w:line="240" w:lineRule="auto"/>
              <w:jc w:val="center"/>
            </w:pPr>
            <w:r>
              <w:rPr>
                <w:rFonts w:ascii="宋体" w:eastAsia="宋体" w:hAnsi="宋体" w:cs="宋体"/>
                <w:b w:val="0"/>
              </w:rPr>
              <w:t>业绩比较基准收益率③</w:t>
            </w:r>
          </w:p>
        </w:tc>
        <w:tc>
          <w:tcPr>
            <w:tcW w:w="692" w:type="pct"/>
            <w:shd w:val="clear" w:color="auto" w:fill="D9D9D9"/>
            <w:vAlign w:val="center"/>
          </w:tcPr>
          <w:p>
            <w:pPr>
              <w:spacing w:line="240" w:lineRule="auto"/>
              <w:jc w:val="center"/>
            </w:pPr>
            <w:r>
              <w:rPr>
                <w:rFonts w:ascii="宋体" w:eastAsia="宋体" w:hAnsi="宋体" w:cs="宋体"/>
                <w:b w:val="0"/>
              </w:rPr>
              <w:t>业绩比较基准收益率标准差④</w:t>
            </w:r>
          </w:p>
        </w:tc>
        <w:tc>
          <w:tcPr>
            <w:tcW w:w="692" w:type="pct"/>
            <w:shd w:val="clear" w:color="auto" w:fill="D9D9D9"/>
            <w:vAlign w:val="center"/>
          </w:tcPr>
          <w:p>
            <w:pPr>
              <w:spacing w:line="240" w:lineRule="auto"/>
              <w:jc w:val="center"/>
            </w:pPr>
            <w:r>
              <w:rPr>
                <w:rFonts w:ascii="宋体" w:eastAsia="宋体" w:hAnsi="宋体" w:cs="宋体"/>
                <w:b w:val="0"/>
              </w:rPr>
              <w:t>①-③</w:t>
            </w:r>
          </w:p>
        </w:tc>
        <w:tc>
          <w:tcPr>
            <w:tcW w:w="692" w:type="pct"/>
            <w:shd w:val="clear" w:color="auto" w:fill="D9D9D9"/>
            <w:vAlign w:val="center"/>
          </w:tcPr>
          <w:p>
            <w:pPr>
              <w:spacing w:line="240" w:lineRule="auto"/>
              <w:jc w:val="center"/>
            </w:pPr>
            <w:r>
              <w:rPr>
                <w:rFonts w:ascii="宋体" w:eastAsia="宋体" w:hAnsi="宋体" w:cs="宋体"/>
                <w:b w:val="0"/>
              </w:rPr>
              <w:t>②-④</w:t>
            </w:r>
          </w:p>
        </w:tc>
      </w:tr>
      <w:tr>
        <w:tblPrEx>
          <w:tblW w:w="5000" w:type="pct"/>
        </w:tblPrEx>
        <w:tc>
          <w:tcPr>
            <w:tcW w:w="0" w:type="dxa"/>
            <w:vAlign w:val="center"/>
          </w:tcPr>
          <w:p>
            <w:pPr>
              <w:spacing w:line="240" w:lineRule="auto"/>
              <w:jc w:val="left"/>
            </w:pPr>
            <w:r>
              <w:rPr>
                <w:rFonts w:ascii="宋体" w:eastAsia="宋体" w:hAnsi="宋体" w:cs="宋体"/>
                <w:b w:val="0"/>
              </w:rPr>
              <w:t>过去三个月</w:t>
            </w:r>
          </w:p>
        </w:tc>
        <w:tc>
          <w:tcPr>
            <w:tcW w:w="0" w:type="dxa"/>
            <w:vAlign w:val="center"/>
          </w:tcPr>
          <w:p>
            <w:pPr>
              <w:spacing w:line="240" w:lineRule="auto"/>
              <w:jc w:val="right"/>
            </w:pPr>
            <w:r>
              <w:rPr>
                <w:rFonts w:ascii="宋体" w:eastAsia="宋体" w:hAnsi="宋体" w:cs="宋体"/>
                <w:b w:val="0"/>
              </w:rPr>
              <w:t>-34.90%</w:t>
            </w:r>
          </w:p>
        </w:tc>
        <w:tc>
          <w:tcPr>
            <w:tcW w:w="0" w:type="dxa"/>
            <w:vAlign w:val="center"/>
          </w:tcPr>
          <w:p>
            <w:pPr>
              <w:spacing w:line="240" w:lineRule="auto"/>
              <w:jc w:val="right"/>
            </w:pPr>
            <w:r>
              <w:rPr>
                <w:rFonts w:ascii="宋体" w:eastAsia="宋体" w:hAnsi="宋体" w:cs="宋体"/>
                <w:b w:val="0"/>
              </w:rPr>
              <w:t>4.15%</w:t>
            </w:r>
          </w:p>
        </w:tc>
        <w:tc>
          <w:tcPr>
            <w:tcW w:w="0" w:type="dxa"/>
            <w:vAlign w:val="center"/>
          </w:tcPr>
          <w:p>
            <w:pPr>
              <w:spacing w:line="240" w:lineRule="auto"/>
              <w:jc w:val="right"/>
            </w:pPr>
            <w:r>
              <w:rPr>
                <w:rFonts w:ascii="宋体" w:eastAsia="宋体" w:hAnsi="宋体" w:cs="宋体"/>
                <w:b w:val="0"/>
              </w:rPr>
              <w:t>-7.22%</w:t>
            </w:r>
          </w:p>
        </w:tc>
        <w:tc>
          <w:tcPr>
            <w:tcW w:w="0" w:type="dxa"/>
            <w:vAlign w:val="center"/>
          </w:tcPr>
          <w:p>
            <w:pPr>
              <w:spacing w:line="240" w:lineRule="auto"/>
              <w:jc w:val="right"/>
            </w:pPr>
            <w:r>
              <w:rPr>
                <w:rFonts w:ascii="宋体" w:eastAsia="宋体" w:hAnsi="宋体" w:cs="宋体"/>
                <w:b w:val="0"/>
              </w:rPr>
              <w:t>0.92%</w:t>
            </w:r>
          </w:p>
        </w:tc>
        <w:tc>
          <w:tcPr>
            <w:tcW w:w="0" w:type="dxa"/>
            <w:vAlign w:val="center"/>
          </w:tcPr>
          <w:p>
            <w:pPr>
              <w:spacing w:line="240" w:lineRule="auto"/>
              <w:jc w:val="right"/>
            </w:pPr>
            <w:r>
              <w:rPr>
                <w:rFonts w:ascii="宋体" w:eastAsia="宋体" w:hAnsi="宋体" w:cs="宋体"/>
                <w:b w:val="0"/>
              </w:rPr>
              <w:t>-27.68%</w:t>
            </w:r>
          </w:p>
        </w:tc>
        <w:tc>
          <w:tcPr>
            <w:tcW w:w="0" w:type="dxa"/>
            <w:vAlign w:val="center"/>
          </w:tcPr>
          <w:p>
            <w:pPr>
              <w:spacing w:line="240" w:lineRule="auto"/>
              <w:jc w:val="right"/>
            </w:pPr>
            <w:r>
              <w:rPr>
                <w:rFonts w:ascii="宋体" w:eastAsia="宋体" w:hAnsi="宋体" w:cs="宋体"/>
                <w:b w:val="0"/>
              </w:rPr>
              <w:t>3.23%</w:t>
            </w:r>
          </w:p>
        </w:tc>
      </w:tr>
      <w:tr>
        <w:tblPrEx>
          <w:tblW w:w="5000" w:type="pct"/>
        </w:tblPrEx>
        <w:tc>
          <w:tcPr>
            <w:tcW w:w="0" w:type="dxa"/>
            <w:vAlign w:val="center"/>
          </w:tcPr>
          <w:p>
            <w:pPr>
              <w:spacing w:line="240" w:lineRule="auto"/>
              <w:jc w:val="left"/>
            </w:pPr>
            <w:r>
              <w:rPr>
                <w:rFonts w:ascii="宋体" w:eastAsia="宋体" w:hAnsi="宋体" w:cs="宋体"/>
                <w:b w:val="0"/>
              </w:rPr>
              <w:t>自基金合同生效起至今</w:t>
            </w:r>
          </w:p>
        </w:tc>
        <w:tc>
          <w:tcPr>
            <w:tcW w:w="0" w:type="dxa"/>
            <w:vAlign w:val="center"/>
          </w:tcPr>
          <w:p>
            <w:pPr>
              <w:spacing w:line="240" w:lineRule="auto"/>
              <w:jc w:val="right"/>
            </w:pPr>
            <w:r>
              <w:rPr>
                <w:rFonts w:ascii="宋体" w:eastAsia="宋体" w:hAnsi="宋体" w:cs="宋体"/>
                <w:b w:val="0"/>
              </w:rPr>
              <w:t>-5.46%</w:t>
            </w:r>
          </w:p>
        </w:tc>
        <w:tc>
          <w:tcPr>
            <w:tcW w:w="0" w:type="dxa"/>
            <w:vAlign w:val="center"/>
          </w:tcPr>
          <w:p>
            <w:pPr>
              <w:spacing w:line="240" w:lineRule="auto"/>
              <w:jc w:val="right"/>
            </w:pPr>
            <w:r>
              <w:rPr>
                <w:rFonts w:ascii="宋体" w:eastAsia="宋体" w:hAnsi="宋体" w:cs="宋体"/>
                <w:b w:val="0"/>
              </w:rPr>
              <w:t>3.88%</w:t>
            </w:r>
          </w:p>
        </w:tc>
        <w:tc>
          <w:tcPr>
            <w:tcW w:w="0" w:type="dxa"/>
            <w:vAlign w:val="center"/>
          </w:tcPr>
          <w:p>
            <w:pPr>
              <w:spacing w:line="240" w:lineRule="auto"/>
              <w:jc w:val="right"/>
            </w:pPr>
            <w:r>
              <w:rPr>
                <w:rFonts w:ascii="宋体" w:eastAsia="宋体" w:hAnsi="宋体" w:cs="宋体"/>
                <w:b w:val="0"/>
              </w:rPr>
              <w:t>-4.58%</w:t>
            </w:r>
          </w:p>
        </w:tc>
        <w:tc>
          <w:tcPr>
            <w:tcW w:w="0" w:type="dxa"/>
            <w:vAlign w:val="center"/>
          </w:tcPr>
          <w:p>
            <w:pPr>
              <w:spacing w:line="240" w:lineRule="auto"/>
              <w:jc w:val="right"/>
            </w:pPr>
            <w:r>
              <w:rPr>
                <w:rFonts w:ascii="宋体" w:eastAsia="宋体" w:hAnsi="宋体" w:cs="宋体"/>
                <w:b w:val="0"/>
              </w:rPr>
              <w:t>0.91%</w:t>
            </w:r>
          </w:p>
        </w:tc>
        <w:tc>
          <w:tcPr>
            <w:tcW w:w="0" w:type="dxa"/>
            <w:vAlign w:val="center"/>
          </w:tcPr>
          <w:p>
            <w:pPr>
              <w:spacing w:line="240" w:lineRule="auto"/>
              <w:jc w:val="right"/>
            </w:pPr>
            <w:r>
              <w:rPr>
                <w:rFonts w:ascii="宋体" w:eastAsia="宋体" w:hAnsi="宋体" w:cs="宋体"/>
                <w:b w:val="0"/>
              </w:rPr>
              <w:t>-0.88%</w:t>
            </w:r>
          </w:p>
        </w:tc>
        <w:tc>
          <w:tcPr>
            <w:tcW w:w="0" w:type="dxa"/>
            <w:vAlign w:val="center"/>
          </w:tcPr>
          <w:p>
            <w:pPr>
              <w:spacing w:line="240" w:lineRule="auto"/>
              <w:jc w:val="right"/>
            </w:pPr>
            <w:r>
              <w:rPr>
                <w:rFonts w:ascii="宋体" w:eastAsia="宋体" w:hAnsi="宋体" w:cs="宋体"/>
                <w:b w:val="0"/>
              </w:rPr>
              <w:t>2.97%</w:t>
            </w:r>
          </w:p>
        </w:tc>
      </w:tr>
    </w:tbl>
    <w:p>
      <w:pPr>
        <w:jc w:val="left"/>
      </w:pPr>
      <w:r>
        <w:rPr>
          <w:rFonts w:ascii="宋体" w:eastAsia="宋体" w:hAnsi="宋体" w:cs="宋体"/>
          <w:b/>
        </w:rPr>
        <w:t>东方阿尔法瑞利混合发起C净值表现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295"/>
        <w:gridCol w:w="1295"/>
        <w:gridCol w:w="1295"/>
        <w:gridCol w:w="1295"/>
        <w:gridCol w:w="1295"/>
        <w:gridCol w:w="1295"/>
        <w:gridCol w:w="129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46" w:type="pct"/>
            <w:shd w:val="clear" w:color="auto" w:fill="D9D9D9"/>
            <w:vAlign w:val="center"/>
          </w:tcPr>
          <w:p>
            <w:pPr>
              <w:spacing w:line="240" w:lineRule="auto"/>
              <w:jc w:val="center"/>
            </w:pPr>
            <w:r>
              <w:rPr>
                <w:rFonts w:ascii="宋体" w:eastAsia="宋体" w:hAnsi="宋体" w:cs="宋体"/>
                <w:b w:val="0"/>
              </w:rPr>
              <w:t>阶段</w:t>
            </w:r>
          </w:p>
        </w:tc>
        <w:tc>
          <w:tcPr>
            <w:tcW w:w="692" w:type="pct"/>
            <w:shd w:val="clear" w:color="auto" w:fill="D9D9D9"/>
            <w:vAlign w:val="center"/>
          </w:tcPr>
          <w:p>
            <w:pPr>
              <w:spacing w:line="240" w:lineRule="auto"/>
              <w:jc w:val="center"/>
            </w:pPr>
            <w:r>
              <w:rPr>
                <w:rFonts w:ascii="宋体" w:eastAsia="宋体" w:hAnsi="宋体" w:cs="宋体"/>
                <w:b w:val="0"/>
              </w:rPr>
              <w:t>净值增长率①</w:t>
            </w:r>
          </w:p>
        </w:tc>
        <w:tc>
          <w:tcPr>
            <w:tcW w:w="692" w:type="pct"/>
            <w:shd w:val="clear" w:color="auto" w:fill="D9D9D9"/>
            <w:vAlign w:val="center"/>
          </w:tcPr>
          <w:p>
            <w:pPr>
              <w:spacing w:line="240" w:lineRule="auto"/>
              <w:jc w:val="center"/>
            </w:pPr>
            <w:r>
              <w:rPr>
                <w:rFonts w:ascii="宋体" w:eastAsia="宋体" w:hAnsi="宋体" w:cs="宋体"/>
                <w:b w:val="0"/>
              </w:rPr>
              <w:t>净值增长率标准差②</w:t>
            </w:r>
          </w:p>
        </w:tc>
        <w:tc>
          <w:tcPr>
            <w:tcW w:w="692" w:type="pct"/>
            <w:shd w:val="clear" w:color="auto" w:fill="D9D9D9"/>
            <w:vAlign w:val="center"/>
          </w:tcPr>
          <w:p>
            <w:pPr>
              <w:spacing w:line="240" w:lineRule="auto"/>
              <w:jc w:val="center"/>
            </w:pPr>
            <w:r>
              <w:rPr>
                <w:rFonts w:ascii="宋体" w:eastAsia="宋体" w:hAnsi="宋体" w:cs="宋体"/>
                <w:b w:val="0"/>
              </w:rPr>
              <w:t>业绩比较基准收益率③</w:t>
            </w:r>
          </w:p>
        </w:tc>
        <w:tc>
          <w:tcPr>
            <w:tcW w:w="692" w:type="pct"/>
            <w:shd w:val="clear" w:color="auto" w:fill="D9D9D9"/>
            <w:vAlign w:val="center"/>
          </w:tcPr>
          <w:p>
            <w:pPr>
              <w:spacing w:line="240" w:lineRule="auto"/>
              <w:jc w:val="center"/>
            </w:pPr>
            <w:r>
              <w:rPr>
                <w:rFonts w:ascii="宋体" w:eastAsia="宋体" w:hAnsi="宋体" w:cs="宋体"/>
                <w:b w:val="0"/>
              </w:rPr>
              <w:t>业绩比较基准收益率标准差④</w:t>
            </w:r>
          </w:p>
        </w:tc>
        <w:tc>
          <w:tcPr>
            <w:tcW w:w="692" w:type="pct"/>
            <w:shd w:val="clear" w:color="auto" w:fill="D9D9D9"/>
            <w:vAlign w:val="center"/>
          </w:tcPr>
          <w:p>
            <w:pPr>
              <w:spacing w:line="240" w:lineRule="auto"/>
              <w:jc w:val="center"/>
            </w:pPr>
            <w:r>
              <w:rPr>
                <w:rFonts w:ascii="宋体" w:eastAsia="宋体" w:hAnsi="宋体" w:cs="宋体"/>
                <w:b w:val="0"/>
              </w:rPr>
              <w:t>①-③</w:t>
            </w:r>
          </w:p>
        </w:tc>
        <w:tc>
          <w:tcPr>
            <w:tcW w:w="692" w:type="pct"/>
            <w:shd w:val="clear" w:color="auto" w:fill="D9D9D9"/>
            <w:vAlign w:val="center"/>
          </w:tcPr>
          <w:p>
            <w:pPr>
              <w:spacing w:line="240" w:lineRule="auto"/>
              <w:jc w:val="center"/>
            </w:pPr>
            <w:r>
              <w:rPr>
                <w:rFonts w:ascii="宋体" w:eastAsia="宋体" w:hAnsi="宋体" w:cs="宋体"/>
                <w:b w:val="0"/>
              </w:rPr>
              <w:t>②-④</w:t>
            </w:r>
          </w:p>
        </w:tc>
      </w:tr>
      <w:tr>
        <w:tblPrEx>
          <w:tblW w:w="5000" w:type="pct"/>
        </w:tblPrEx>
        <w:tc>
          <w:tcPr>
            <w:tcW w:w="0" w:type="dxa"/>
            <w:vAlign w:val="center"/>
          </w:tcPr>
          <w:p>
            <w:pPr>
              <w:spacing w:line="240" w:lineRule="auto"/>
              <w:jc w:val="left"/>
            </w:pPr>
            <w:r>
              <w:rPr>
                <w:rFonts w:ascii="宋体" w:eastAsia="宋体" w:hAnsi="宋体" w:cs="宋体"/>
                <w:b w:val="0"/>
              </w:rPr>
              <w:t>过去三个月</w:t>
            </w:r>
          </w:p>
        </w:tc>
        <w:tc>
          <w:tcPr>
            <w:tcW w:w="0" w:type="dxa"/>
            <w:vAlign w:val="center"/>
          </w:tcPr>
          <w:p>
            <w:pPr>
              <w:spacing w:line="240" w:lineRule="auto"/>
              <w:jc w:val="right"/>
            </w:pPr>
            <w:r>
              <w:rPr>
                <w:rFonts w:ascii="宋体" w:eastAsia="宋体" w:hAnsi="宋体" w:cs="宋体"/>
                <w:b w:val="0"/>
              </w:rPr>
              <w:t>-34.95%</w:t>
            </w:r>
          </w:p>
        </w:tc>
        <w:tc>
          <w:tcPr>
            <w:tcW w:w="0" w:type="dxa"/>
            <w:vAlign w:val="center"/>
          </w:tcPr>
          <w:p>
            <w:pPr>
              <w:spacing w:line="240" w:lineRule="auto"/>
              <w:jc w:val="right"/>
            </w:pPr>
            <w:r>
              <w:rPr>
                <w:rFonts w:ascii="宋体" w:eastAsia="宋体" w:hAnsi="宋体" w:cs="宋体"/>
                <w:b w:val="0"/>
              </w:rPr>
              <w:t>4.15%</w:t>
            </w:r>
          </w:p>
        </w:tc>
        <w:tc>
          <w:tcPr>
            <w:tcW w:w="0" w:type="dxa"/>
            <w:vAlign w:val="center"/>
          </w:tcPr>
          <w:p>
            <w:pPr>
              <w:spacing w:line="240" w:lineRule="auto"/>
              <w:jc w:val="right"/>
            </w:pPr>
            <w:r>
              <w:rPr>
                <w:rFonts w:ascii="宋体" w:eastAsia="宋体" w:hAnsi="宋体" w:cs="宋体"/>
                <w:b w:val="0"/>
              </w:rPr>
              <w:t>-7.22%</w:t>
            </w:r>
          </w:p>
        </w:tc>
        <w:tc>
          <w:tcPr>
            <w:tcW w:w="0" w:type="dxa"/>
            <w:vAlign w:val="center"/>
          </w:tcPr>
          <w:p>
            <w:pPr>
              <w:spacing w:line="240" w:lineRule="auto"/>
              <w:jc w:val="right"/>
            </w:pPr>
            <w:r>
              <w:rPr>
                <w:rFonts w:ascii="宋体" w:eastAsia="宋体" w:hAnsi="宋体" w:cs="宋体"/>
                <w:b w:val="0"/>
              </w:rPr>
              <w:t>0.92%</w:t>
            </w:r>
          </w:p>
        </w:tc>
        <w:tc>
          <w:tcPr>
            <w:tcW w:w="0" w:type="dxa"/>
            <w:vAlign w:val="center"/>
          </w:tcPr>
          <w:p>
            <w:pPr>
              <w:spacing w:line="240" w:lineRule="auto"/>
              <w:jc w:val="right"/>
            </w:pPr>
            <w:r>
              <w:rPr>
                <w:rFonts w:ascii="宋体" w:eastAsia="宋体" w:hAnsi="宋体" w:cs="宋体"/>
                <w:b w:val="0"/>
              </w:rPr>
              <w:t>-27.73%</w:t>
            </w:r>
          </w:p>
        </w:tc>
        <w:tc>
          <w:tcPr>
            <w:tcW w:w="0" w:type="dxa"/>
            <w:vAlign w:val="center"/>
          </w:tcPr>
          <w:p>
            <w:pPr>
              <w:spacing w:line="240" w:lineRule="auto"/>
              <w:jc w:val="right"/>
            </w:pPr>
            <w:r>
              <w:rPr>
                <w:rFonts w:ascii="宋体" w:eastAsia="宋体" w:hAnsi="宋体" w:cs="宋体"/>
                <w:b w:val="0"/>
              </w:rPr>
              <w:t>3.23%</w:t>
            </w:r>
          </w:p>
        </w:tc>
      </w:tr>
      <w:tr>
        <w:tblPrEx>
          <w:tblW w:w="5000" w:type="pct"/>
        </w:tblPrEx>
        <w:tc>
          <w:tcPr>
            <w:tcW w:w="0" w:type="dxa"/>
            <w:vAlign w:val="center"/>
          </w:tcPr>
          <w:p>
            <w:pPr>
              <w:spacing w:line="240" w:lineRule="auto"/>
              <w:jc w:val="left"/>
            </w:pPr>
            <w:r>
              <w:rPr>
                <w:rFonts w:ascii="宋体" w:eastAsia="宋体" w:hAnsi="宋体" w:cs="宋体"/>
                <w:b w:val="0"/>
              </w:rPr>
              <w:t>自基金合同生效起至今</w:t>
            </w:r>
          </w:p>
        </w:tc>
        <w:tc>
          <w:tcPr>
            <w:tcW w:w="0" w:type="dxa"/>
            <w:vAlign w:val="center"/>
          </w:tcPr>
          <w:p>
            <w:pPr>
              <w:spacing w:line="240" w:lineRule="auto"/>
              <w:jc w:val="right"/>
            </w:pPr>
            <w:r>
              <w:rPr>
                <w:rFonts w:ascii="宋体" w:eastAsia="宋体" w:hAnsi="宋体" w:cs="宋体"/>
                <w:b w:val="0"/>
              </w:rPr>
              <w:t>-5.58%</w:t>
            </w:r>
          </w:p>
        </w:tc>
        <w:tc>
          <w:tcPr>
            <w:tcW w:w="0" w:type="dxa"/>
            <w:vAlign w:val="center"/>
          </w:tcPr>
          <w:p>
            <w:pPr>
              <w:spacing w:line="240" w:lineRule="auto"/>
              <w:jc w:val="right"/>
            </w:pPr>
            <w:r>
              <w:rPr>
                <w:rFonts w:ascii="宋体" w:eastAsia="宋体" w:hAnsi="宋体" w:cs="宋体"/>
                <w:b w:val="0"/>
              </w:rPr>
              <w:t>3.88%</w:t>
            </w:r>
          </w:p>
        </w:tc>
        <w:tc>
          <w:tcPr>
            <w:tcW w:w="0" w:type="dxa"/>
            <w:vAlign w:val="center"/>
          </w:tcPr>
          <w:p>
            <w:pPr>
              <w:spacing w:line="240" w:lineRule="auto"/>
              <w:jc w:val="right"/>
            </w:pPr>
            <w:r>
              <w:rPr>
                <w:rFonts w:ascii="宋体" w:eastAsia="宋体" w:hAnsi="宋体" w:cs="宋体"/>
                <w:b w:val="0"/>
              </w:rPr>
              <w:t>-4.58%</w:t>
            </w:r>
          </w:p>
        </w:tc>
        <w:tc>
          <w:tcPr>
            <w:tcW w:w="0" w:type="dxa"/>
            <w:vAlign w:val="center"/>
          </w:tcPr>
          <w:p>
            <w:pPr>
              <w:spacing w:line="240" w:lineRule="auto"/>
              <w:jc w:val="right"/>
            </w:pPr>
            <w:r>
              <w:rPr>
                <w:rFonts w:ascii="宋体" w:eastAsia="宋体" w:hAnsi="宋体" w:cs="宋体"/>
                <w:b w:val="0"/>
              </w:rPr>
              <w:t>0.91%</w:t>
            </w:r>
          </w:p>
        </w:tc>
        <w:tc>
          <w:tcPr>
            <w:tcW w:w="0" w:type="dxa"/>
            <w:vAlign w:val="center"/>
          </w:tcPr>
          <w:p>
            <w:pPr>
              <w:spacing w:line="240" w:lineRule="auto"/>
              <w:jc w:val="right"/>
            </w:pPr>
            <w:r>
              <w:rPr>
                <w:rFonts w:ascii="宋体" w:eastAsia="宋体" w:hAnsi="宋体" w:cs="宋体"/>
                <w:b w:val="0"/>
              </w:rPr>
              <w:t>-1.00%</w:t>
            </w:r>
          </w:p>
        </w:tc>
        <w:tc>
          <w:tcPr>
            <w:tcW w:w="0" w:type="dxa"/>
            <w:vAlign w:val="center"/>
          </w:tcPr>
          <w:p>
            <w:pPr>
              <w:spacing w:line="240" w:lineRule="auto"/>
              <w:jc w:val="right"/>
            </w:pPr>
            <w:r>
              <w:rPr>
                <w:rFonts w:ascii="宋体" w:eastAsia="宋体" w:hAnsi="宋体" w:cs="宋体"/>
                <w:b w:val="0"/>
              </w:rPr>
              <w:t>2.97%</w:t>
            </w:r>
          </w:p>
        </w:tc>
      </w:tr>
    </w:tbl>
    <w:p>
      <w:r>
        <w:rPr>
          <w:rFonts w:ascii="宋体" w:eastAsia="宋体" w:hAnsi="宋体" w:cs="宋体"/>
          <w:b w:val="0"/>
        </w:rPr>
        <w:t>注：本基金业绩比较基准为：中证800指数收益率×60%+中证综合债（全价）指数收益率×20%+恒生指数收益率×20%</w:t>
      </w:r>
    </w:p>
    <w:p/>
    <w:p>
      <w:pPr>
        <w:pStyle w:val="zhangjiep2"/>
      </w:pPr>
      <w:r>
        <w:rPr>
          <w:rStyle w:val="DefaultParagraphFont"/>
          <w:rFonts w:ascii="宋体" w:eastAsia="宋体" w:hAnsi="宋体" w:cs="宋体"/>
          <w:b/>
        </w:rPr>
        <w:t>3.2.2 自基金合同生效以来基金累计净值增长率变动及其与同期业绩比较基准收益率变动的比较</w:t>
      </w:r>
    </w:p>
    <w:p>
      <w:r>
        <w:drawing>
          <wp:inline distT="0" distB="0" distL="0" distR="0">
            <wp:extent cx="5715000" cy="3048000"/>
            <wp:docPr id="1" name="Drawing 1" descr="Generated"/>
            <wp:cNvGraphicFramePr/>
            <a:graphic xmlns:a="http://schemas.openxmlformats.org/drawingml/2006/main">
              <a:graphicData uri="http://schemas.openxmlformats.org/drawingml/2006/picture">
                <pic:pic xmlns:pic="http://schemas.openxmlformats.org/drawingml/2006/picture">
                  <pic:nvPicPr>
                    <pic:cNvPr id="1" name="Picture 1" descr="Generated"/>
                    <pic:cNvPicPr>
                      <a:picLocks noChangeAspect="1"/>
                    </pic:cNvPicPr>
                  </pic:nvPicPr>
                  <pic:blipFill>
                    <a:blip xmlns:r="http://schemas.openxmlformats.org/officeDocument/2006/relationships" r:embed="rId6"/>
                    <a:stretch>
                      <a:fillRect/>
                    </a:stretch>
                  </pic:blipFill>
                  <pic:spPr>
                    <a:xfrm>
                      <a:off x="0" y="0"/>
                      <a:ext cx="5715000" cy="3048000"/>
                    </a:xfrm>
                    <a:prstGeom prst="rect">
                      <a:avLst/>
                    </a:prstGeom>
                  </pic:spPr>
                </pic:pic>
              </a:graphicData>
            </a:graphic>
          </wp:inline>
        </w:drawing>
      </w:r>
    </w:p>
    <w:p>
      <w:r>
        <w:drawing>
          <wp:inline distT="0" distB="0" distL="0" distR="0">
            <wp:extent cx="5715000" cy="3048000"/>
            <wp:docPr id="2" name="Drawing 2" descr="Generated"/>
            <wp:cNvGraphicFramePr/>
            <a:graphic xmlns:a="http://schemas.openxmlformats.org/drawingml/2006/main">
              <a:graphicData uri="http://schemas.openxmlformats.org/drawingml/2006/picture">
                <pic:pic xmlns:pic="http://schemas.openxmlformats.org/drawingml/2006/picture">
                  <pic:nvPicPr>
                    <pic:cNvPr id="2" name="Picture 2" descr="Generated"/>
                    <pic:cNvPicPr>
                      <a:picLocks noChangeAspect="1"/>
                    </pic:cNvPicPr>
                  </pic:nvPicPr>
                  <pic:blipFill>
                    <a:blip xmlns:r="http://schemas.openxmlformats.org/officeDocument/2006/relationships" r:embed="rId7"/>
                    <a:stretch>
                      <a:fillRect/>
                    </a:stretch>
                  </pic:blipFill>
                  <pic:spPr>
                    <a:xfrm>
                      <a:off x="0" y="0"/>
                      <a:ext cx="5715000" cy="3048000"/>
                    </a:xfrm>
                    <a:prstGeom prst="rect">
                      <a:avLst/>
                    </a:prstGeom>
                  </pic:spPr>
                </pic:pic>
              </a:graphicData>
            </a:graphic>
          </wp:inline>
        </w:drawing>
      </w:r>
    </w:p>
    <w:p>
      <w:pPr>
        <w:pStyle w:val="Heading1"/>
        <w:jc w:val="center"/>
      </w:pPr>
      <w:r>
        <w:rPr>
          <w:rFonts w:ascii="宋体" w:eastAsia="宋体" w:hAnsi="宋体" w:cs="宋体"/>
        </w:rPr>
        <w:t>§4 管理人报告</w:t>
      </w:r>
    </w:p>
    <w:p>
      <w:pPr>
        <w:pStyle w:val="Heading2"/>
        <w:jc w:val="left"/>
      </w:pPr>
      <w:r>
        <w:rPr>
          <w:rFonts w:ascii="宋体" w:eastAsia="宋体" w:hAnsi="宋体" w:cs="宋体"/>
        </w:rPr>
        <w:t>4.1 基金经理（或基金经理小组）简介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510"/>
        <w:gridCol w:w="1510"/>
        <w:gridCol w:w="1510"/>
        <w:gridCol w:w="1510"/>
        <w:gridCol w:w="1510"/>
        <w:gridCol w:w="151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62" w:type="pct"/>
            <w:vMerge w:val="restart"/>
            <w:shd w:val="clear" w:color="auto" w:fill="D9D9D9"/>
            <w:vAlign w:val="center"/>
          </w:tcPr>
          <w:p>
            <w:pPr>
              <w:spacing w:line="240" w:lineRule="auto"/>
              <w:jc w:val="center"/>
            </w:pPr>
            <w:r>
              <w:rPr>
                <w:rFonts w:ascii="宋体" w:eastAsia="宋体" w:hAnsi="宋体" w:cs="宋体"/>
                <w:b w:val="0"/>
              </w:rPr>
              <w:t>姓名</w:t>
            </w:r>
          </w:p>
        </w:tc>
        <w:tc>
          <w:tcPr>
            <w:tcW w:w="662" w:type="pct"/>
            <w:vMerge w:val="restart"/>
            <w:shd w:val="clear" w:color="auto" w:fill="D9D9D9"/>
            <w:vAlign w:val="center"/>
          </w:tcPr>
          <w:p>
            <w:pPr>
              <w:spacing w:line="240" w:lineRule="auto"/>
              <w:jc w:val="center"/>
            </w:pPr>
            <w:r>
              <w:rPr>
                <w:rFonts w:ascii="宋体" w:eastAsia="宋体" w:hAnsi="宋体" w:cs="宋体"/>
                <w:b w:val="0"/>
              </w:rPr>
              <w:t>职务</w:t>
            </w:r>
          </w:p>
        </w:tc>
        <w:tc>
          <w:tcPr>
            <w:tcW w:w="1615" w:type="pct"/>
            <w:gridSpan w:val="2"/>
            <w:shd w:val="clear" w:color="auto" w:fill="D9D9D9"/>
            <w:vAlign w:val="center"/>
          </w:tcPr>
          <w:p>
            <w:pPr>
              <w:spacing w:line="240" w:lineRule="auto"/>
              <w:jc w:val="center"/>
            </w:pPr>
            <w:r>
              <w:rPr>
                <w:rFonts w:ascii="宋体" w:eastAsia="宋体" w:hAnsi="宋体" w:cs="宋体"/>
                <w:b w:val="0"/>
              </w:rPr>
              <w:t>任本基金的基金经理期限</w:t>
            </w:r>
          </w:p>
        </w:tc>
        <w:tc>
          <w:tcPr>
            <w:tcW w:w="431" w:type="pct"/>
            <w:vMerge w:val="restart"/>
            <w:shd w:val="clear" w:color="auto" w:fill="D9D9D9"/>
            <w:vAlign w:val="center"/>
          </w:tcPr>
          <w:p>
            <w:pPr>
              <w:spacing w:line="240" w:lineRule="auto"/>
              <w:jc w:val="center"/>
            </w:pPr>
            <w:r>
              <w:rPr>
                <w:rFonts w:ascii="宋体" w:eastAsia="宋体" w:hAnsi="宋体" w:cs="宋体"/>
                <w:b w:val="0"/>
              </w:rPr>
              <w:t>证券从业年限</w:t>
            </w:r>
          </w:p>
        </w:tc>
        <w:tc>
          <w:tcPr>
            <w:tcW w:w="1631" w:type="pct"/>
            <w:vMerge w:val="restart"/>
            <w:shd w:val="clear" w:color="auto" w:fill="D9D9D9"/>
            <w:vAlign w:val="center"/>
          </w:tcPr>
          <w:p>
            <w:pPr>
              <w:spacing w:line="240" w:lineRule="auto"/>
              <w:jc w:val="center"/>
            </w:pPr>
            <w:r>
              <w:rPr>
                <w:rFonts w:ascii="宋体" w:eastAsia="宋体" w:hAnsi="宋体" w:cs="宋体"/>
                <w:b w:val="0"/>
              </w:rPr>
              <w:t>说明</w:t>
            </w:r>
          </w:p>
        </w:tc>
      </w:tr>
      <w:tr>
        <w:tblPrEx>
          <w:tblW w:w="5000" w:type="pct"/>
        </w:tblPrEx>
        <w:tc>
          <w:tcPr>
            <w:vMerge/>
          </w:tcPr>
          <w:p/>
        </w:tc>
        <w:tc>
          <w:tcPr>
            <w:vMerge/>
          </w:tcPr>
          <w:p/>
        </w:tc>
        <w:tc>
          <w:tcPr>
            <w:tcW w:w="808" w:type="pct"/>
            <w:shd w:val="clear" w:color="auto" w:fill="D9D9D9"/>
            <w:vAlign w:val="center"/>
          </w:tcPr>
          <w:p>
            <w:pPr>
              <w:spacing w:line="240" w:lineRule="auto"/>
              <w:jc w:val="center"/>
            </w:pPr>
            <w:r>
              <w:rPr>
                <w:rFonts w:ascii="宋体" w:eastAsia="宋体" w:hAnsi="宋体" w:cs="宋体"/>
                <w:b w:val="0"/>
              </w:rPr>
              <w:t>任职日期</w:t>
            </w:r>
          </w:p>
        </w:tc>
        <w:tc>
          <w:tcPr>
            <w:tcW w:w="808" w:type="pct"/>
            <w:shd w:val="clear" w:color="auto" w:fill="D9D9D9"/>
            <w:vAlign w:val="center"/>
          </w:tcPr>
          <w:p>
            <w:pPr>
              <w:spacing w:line="240" w:lineRule="auto"/>
              <w:jc w:val="center"/>
            </w:pPr>
            <w:r>
              <w:rPr>
                <w:rFonts w:ascii="宋体" w:eastAsia="宋体" w:hAnsi="宋体" w:cs="宋体"/>
                <w:b w:val="0"/>
              </w:rPr>
              <w:t>离任日期</w:t>
            </w:r>
          </w:p>
        </w:tc>
        <w:tc>
          <w:tcPr>
            <w:vMerge/>
          </w:tcPr>
          <w:p/>
        </w:tc>
        <w:tc>
          <w:tcPr>
            <w:vMerge/>
          </w:tcPr>
          <w:p/>
        </w:tc>
      </w:tr>
      <w:tr>
        <w:tblPrEx>
          <w:tblW w:w="5000" w:type="pct"/>
        </w:tblPrEx>
        <w:tc>
          <w:tcPr>
            <w:tcW w:w="0" w:type="dxa"/>
            <w:vAlign w:val="center"/>
          </w:tcPr>
          <w:p>
            <w:pPr>
              <w:spacing w:line="240" w:lineRule="auto"/>
              <w:jc w:val="left"/>
            </w:pPr>
            <w:r>
              <w:rPr>
                <w:rFonts w:ascii="宋体" w:eastAsia="宋体" w:hAnsi="宋体" w:cs="宋体"/>
                <w:b w:val="0"/>
              </w:rPr>
              <w:t>孙振波</w:t>
            </w:r>
          </w:p>
        </w:tc>
        <w:tc>
          <w:tcPr>
            <w:tcW w:w="0" w:type="dxa"/>
            <w:vAlign w:val="center"/>
          </w:tcPr>
          <w:p>
            <w:pPr>
              <w:spacing w:line="240" w:lineRule="auto"/>
              <w:jc w:val="left"/>
            </w:pPr>
            <w:r>
              <w:rPr>
                <w:rFonts w:ascii="宋体" w:eastAsia="宋体" w:hAnsi="宋体" w:cs="宋体"/>
                <w:b w:val="0"/>
              </w:rPr>
              <w:t>基金经理</w:t>
            </w:r>
          </w:p>
        </w:tc>
        <w:tc>
          <w:tcPr>
            <w:tcW w:w="0" w:type="dxa"/>
            <w:vAlign w:val="center"/>
          </w:tcPr>
          <w:p>
            <w:pPr>
              <w:spacing w:line="240" w:lineRule="auto"/>
              <w:jc w:val="center"/>
            </w:pPr>
            <w:r>
              <w:rPr>
                <w:rFonts w:ascii="宋体" w:eastAsia="宋体" w:hAnsi="宋体" w:cs="宋体"/>
                <w:b w:val="0"/>
              </w:rPr>
              <w:t>2026-04-14</w:t>
            </w:r>
          </w:p>
        </w:tc>
        <w:tc>
          <w:tcPr>
            <w:tcW w:w="0" w:type="dxa"/>
            <w:vAlign w:val="center"/>
          </w:tcPr>
          <w:p>
            <w:pPr>
              <w:spacing w:line="240" w:lineRule="auto"/>
              <w:jc w:val="center"/>
            </w:pPr>
            <w:r>
              <w:rPr>
                <w:rFonts w:ascii="宋体" w:eastAsia="宋体" w:hAnsi="宋体" w:cs="宋体"/>
                <w:b w:val="0"/>
              </w:rPr>
              <w:t>-</w:t>
            </w:r>
          </w:p>
        </w:tc>
        <w:tc>
          <w:tcPr>
            <w:tcW w:w="0" w:type="dxa"/>
            <w:vAlign w:val="center"/>
          </w:tcPr>
          <w:p>
            <w:pPr>
              <w:spacing w:line="240" w:lineRule="auto"/>
              <w:jc w:val="center"/>
            </w:pPr>
            <w:r>
              <w:rPr>
                <w:rFonts w:ascii="宋体" w:eastAsia="宋体" w:hAnsi="宋体" w:cs="宋体"/>
                <w:b w:val="0"/>
              </w:rPr>
              <w:t>7年</w:t>
            </w:r>
          </w:p>
        </w:tc>
        <w:tc>
          <w:tcPr>
            <w:tcW w:w="0" w:type="dxa"/>
            <w:vAlign w:val="center"/>
          </w:tcPr>
          <w:p>
            <w:pPr>
              <w:spacing w:line="240" w:lineRule="auto"/>
              <w:jc w:val="left"/>
            </w:pPr>
            <w:r>
              <w:rPr>
                <w:rFonts w:ascii="宋体" w:eastAsia="宋体" w:hAnsi="宋体" w:cs="宋体"/>
                <w:b w:val="0"/>
              </w:rPr>
              <w:t>孙振波先生，中国科学技术大学理学学士，复旦大学理学硕士。于2019年6月入职东方阿尔法基金管理有限公司，历任研究员、基金经理助理。现任东方阿尔法基金管理有限公司基金经理。</w:t>
            </w:r>
          </w:p>
        </w:tc>
      </w:tr>
      <w:tr>
        <w:tblPrEx>
          <w:tblW w:w="5000" w:type="pct"/>
        </w:tblPrEx>
        <w:tc>
          <w:tcPr>
            <w:tcW w:w="0" w:type="dxa"/>
            <w:vAlign w:val="center"/>
          </w:tcPr>
          <w:p>
            <w:pPr>
              <w:spacing w:line="240" w:lineRule="auto"/>
              <w:jc w:val="left"/>
            </w:pPr>
            <w:r>
              <w:rPr>
                <w:rFonts w:ascii="宋体" w:eastAsia="宋体" w:hAnsi="宋体" w:cs="宋体"/>
                <w:b w:val="0"/>
              </w:rPr>
              <w:t>梁少文</w:t>
            </w:r>
          </w:p>
        </w:tc>
        <w:tc>
          <w:tcPr>
            <w:tcW w:w="0" w:type="dxa"/>
            <w:vAlign w:val="center"/>
          </w:tcPr>
          <w:p>
            <w:pPr>
              <w:spacing w:line="240" w:lineRule="auto"/>
              <w:jc w:val="left"/>
            </w:pPr>
            <w:r>
              <w:rPr>
                <w:rFonts w:ascii="宋体" w:eastAsia="宋体" w:hAnsi="宋体" w:cs="宋体"/>
                <w:b w:val="0"/>
              </w:rPr>
              <w:t>基金经理</w:t>
            </w:r>
          </w:p>
        </w:tc>
        <w:tc>
          <w:tcPr>
            <w:tcW w:w="0" w:type="dxa"/>
            <w:vAlign w:val="center"/>
          </w:tcPr>
          <w:p>
            <w:pPr>
              <w:spacing w:line="240" w:lineRule="auto"/>
              <w:jc w:val="center"/>
            </w:pPr>
            <w:r>
              <w:rPr>
                <w:rFonts w:ascii="宋体" w:eastAsia="宋体" w:hAnsi="宋体" w:cs="宋体"/>
                <w:b w:val="0"/>
              </w:rPr>
              <w:t>2026-05-11</w:t>
            </w:r>
          </w:p>
        </w:tc>
        <w:tc>
          <w:tcPr>
            <w:tcW w:w="0" w:type="dxa"/>
            <w:vAlign w:val="center"/>
          </w:tcPr>
          <w:p>
            <w:pPr>
              <w:spacing w:line="240" w:lineRule="auto"/>
              <w:jc w:val="center"/>
            </w:pPr>
            <w:r>
              <w:rPr>
                <w:rFonts w:ascii="宋体" w:eastAsia="宋体" w:hAnsi="宋体" w:cs="宋体"/>
                <w:b w:val="0"/>
              </w:rPr>
              <w:t>-</w:t>
            </w:r>
          </w:p>
        </w:tc>
        <w:tc>
          <w:tcPr>
            <w:tcW w:w="0" w:type="dxa"/>
            <w:vAlign w:val="center"/>
          </w:tcPr>
          <w:p>
            <w:pPr>
              <w:spacing w:line="240" w:lineRule="auto"/>
              <w:jc w:val="center"/>
            </w:pPr>
            <w:r>
              <w:rPr>
                <w:rFonts w:ascii="宋体" w:eastAsia="宋体" w:hAnsi="宋体" w:cs="宋体"/>
                <w:b w:val="0"/>
              </w:rPr>
              <w:t>5年</w:t>
            </w:r>
          </w:p>
        </w:tc>
        <w:tc>
          <w:tcPr>
            <w:tcW w:w="0" w:type="dxa"/>
            <w:vAlign w:val="center"/>
          </w:tcPr>
          <w:p>
            <w:pPr>
              <w:spacing w:line="240" w:lineRule="auto"/>
              <w:jc w:val="left"/>
            </w:pPr>
            <w:r>
              <w:rPr>
                <w:rFonts w:ascii="宋体" w:eastAsia="宋体" w:hAnsi="宋体" w:cs="宋体"/>
                <w:b w:val="0"/>
              </w:rPr>
              <w:t>梁少文先生，华中科技大学工学学士，华中科技大学金融硕士，于2021年11月入职东方阿尔法基金管理有限公司，历任研究员、基金经理助理。现任东方阿尔法基金管理有限公司基金经理。</w:t>
            </w:r>
          </w:p>
        </w:tc>
      </w:tr>
    </w:tbl>
    <w:p>
      <w:r>
        <w:rPr>
          <w:rFonts w:ascii="宋体" w:eastAsia="宋体" w:hAnsi="宋体" w:cs="宋体"/>
          <w:b w:val="0"/>
        </w:rPr>
        <w:t>注：1.对基金的首任基金经理，其"任职日期"为基金合同生效日，"离任日期"为根据公告确定的解聘日期；对此后的非首任基金经理，"任职日期"和"离任日期"分别指公告确定的任职日期和离任日期。</w:t>
        <w:br/>
      </w:r>
      <w:r>
        <w:rPr>
          <w:rFonts w:ascii="宋体" w:eastAsia="宋体" w:hAnsi="宋体" w:cs="宋体"/>
          <w:b w:val="0"/>
        </w:rPr>
        <w:t>2.证券从业的含义遵从《证券基金经营机构董事、监事、高级管理人员及从业人员监督管理办法》的相关规定。</w:t>
      </w:r>
    </w:p>
    <w:p/>
    <w:p>
      <w:pPr>
        <w:pStyle w:val="zhangjiep2"/>
      </w:pPr>
      <w:r>
        <w:rPr>
          <w:rStyle w:val="DefaultParagraphFont"/>
          <w:rFonts w:ascii="宋体" w:eastAsia="宋体" w:hAnsi="宋体" w:cs="宋体"/>
          <w:b/>
        </w:rPr>
        <w:t>4.1.1 期末兼任私募资产管理计划投资经理的基金经理同时管理的产品情况</w:t>
      </w:r>
    </w:p>
    <w:p>
      <w:r>
        <w:rPr>
          <w:rFonts w:ascii="宋体" w:eastAsia="宋体" w:hAnsi="宋体" w:cs="宋体"/>
          <w:b w:val="0"/>
        </w:rPr>
        <w:t xml:space="preserve">    本基金基金经理不存在兼任私募资产管理计划的投资经理的情况。</w:t>
      </w:r>
    </w:p>
    <w:p/>
    <w:p>
      <w:pPr>
        <w:pStyle w:val="Heading2"/>
        <w:jc w:val="left"/>
      </w:pPr>
      <w:r>
        <w:rPr>
          <w:rFonts w:ascii="宋体" w:eastAsia="宋体" w:hAnsi="宋体" w:cs="宋体"/>
        </w:rPr>
        <w:t>4.2 管理人对报告期内本基金运作遵规守信情况的说明</w:t>
      </w:r>
    </w:p>
    <w:p>
      <w:r>
        <w:rPr>
          <w:rFonts w:ascii="宋体" w:eastAsia="宋体" w:hAnsi="宋体" w:cs="宋体"/>
          <w:b w:val="0"/>
        </w:rPr>
        <w:t xml:space="preserve">    本报告期内，本基金管理人严格遵守《中华人民共和国证券投资基金法》及其各项实施细则等有关法律法规、本基金《基金合同》和其他有关法律法规的规定，本着诚实信用、勤勉尽责的原则管理和运用基金资产，在严格控制风险的基础上，为基金份额持有人谋求最大利益。本报告期内，基金运作整体合法合规，无损害基金份额持有人利益的行为。</w:t>
      </w:r>
    </w:p>
    <w:p/>
    <w:p>
      <w:pPr>
        <w:pStyle w:val="Heading2"/>
        <w:jc w:val="left"/>
      </w:pPr>
      <w:r>
        <w:rPr>
          <w:rFonts w:ascii="宋体" w:eastAsia="宋体" w:hAnsi="宋体" w:cs="宋体"/>
        </w:rPr>
        <w:t>4.3 公平交易专项说明</w:t>
      </w:r>
    </w:p>
    <w:p>
      <w:pPr>
        <w:pStyle w:val="zhangjiep2"/>
      </w:pPr>
      <w:r>
        <w:rPr>
          <w:rStyle w:val="DefaultParagraphFont"/>
          <w:rFonts w:ascii="宋体" w:eastAsia="宋体" w:hAnsi="宋体" w:cs="宋体"/>
          <w:b/>
        </w:rPr>
        <w:t>4.3.1 公平交易制度的执行情况</w:t>
      </w:r>
    </w:p>
    <w:p>
      <w:r>
        <w:rPr>
          <w:rFonts w:ascii="宋体" w:eastAsia="宋体" w:hAnsi="宋体" w:cs="宋体"/>
          <w:b w:val="0"/>
        </w:rPr>
        <w:t xml:space="preserve">    本报告期内，本基金管理人严格执行《证券投资基金管理公司公平交易制度指导意见》，完善相应制度及流程，通过系统和人工等各种方式在各业务环节严格控制交易公平执行，公平对待旗下管理的所有基金和投资组合。</w:t>
        <w:br/>
      </w:r>
      <w:r>
        <w:rPr>
          <w:rFonts w:ascii="宋体" w:eastAsia="宋体" w:hAnsi="宋体" w:cs="宋体"/>
          <w:b w:val="0"/>
        </w:rPr>
        <w:t xml:space="preserve">    本报告期内，本基金管理人利用统计分析的方法和工具，按照不同的时间窗（包括当日内、3日内、5日内）对基金管理人管理的不同投资组合反向交易和同向交易的交易价差监控进行分析，未发现违反公平交易制度的异常行为。</w:t>
      </w:r>
    </w:p>
    <w:p/>
    <w:p>
      <w:pPr>
        <w:pStyle w:val="zhangjiep2"/>
      </w:pPr>
      <w:r>
        <w:rPr>
          <w:rStyle w:val="DefaultParagraphFont"/>
          <w:rFonts w:ascii="宋体" w:eastAsia="宋体" w:hAnsi="宋体" w:cs="宋体"/>
          <w:b/>
        </w:rPr>
        <w:t>4.3.2 异常交易行为的专项说明</w:t>
      </w:r>
    </w:p>
    <w:p>
      <w:r>
        <w:rPr>
          <w:rFonts w:ascii="宋体" w:eastAsia="宋体" w:hAnsi="宋体" w:cs="宋体"/>
          <w:b w:val="0"/>
        </w:rPr>
        <w:t xml:space="preserve">    报告期内，本基金不存在参与交易所公开竞价同日反向交易成交较少的单边交易量超过该证券当日成交量的5%的情况，且不存在其他可能导致非公平交易和利益输送的异常交易行为。</w:t>
      </w:r>
    </w:p>
    <w:p/>
    <w:p>
      <w:pPr>
        <w:pStyle w:val="Heading2"/>
        <w:jc w:val="left"/>
      </w:pPr>
      <w:r>
        <w:rPr>
          <w:rFonts w:ascii="宋体" w:eastAsia="宋体" w:hAnsi="宋体" w:cs="宋体"/>
        </w:rPr>
        <w:t>4.4 报告期内基金的投资策略和运作分析</w:t>
      </w:r>
    </w:p>
    <w:p>
      <w:r>
        <w:rPr>
          <w:rFonts w:ascii="宋体" w:eastAsia="宋体" w:hAnsi="宋体" w:cs="宋体"/>
          <w:b w:val="0"/>
        </w:rPr>
        <w:t xml:space="preserve">    2026年三季度，中东地区的地缘政治冲突出现反复，加剧石油价格上涨，同时全球对AI发展增速的争论越发激烈，导致科技板块的股票在三季度都承受较大幅度的调整。</w:t>
        <w:br/>
      </w:r>
      <w:r>
        <w:rPr>
          <w:rFonts w:ascii="宋体" w:eastAsia="宋体" w:hAnsi="宋体" w:cs="宋体"/>
          <w:b w:val="0"/>
        </w:rPr>
        <w:t xml:space="preserve">    海外大模型快速迭代，国内头部AI大模型也在快速追赶，带动国内对AI数据中心建设的需求快速增长。由于美国对GPU出口设置了严格限制，国内无法正常采购海外性能最好的GPU，因此GPU的国产替代进入加速阶段。国产算力产业链，迎来景气度加速和国产替代率加速的双重趋势。</w:t>
        <w:br/>
      </w:r>
      <w:r>
        <w:rPr>
          <w:rFonts w:ascii="宋体" w:eastAsia="宋体" w:hAnsi="宋体" w:cs="宋体"/>
          <w:b w:val="0"/>
        </w:rPr>
        <w:t xml:space="preserve">    展望2026年四季度，我们认为国内外算力产业链都具有好的投资机会。一方面，国内头部大模型厂商的ARR持续增长，且新推出的大模型进一步追赶海外的水平，提高capex加速投入的置信度；另一方面，国产GPU供应链的卡点逐步打通，各家GPU公司的交付能力也有望迎来拐点。</w:t>
        <w:br/>
      </w:r>
      <w:r>
        <w:rPr>
          <w:rFonts w:ascii="宋体" w:eastAsia="宋体" w:hAnsi="宋体" w:cs="宋体"/>
          <w:b w:val="0"/>
        </w:rPr>
        <w:t xml:space="preserve">    基于以上分析，本基金持续关注AI算力链条，同步关注国产与海外算力相关的投资机会，相对侧重在国产算力领域，在GPU、存储、光模块、半导体设备等领域寻找好的投资标的。</w:t>
      </w:r>
    </w:p>
    <w:p/>
    <w:p>
      <w:pPr>
        <w:pStyle w:val="Heading2"/>
        <w:jc w:val="left"/>
      </w:pPr>
      <w:r>
        <w:rPr>
          <w:rFonts w:ascii="宋体" w:eastAsia="宋体" w:hAnsi="宋体" w:cs="宋体"/>
        </w:rPr>
        <w:t>4.5 报告期内基金的业绩表现</w:t>
      </w:r>
    </w:p>
    <w:p>
      <w:r>
        <w:rPr>
          <w:rFonts w:ascii="宋体" w:eastAsia="宋体" w:hAnsi="宋体" w:cs="宋体"/>
          <w:b w:val="0"/>
        </w:rPr>
        <w:t xml:space="preserve">    截至报告期末东方阿尔法瑞利混合发起A基金份额净值为0.9454元，本报告期内，该类基金份额净值增长率为-34.90%，同期业绩比较基准收益率为-7.22%；截至报告期末东方阿尔法瑞利混合发起C基金份额净值为0.9442元，本报告期内，该类基金份额净值增长率为-34.95%，同期业绩比较基准收益率为-7.22%。</w:t>
      </w:r>
    </w:p>
    <w:p/>
    <w:p>
      <w:pPr>
        <w:pStyle w:val="Heading2"/>
        <w:jc w:val="left"/>
      </w:pPr>
      <w:r>
        <w:rPr>
          <w:rFonts w:ascii="宋体" w:eastAsia="宋体" w:hAnsi="宋体" w:cs="宋体"/>
        </w:rPr>
        <w:t>4.6 报告期内基金持有人数或基金资产净值预警说明</w:t>
      </w:r>
    </w:p>
    <w:p>
      <w:r>
        <w:rPr>
          <w:rFonts w:ascii="宋体" w:eastAsia="宋体" w:hAnsi="宋体" w:cs="宋体"/>
          <w:b w:val="0"/>
        </w:rPr>
        <w:t xml:space="preserve">    本基金为发起式基金，且截至本报告期末，本基金基金合同生效未满3年，暂不适用《公开募集证券投资基金运作管理办法》第四十一条第一款的规定。</w:t>
      </w:r>
    </w:p>
    <w:p>
      <w:pPr>
        <w:pStyle w:val="Heading1"/>
        <w:jc w:val="center"/>
      </w:pPr>
      <w:r>
        <w:rPr>
          <w:rFonts w:ascii="宋体" w:eastAsia="宋体" w:hAnsi="宋体" w:cs="宋体"/>
        </w:rPr>
        <w:t>§5 投资组合报告</w:t>
      </w:r>
    </w:p>
    <w:p>
      <w:pPr>
        <w:pStyle w:val="Heading2"/>
        <w:jc w:val="left"/>
      </w:pPr>
      <w:r>
        <w:rPr>
          <w:rFonts w:ascii="宋体" w:eastAsia="宋体" w:hAnsi="宋体" w:cs="宋体"/>
        </w:rPr>
        <w:t>5.1 报告期末基金资产组合情况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266"/>
        <w:gridCol w:w="2266"/>
        <w:gridCol w:w="2266"/>
        <w:gridCol w:w="2266"/>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2" w:type="pct"/>
            <w:shd w:val="clear" w:color="auto" w:fill="D9D9D9"/>
            <w:vAlign w:val="center"/>
          </w:tcPr>
          <w:p>
            <w:pPr>
              <w:spacing w:line="240" w:lineRule="auto"/>
              <w:jc w:val="center"/>
            </w:pPr>
            <w:r>
              <w:rPr>
                <w:rFonts w:ascii="宋体" w:eastAsia="宋体" w:hAnsi="宋体" w:cs="宋体"/>
                <w:b w:val="0"/>
              </w:rPr>
              <w:t>序号</w:t>
            </w:r>
          </w:p>
        </w:tc>
        <w:tc>
          <w:tcPr>
            <w:tcW w:w="1538" w:type="pct"/>
            <w:shd w:val="clear" w:color="auto" w:fill="D9D9D9"/>
            <w:vAlign w:val="center"/>
          </w:tcPr>
          <w:p>
            <w:pPr>
              <w:spacing w:line="240" w:lineRule="auto"/>
              <w:jc w:val="center"/>
            </w:pPr>
            <w:r>
              <w:rPr>
                <w:rFonts w:ascii="宋体" w:eastAsia="宋体" w:hAnsi="宋体" w:cs="宋体"/>
                <w:b w:val="0"/>
              </w:rPr>
              <w:t>项目</w:t>
            </w:r>
          </w:p>
        </w:tc>
        <w:tc>
          <w:tcPr>
            <w:tcW w:w="1538" w:type="pct"/>
            <w:shd w:val="clear" w:color="auto" w:fill="D9D9D9"/>
            <w:vAlign w:val="center"/>
          </w:tcPr>
          <w:p>
            <w:pPr>
              <w:spacing w:line="240" w:lineRule="auto"/>
              <w:jc w:val="center"/>
            </w:pPr>
            <w:r>
              <w:rPr>
                <w:rFonts w:ascii="宋体" w:eastAsia="宋体" w:hAnsi="宋体" w:cs="宋体"/>
                <w:b w:val="0"/>
              </w:rPr>
              <w:t>金额(元)</w:t>
            </w:r>
          </w:p>
        </w:tc>
        <w:tc>
          <w:tcPr>
            <w:tcW w:w="1538" w:type="pct"/>
            <w:shd w:val="clear" w:color="auto" w:fill="D9D9D9"/>
            <w:vAlign w:val="center"/>
          </w:tcPr>
          <w:p>
            <w:pPr>
              <w:spacing w:line="240" w:lineRule="auto"/>
              <w:jc w:val="center"/>
            </w:pPr>
            <w:r>
              <w:rPr>
                <w:rFonts w:ascii="宋体" w:eastAsia="宋体" w:hAnsi="宋体" w:cs="宋体"/>
                <w:b w:val="0"/>
              </w:rPr>
              <w:t>占基金总资产的比例（%）</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权益投资</w:t>
            </w:r>
          </w:p>
        </w:tc>
        <w:tc>
          <w:tcPr>
            <w:tcW w:w="0" w:type="dxa"/>
            <w:vAlign w:val="center"/>
          </w:tcPr>
          <w:p>
            <w:pPr>
              <w:spacing w:line="240" w:lineRule="auto"/>
              <w:jc w:val="right"/>
            </w:pPr>
            <w:r>
              <w:rPr>
                <w:rFonts w:ascii="宋体" w:eastAsia="宋体" w:hAnsi="宋体" w:cs="宋体"/>
                <w:b w:val="0"/>
              </w:rPr>
              <w:t>144,947,784.49</w:t>
            </w:r>
          </w:p>
        </w:tc>
        <w:tc>
          <w:tcPr>
            <w:tcW w:w="0" w:type="dxa"/>
            <w:vAlign w:val="center"/>
          </w:tcPr>
          <w:p>
            <w:pPr>
              <w:spacing w:line="240" w:lineRule="auto"/>
              <w:jc w:val="right"/>
            </w:pPr>
            <w:r>
              <w:rPr>
                <w:rFonts w:ascii="宋体" w:eastAsia="宋体" w:hAnsi="宋体" w:cs="宋体"/>
                <w:b w:val="0"/>
              </w:rPr>
              <w:t>89.74</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其中：股票</w:t>
            </w:r>
          </w:p>
        </w:tc>
        <w:tc>
          <w:tcPr>
            <w:tcW w:w="0" w:type="dxa"/>
            <w:vAlign w:val="center"/>
          </w:tcPr>
          <w:p>
            <w:pPr>
              <w:spacing w:line="240" w:lineRule="auto"/>
              <w:jc w:val="right"/>
            </w:pPr>
            <w:r>
              <w:rPr>
                <w:rFonts w:ascii="宋体" w:eastAsia="宋体" w:hAnsi="宋体" w:cs="宋体"/>
                <w:b w:val="0"/>
              </w:rPr>
              <w:t>144,947,784.49</w:t>
            </w:r>
          </w:p>
        </w:tc>
        <w:tc>
          <w:tcPr>
            <w:tcW w:w="0" w:type="dxa"/>
            <w:vAlign w:val="center"/>
          </w:tcPr>
          <w:p>
            <w:pPr>
              <w:spacing w:line="240" w:lineRule="auto"/>
              <w:jc w:val="right"/>
            </w:pPr>
            <w:r>
              <w:rPr>
                <w:rFonts w:ascii="宋体" w:eastAsia="宋体" w:hAnsi="宋体" w:cs="宋体"/>
                <w:b w:val="0"/>
              </w:rPr>
              <w:t>89.74</w:t>
            </w:r>
          </w:p>
        </w:tc>
      </w:tr>
      <w:tr>
        <w:tblPrEx>
          <w:tblW w:w="5000" w:type="pct"/>
        </w:tblPrEx>
        <w:tc>
          <w:tcPr>
            <w:tcW w:w="0" w:type="dxa"/>
            <w:vAlign w:val="center"/>
          </w:tcPr>
          <w:p>
            <w:pPr>
              <w:spacing w:line="240" w:lineRule="auto"/>
              <w:jc w:val="center"/>
            </w:pPr>
            <w:r>
              <w:rPr>
                <w:rFonts w:ascii="宋体" w:eastAsia="宋体" w:hAnsi="宋体" w:cs="宋体"/>
                <w:b w:val="0"/>
              </w:rPr>
              <w:t>2</w:t>
            </w:r>
          </w:p>
        </w:tc>
        <w:tc>
          <w:tcPr>
            <w:tcW w:w="0" w:type="dxa"/>
            <w:vAlign w:val="center"/>
          </w:tcPr>
          <w:p>
            <w:pPr>
              <w:spacing w:line="240" w:lineRule="auto"/>
              <w:jc w:val="left"/>
            </w:pPr>
            <w:r>
              <w:rPr>
                <w:rFonts w:ascii="宋体" w:eastAsia="宋体" w:hAnsi="宋体" w:cs="宋体"/>
                <w:b w:val="0"/>
              </w:rPr>
              <w:t>基金投资</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3</w:t>
            </w:r>
          </w:p>
        </w:tc>
        <w:tc>
          <w:tcPr>
            <w:tcW w:w="0" w:type="dxa"/>
            <w:vAlign w:val="center"/>
          </w:tcPr>
          <w:p>
            <w:pPr>
              <w:spacing w:line="240" w:lineRule="auto"/>
              <w:jc w:val="left"/>
            </w:pPr>
            <w:r>
              <w:rPr>
                <w:rFonts w:ascii="宋体" w:eastAsia="宋体" w:hAnsi="宋体" w:cs="宋体"/>
                <w:b w:val="0"/>
              </w:rPr>
              <w:t>固定收益投资</w:t>
            </w:r>
          </w:p>
        </w:tc>
        <w:tc>
          <w:tcPr>
            <w:tcW w:w="0" w:type="dxa"/>
            <w:vAlign w:val="center"/>
          </w:tcPr>
          <w:p>
            <w:pPr>
              <w:spacing w:line="240" w:lineRule="auto"/>
              <w:jc w:val="right"/>
            </w:pPr>
            <w:r>
              <w:rPr>
                <w:rFonts w:ascii="宋体" w:eastAsia="宋体" w:hAnsi="宋体" w:cs="宋体"/>
                <w:b w:val="0"/>
              </w:rPr>
              <w:t>9,060,038.80</w:t>
            </w:r>
          </w:p>
        </w:tc>
        <w:tc>
          <w:tcPr>
            <w:tcW w:w="0" w:type="dxa"/>
            <w:vAlign w:val="center"/>
          </w:tcPr>
          <w:p>
            <w:pPr>
              <w:spacing w:line="240" w:lineRule="auto"/>
              <w:jc w:val="right"/>
            </w:pPr>
            <w:r>
              <w:rPr>
                <w:rFonts w:ascii="宋体" w:eastAsia="宋体" w:hAnsi="宋体" w:cs="宋体"/>
                <w:b w:val="0"/>
              </w:rPr>
              <w:t>5.61</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其中：债券</w:t>
            </w:r>
          </w:p>
        </w:tc>
        <w:tc>
          <w:tcPr>
            <w:tcW w:w="0" w:type="dxa"/>
            <w:vAlign w:val="center"/>
          </w:tcPr>
          <w:p>
            <w:pPr>
              <w:spacing w:line="240" w:lineRule="auto"/>
              <w:jc w:val="right"/>
            </w:pPr>
            <w:r>
              <w:rPr>
                <w:rFonts w:ascii="宋体" w:eastAsia="宋体" w:hAnsi="宋体" w:cs="宋体"/>
                <w:b w:val="0"/>
              </w:rPr>
              <w:t>9,060,038.80</w:t>
            </w:r>
          </w:p>
        </w:tc>
        <w:tc>
          <w:tcPr>
            <w:tcW w:w="0" w:type="dxa"/>
            <w:vAlign w:val="center"/>
          </w:tcPr>
          <w:p>
            <w:pPr>
              <w:spacing w:line="240" w:lineRule="auto"/>
              <w:jc w:val="right"/>
            </w:pPr>
            <w:r>
              <w:rPr>
                <w:rFonts w:ascii="宋体" w:eastAsia="宋体" w:hAnsi="宋体" w:cs="宋体"/>
                <w:b w:val="0"/>
              </w:rPr>
              <w:t>5.61</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 xml:space="preserve">      资产支持证券</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4</w:t>
            </w:r>
          </w:p>
        </w:tc>
        <w:tc>
          <w:tcPr>
            <w:tcW w:w="0" w:type="dxa"/>
            <w:vAlign w:val="center"/>
          </w:tcPr>
          <w:p>
            <w:pPr>
              <w:spacing w:line="240" w:lineRule="auto"/>
            </w:pPr>
            <w:r>
              <w:rPr>
                <w:rFonts w:ascii="宋体" w:eastAsia="宋体" w:hAnsi="宋体" w:cs="宋体"/>
                <w:b w:val="0"/>
              </w:rPr>
              <w:t>贵金属投资</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5</w:t>
            </w:r>
          </w:p>
        </w:tc>
        <w:tc>
          <w:tcPr>
            <w:tcW w:w="0" w:type="dxa"/>
            <w:vAlign w:val="center"/>
          </w:tcPr>
          <w:p>
            <w:pPr>
              <w:spacing w:line="240" w:lineRule="auto"/>
              <w:jc w:val="left"/>
            </w:pPr>
            <w:r>
              <w:rPr>
                <w:rFonts w:ascii="宋体" w:eastAsia="宋体" w:hAnsi="宋体" w:cs="宋体"/>
                <w:b w:val="0"/>
              </w:rPr>
              <w:t>金融衍生品投资</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6</w:t>
            </w:r>
          </w:p>
        </w:tc>
        <w:tc>
          <w:tcPr>
            <w:tcW w:w="0" w:type="dxa"/>
            <w:vAlign w:val="center"/>
          </w:tcPr>
          <w:p>
            <w:pPr>
              <w:spacing w:line="240" w:lineRule="auto"/>
              <w:jc w:val="left"/>
            </w:pPr>
            <w:r>
              <w:rPr>
                <w:rFonts w:ascii="宋体" w:eastAsia="宋体" w:hAnsi="宋体" w:cs="宋体"/>
                <w:b w:val="0"/>
              </w:rPr>
              <w:t>买入返售金融资产</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其中：买断式回购的买入返售金融资产</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7</w:t>
            </w:r>
          </w:p>
        </w:tc>
        <w:tc>
          <w:tcPr>
            <w:tcW w:w="0" w:type="dxa"/>
            <w:vAlign w:val="center"/>
          </w:tcPr>
          <w:p>
            <w:pPr>
              <w:spacing w:line="240" w:lineRule="auto"/>
              <w:jc w:val="left"/>
            </w:pPr>
            <w:r>
              <w:rPr>
                <w:rFonts w:ascii="宋体" w:eastAsia="宋体" w:hAnsi="宋体" w:cs="宋体"/>
                <w:b w:val="0"/>
              </w:rPr>
              <w:t>银行存款和结算备付金合计</w:t>
            </w:r>
          </w:p>
        </w:tc>
        <w:tc>
          <w:tcPr>
            <w:tcW w:w="0" w:type="dxa"/>
            <w:vAlign w:val="center"/>
          </w:tcPr>
          <w:p>
            <w:pPr>
              <w:spacing w:line="240" w:lineRule="auto"/>
              <w:jc w:val="right"/>
            </w:pPr>
            <w:r>
              <w:rPr>
                <w:rFonts w:ascii="宋体" w:eastAsia="宋体" w:hAnsi="宋体" w:cs="宋体"/>
                <w:b w:val="0"/>
              </w:rPr>
              <w:t>3,960,229.53</w:t>
            </w:r>
          </w:p>
        </w:tc>
        <w:tc>
          <w:tcPr>
            <w:tcW w:w="0" w:type="dxa"/>
            <w:vAlign w:val="center"/>
          </w:tcPr>
          <w:p>
            <w:pPr>
              <w:spacing w:line="240" w:lineRule="auto"/>
              <w:jc w:val="right"/>
            </w:pPr>
            <w:r>
              <w:rPr>
                <w:rFonts w:ascii="宋体" w:eastAsia="宋体" w:hAnsi="宋体" w:cs="宋体"/>
                <w:b w:val="0"/>
              </w:rPr>
              <w:t>2.45</w:t>
            </w:r>
          </w:p>
        </w:tc>
      </w:tr>
      <w:tr>
        <w:tblPrEx>
          <w:tblW w:w="5000" w:type="pct"/>
        </w:tblPrEx>
        <w:tc>
          <w:tcPr>
            <w:tcW w:w="0" w:type="dxa"/>
            <w:vAlign w:val="center"/>
          </w:tcPr>
          <w:p>
            <w:pPr>
              <w:spacing w:line="240" w:lineRule="auto"/>
              <w:jc w:val="center"/>
            </w:pPr>
            <w:r>
              <w:rPr>
                <w:rFonts w:ascii="宋体" w:eastAsia="宋体" w:hAnsi="宋体" w:cs="宋体"/>
                <w:b w:val="0"/>
              </w:rPr>
              <w:t>8</w:t>
            </w:r>
          </w:p>
        </w:tc>
        <w:tc>
          <w:tcPr>
            <w:tcW w:w="0" w:type="dxa"/>
            <w:vAlign w:val="center"/>
          </w:tcPr>
          <w:p>
            <w:pPr>
              <w:spacing w:line="240" w:lineRule="auto"/>
              <w:jc w:val="left"/>
            </w:pPr>
            <w:r>
              <w:rPr>
                <w:rFonts w:ascii="宋体" w:eastAsia="宋体" w:hAnsi="宋体" w:cs="宋体"/>
                <w:b w:val="0"/>
              </w:rPr>
              <w:t>其他资产</w:t>
            </w:r>
          </w:p>
        </w:tc>
        <w:tc>
          <w:tcPr>
            <w:tcW w:w="0" w:type="dxa"/>
            <w:vAlign w:val="center"/>
          </w:tcPr>
          <w:p>
            <w:pPr>
              <w:spacing w:line="240" w:lineRule="auto"/>
              <w:jc w:val="right"/>
            </w:pPr>
            <w:r>
              <w:rPr>
                <w:rFonts w:ascii="宋体" w:eastAsia="宋体" w:hAnsi="宋体" w:cs="宋体"/>
                <w:b w:val="0"/>
              </w:rPr>
              <w:t>3,545,162.23</w:t>
            </w:r>
          </w:p>
        </w:tc>
        <w:tc>
          <w:tcPr>
            <w:tcW w:w="0" w:type="dxa"/>
            <w:vAlign w:val="center"/>
          </w:tcPr>
          <w:p>
            <w:pPr>
              <w:spacing w:line="240" w:lineRule="auto"/>
              <w:jc w:val="right"/>
            </w:pPr>
            <w:r>
              <w:rPr>
                <w:rFonts w:ascii="宋体" w:eastAsia="宋体" w:hAnsi="宋体" w:cs="宋体"/>
                <w:b w:val="0"/>
              </w:rPr>
              <w:t>2.19</w:t>
            </w:r>
          </w:p>
        </w:tc>
      </w:tr>
      <w:tr>
        <w:tblPrEx>
          <w:tblW w:w="5000" w:type="pct"/>
        </w:tblPrEx>
        <w:tc>
          <w:tcPr>
            <w:tcW w:w="0" w:type="dxa"/>
            <w:vAlign w:val="center"/>
          </w:tcPr>
          <w:p>
            <w:pPr>
              <w:spacing w:line="240" w:lineRule="auto"/>
              <w:jc w:val="center"/>
            </w:pPr>
            <w:r>
              <w:rPr>
                <w:rFonts w:ascii="宋体" w:eastAsia="宋体" w:hAnsi="宋体" w:cs="宋体"/>
                <w:b w:val="0"/>
              </w:rPr>
              <w:t>9</w:t>
            </w:r>
          </w:p>
        </w:tc>
        <w:tc>
          <w:tcPr>
            <w:tcW w:w="0" w:type="dxa"/>
            <w:vAlign w:val="center"/>
          </w:tcPr>
          <w:p>
            <w:pPr>
              <w:spacing w:line="240" w:lineRule="auto"/>
              <w:jc w:val="left"/>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161,513,215.05</w:t>
            </w:r>
          </w:p>
        </w:tc>
        <w:tc>
          <w:tcPr>
            <w:tcW w:w="0" w:type="dxa"/>
            <w:vAlign w:val="center"/>
          </w:tcPr>
          <w:p>
            <w:pPr>
              <w:spacing w:line="240" w:lineRule="auto"/>
              <w:jc w:val="right"/>
            </w:pPr>
            <w:r>
              <w:rPr>
                <w:rFonts w:ascii="宋体" w:eastAsia="宋体" w:hAnsi="宋体" w:cs="宋体"/>
                <w:b w:val="0"/>
              </w:rPr>
              <w:t>100.00</w:t>
            </w:r>
          </w:p>
        </w:tc>
      </w:tr>
    </w:tbl>
    <w:p>
      <w:r>
        <w:rPr>
          <w:rFonts w:ascii="宋体" w:eastAsia="宋体" w:hAnsi="宋体" w:cs="宋体"/>
          <w:b w:val="0"/>
        </w:rPr>
        <w:t>注：报告期末本基金通过港股通交易机制投资的港股公允价值合计11,602,123.16元，占基金资产净值的比例为7.32%。</w:t>
      </w:r>
    </w:p>
    <w:p/>
    <w:p>
      <w:pPr>
        <w:pStyle w:val="Heading2"/>
        <w:jc w:val="left"/>
      </w:pPr>
      <w:r>
        <w:rPr>
          <w:rFonts w:ascii="宋体" w:eastAsia="宋体" w:hAnsi="宋体" w:cs="宋体"/>
        </w:rPr>
        <w:t>5.2 报告期末按行业分类的股票投资组合</w:t>
      </w:r>
    </w:p>
    <w:p>
      <w:pPr>
        <w:pStyle w:val="zhangjiep2"/>
      </w:pPr>
      <w:r>
        <w:rPr>
          <w:rStyle w:val="DefaultParagraphFont"/>
          <w:rFonts w:ascii="宋体" w:eastAsia="宋体" w:hAnsi="宋体" w:cs="宋体"/>
          <w:b/>
        </w:rPr>
        <w:t>5.2.1 报告期末按行业分类的境内股票投资组合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266"/>
        <w:gridCol w:w="2266"/>
        <w:gridCol w:w="2266"/>
        <w:gridCol w:w="2266"/>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代码</w:t>
            </w:r>
          </w:p>
        </w:tc>
        <w:tc>
          <w:tcPr>
            <w:tcW w:w="1538" w:type="pct"/>
            <w:shd w:val="clear" w:color="auto" w:fill="D9D9D9"/>
            <w:vAlign w:val="center"/>
          </w:tcPr>
          <w:p>
            <w:pPr>
              <w:spacing w:line="240" w:lineRule="auto"/>
              <w:jc w:val="center"/>
            </w:pPr>
            <w:r>
              <w:rPr>
                <w:rFonts w:ascii="宋体" w:eastAsia="宋体" w:hAnsi="宋体" w:cs="宋体"/>
                <w:b w:val="0"/>
              </w:rPr>
              <w:t>行业类别</w:t>
            </w:r>
          </w:p>
        </w:tc>
        <w:tc>
          <w:tcPr>
            <w:tcW w:w="923" w:type="pct"/>
            <w:shd w:val="clear" w:color="auto" w:fill="D9D9D9"/>
            <w:vAlign w:val="center"/>
          </w:tcPr>
          <w:p>
            <w:pPr>
              <w:spacing w:line="240" w:lineRule="auto"/>
              <w:jc w:val="center"/>
            </w:pPr>
            <w:r>
              <w:rPr>
                <w:rFonts w:ascii="宋体" w:eastAsia="宋体" w:hAnsi="宋体" w:cs="宋体"/>
                <w:b w:val="0"/>
              </w:rPr>
              <w:t>公允价值(元)</w:t>
            </w:r>
          </w:p>
        </w:tc>
        <w:tc>
          <w:tcPr>
            <w:tcW w:w="1538" w:type="pct"/>
            <w:shd w:val="clear" w:color="auto" w:fill="D9D9D9"/>
            <w:vAlign w:val="center"/>
          </w:tcPr>
          <w:p>
            <w:pPr>
              <w:spacing w:line="240" w:lineRule="auto"/>
              <w:jc w:val="center"/>
            </w:pPr>
            <w:r>
              <w:rPr>
                <w:rFonts w:ascii="宋体" w:eastAsia="宋体" w:hAnsi="宋体" w:cs="宋体"/>
                <w:b w:val="0"/>
              </w:rPr>
              <w:t>占基金资产净值比例（%）</w:t>
            </w:r>
          </w:p>
        </w:tc>
      </w:tr>
      <w:tr>
        <w:tblPrEx>
          <w:tblW w:w="5000" w:type="pct"/>
        </w:tblPrEx>
        <w:tc>
          <w:tcPr>
            <w:tcW w:w="0" w:type="dxa"/>
            <w:vAlign w:val="center"/>
          </w:tcPr>
          <w:p>
            <w:pPr>
              <w:spacing w:line="240" w:lineRule="auto"/>
              <w:jc w:val="center"/>
            </w:pPr>
            <w:r>
              <w:rPr>
                <w:rFonts w:ascii="宋体" w:eastAsia="宋体" w:hAnsi="宋体" w:cs="宋体"/>
                <w:b w:val="0"/>
              </w:rPr>
              <w:t>A</w:t>
            </w:r>
          </w:p>
        </w:tc>
        <w:tc>
          <w:tcPr>
            <w:tcW w:w="0" w:type="dxa"/>
            <w:vAlign w:val="center"/>
          </w:tcPr>
          <w:p>
            <w:pPr>
              <w:spacing w:line="240" w:lineRule="auto"/>
              <w:jc w:val="left"/>
            </w:pPr>
            <w:r>
              <w:rPr>
                <w:rFonts w:ascii="宋体" w:eastAsia="宋体" w:hAnsi="宋体" w:cs="宋体"/>
                <w:b w:val="0"/>
              </w:rPr>
              <w:t>农、林、牧、渔业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B</w:t>
            </w:r>
          </w:p>
        </w:tc>
        <w:tc>
          <w:tcPr>
            <w:tcW w:w="0" w:type="dxa"/>
            <w:vAlign w:val="center"/>
          </w:tcPr>
          <w:p>
            <w:pPr>
              <w:spacing w:line="240" w:lineRule="auto"/>
              <w:jc w:val="left"/>
            </w:pPr>
            <w:r>
              <w:rPr>
                <w:rFonts w:ascii="宋体" w:eastAsia="宋体" w:hAnsi="宋体" w:cs="宋体"/>
                <w:b w:val="0"/>
              </w:rPr>
              <w:t>采矿业</w:t>
            </w:r>
          </w:p>
        </w:tc>
        <w:tc>
          <w:tcPr>
            <w:tcW w:w="0" w:type="dxa"/>
            <w:vAlign w:val="center"/>
          </w:tcPr>
          <w:p>
            <w:pPr>
              <w:spacing w:line="240" w:lineRule="auto"/>
              <w:jc w:val="right"/>
            </w:pPr>
            <w:r>
              <w:rPr>
                <w:rFonts w:ascii="宋体" w:eastAsia="宋体" w:hAnsi="宋体" w:cs="宋体"/>
                <w:b w:val="0"/>
              </w:rPr>
              <w:t>8,698.55</w:t>
            </w:r>
          </w:p>
        </w:tc>
        <w:tc>
          <w:tcPr>
            <w:tcW w:w="0" w:type="dxa"/>
            <w:vAlign w:val="center"/>
          </w:tcPr>
          <w:p>
            <w:pPr>
              <w:spacing w:line="240" w:lineRule="auto"/>
              <w:jc w:val="right"/>
            </w:pPr>
            <w:r>
              <w:rPr>
                <w:rFonts w:ascii="宋体" w:eastAsia="宋体" w:hAnsi="宋体" w:cs="宋体"/>
                <w:b w:val="0"/>
              </w:rPr>
              <w:t>0.01</w:t>
            </w:r>
          </w:p>
        </w:tc>
      </w:tr>
      <w:tr>
        <w:tblPrEx>
          <w:tblW w:w="5000" w:type="pct"/>
        </w:tblPrEx>
        <w:tc>
          <w:tcPr>
            <w:tcW w:w="0" w:type="dxa"/>
            <w:vAlign w:val="center"/>
          </w:tcPr>
          <w:p>
            <w:pPr>
              <w:spacing w:line="240" w:lineRule="auto"/>
              <w:jc w:val="center"/>
            </w:pPr>
            <w:r>
              <w:rPr>
                <w:rFonts w:ascii="宋体" w:eastAsia="宋体" w:hAnsi="宋体" w:cs="宋体"/>
                <w:b w:val="0"/>
              </w:rPr>
              <w:t>C</w:t>
            </w:r>
          </w:p>
        </w:tc>
        <w:tc>
          <w:tcPr>
            <w:tcW w:w="0" w:type="dxa"/>
            <w:vAlign w:val="center"/>
          </w:tcPr>
          <w:p>
            <w:pPr>
              <w:spacing w:line="240" w:lineRule="auto"/>
              <w:jc w:val="left"/>
            </w:pPr>
            <w:r>
              <w:rPr>
                <w:rFonts w:ascii="宋体" w:eastAsia="宋体" w:hAnsi="宋体" w:cs="宋体"/>
                <w:b w:val="0"/>
              </w:rPr>
              <w:t>制造业</w:t>
            </w:r>
          </w:p>
        </w:tc>
        <w:tc>
          <w:tcPr>
            <w:tcW w:w="0" w:type="dxa"/>
            <w:vAlign w:val="center"/>
          </w:tcPr>
          <w:p>
            <w:pPr>
              <w:spacing w:line="240" w:lineRule="auto"/>
              <w:jc w:val="right"/>
            </w:pPr>
            <w:r>
              <w:rPr>
                <w:rFonts w:ascii="宋体" w:eastAsia="宋体" w:hAnsi="宋体" w:cs="宋体"/>
                <w:b w:val="0"/>
              </w:rPr>
              <w:t>84,669,619.41</w:t>
            </w:r>
          </w:p>
        </w:tc>
        <w:tc>
          <w:tcPr>
            <w:tcW w:w="0" w:type="dxa"/>
            <w:vAlign w:val="center"/>
          </w:tcPr>
          <w:p>
            <w:pPr>
              <w:spacing w:line="240" w:lineRule="auto"/>
              <w:jc w:val="right"/>
            </w:pPr>
            <w:r>
              <w:rPr>
                <w:rFonts w:ascii="宋体" w:eastAsia="宋体" w:hAnsi="宋体" w:cs="宋体"/>
                <w:b w:val="0"/>
              </w:rPr>
              <w:t>53.40</w:t>
            </w:r>
          </w:p>
        </w:tc>
      </w:tr>
      <w:tr>
        <w:tblPrEx>
          <w:tblW w:w="5000" w:type="pct"/>
        </w:tblPrEx>
        <w:tc>
          <w:tcPr>
            <w:tcW w:w="0" w:type="dxa"/>
            <w:vAlign w:val="center"/>
          </w:tcPr>
          <w:p>
            <w:pPr>
              <w:spacing w:line="240" w:lineRule="auto"/>
              <w:jc w:val="center"/>
            </w:pPr>
            <w:r>
              <w:rPr>
                <w:rFonts w:ascii="宋体" w:eastAsia="宋体" w:hAnsi="宋体" w:cs="宋体"/>
                <w:b w:val="0"/>
              </w:rPr>
              <w:t>D</w:t>
            </w:r>
          </w:p>
        </w:tc>
        <w:tc>
          <w:tcPr>
            <w:tcW w:w="0" w:type="dxa"/>
            <w:vAlign w:val="center"/>
          </w:tcPr>
          <w:p>
            <w:pPr>
              <w:spacing w:line="240" w:lineRule="auto"/>
              <w:jc w:val="left"/>
            </w:pPr>
            <w:r>
              <w:rPr>
                <w:rFonts w:ascii="宋体" w:eastAsia="宋体" w:hAnsi="宋体" w:cs="宋体"/>
                <w:b w:val="0"/>
              </w:rPr>
              <w:t>电力、热力、燃气及水生产和供应业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E</w:t>
            </w:r>
          </w:p>
        </w:tc>
        <w:tc>
          <w:tcPr>
            <w:tcW w:w="0" w:type="dxa"/>
            <w:vAlign w:val="center"/>
          </w:tcPr>
          <w:p>
            <w:pPr>
              <w:spacing w:line="240" w:lineRule="auto"/>
              <w:jc w:val="left"/>
            </w:pPr>
            <w:r>
              <w:rPr>
                <w:rFonts w:ascii="宋体" w:eastAsia="宋体" w:hAnsi="宋体" w:cs="宋体"/>
                <w:b w:val="0"/>
              </w:rPr>
              <w:t>建筑业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F</w:t>
            </w:r>
          </w:p>
        </w:tc>
        <w:tc>
          <w:tcPr>
            <w:tcW w:w="0" w:type="dxa"/>
            <w:vAlign w:val="center"/>
          </w:tcPr>
          <w:p>
            <w:pPr>
              <w:spacing w:line="240" w:lineRule="auto"/>
              <w:jc w:val="left"/>
            </w:pPr>
            <w:r>
              <w:rPr>
                <w:rFonts w:ascii="宋体" w:eastAsia="宋体" w:hAnsi="宋体" w:cs="宋体"/>
                <w:b w:val="0"/>
              </w:rPr>
              <w:t>批发和零售业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G</w:t>
            </w:r>
          </w:p>
        </w:tc>
        <w:tc>
          <w:tcPr>
            <w:tcW w:w="0" w:type="dxa"/>
            <w:vAlign w:val="center"/>
          </w:tcPr>
          <w:p>
            <w:pPr>
              <w:spacing w:line="240" w:lineRule="auto"/>
              <w:jc w:val="left"/>
            </w:pPr>
            <w:r>
              <w:rPr>
                <w:rFonts w:ascii="宋体" w:eastAsia="宋体" w:hAnsi="宋体" w:cs="宋体"/>
                <w:b w:val="0"/>
              </w:rPr>
              <w:t>交通运输、仓储和邮政业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H</w:t>
            </w:r>
          </w:p>
        </w:tc>
        <w:tc>
          <w:tcPr>
            <w:tcW w:w="0" w:type="dxa"/>
            <w:vAlign w:val="center"/>
          </w:tcPr>
          <w:p>
            <w:pPr>
              <w:spacing w:line="240" w:lineRule="auto"/>
              <w:jc w:val="left"/>
            </w:pPr>
            <w:r>
              <w:rPr>
                <w:rFonts w:ascii="宋体" w:eastAsia="宋体" w:hAnsi="宋体" w:cs="宋体"/>
                <w:b w:val="0"/>
              </w:rPr>
              <w:t>住宿和餐饮业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I</w:t>
            </w:r>
          </w:p>
        </w:tc>
        <w:tc>
          <w:tcPr>
            <w:tcW w:w="0" w:type="dxa"/>
            <w:vAlign w:val="center"/>
          </w:tcPr>
          <w:p>
            <w:pPr>
              <w:spacing w:line="240" w:lineRule="auto"/>
              <w:jc w:val="left"/>
            </w:pPr>
            <w:r>
              <w:rPr>
                <w:rFonts w:ascii="宋体" w:eastAsia="宋体" w:hAnsi="宋体" w:cs="宋体"/>
                <w:b w:val="0"/>
              </w:rPr>
              <w:t>信息传输、软件和信息技术服务业</w:t>
            </w:r>
          </w:p>
        </w:tc>
        <w:tc>
          <w:tcPr>
            <w:tcW w:w="0" w:type="dxa"/>
            <w:vAlign w:val="center"/>
          </w:tcPr>
          <w:p>
            <w:pPr>
              <w:spacing w:line="240" w:lineRule="auto"/>
              <w:jc w:val="right"/>
            </w:pPr>
            <w:r>
              <w:rPr>
                <w:rFonts w:ascii="宋体" w:eastAsia="宋体" w:hAnsi="宋体" w:cs="宋体"/>
                <w:b w:val="0"/>
              </w:rPr>
              <w:t>48,667,343.37</w:t>
            </w:r>
          </w:p>
        </w:tc>
        <w:tc>
          <w:tcPr>
            <w:tcW w:w="0" w:type="dxa"/>
            <w:vAlign w:val="center"/>
          </w:tcPr>
          <w:p>
            <w:pPr>
              <w:spacing w:line="240" w:lineRule="auto"/>
              <w:jc w:val="right"/>
            </w:pPr>
            <w:r>
              <w:rPr>
                <w:rFonts w:ascii="宋体" w:eastAsia="宋体" w:hAnsi="宋体" w:cs="宋体"/>
                <w:b w:val="0"/>
              </w:rPr>
              <w:t>30.69</w:t>
            </w:r>
          </w:p>
        </w:tc>
      </w:tr>
      <w:tr>
        <w:tblPrEx>
          <w:tblW w:w="5000" w:type="pct"/>
        </w:tblPrEx>
        <w:tc>
          <w:tcPr>
            <w:tcW w:w="0" w:type="dxa"/>
            <w:vAlign w:val="center"/>
          </w:tcPr>
          <w:p>
            <w:pPr>
              <w:spacing w:line="240" w:lineRule="auto"/>
              <w:jc w:val="center"/>
            </w:pPr>
            <w:r>
              <w:rPr>
                <w:rFonts w:ascii="宋体" w:eastAsia="宋体" w:hAnsi="宋体" w:cs="宋体"/>
                <w:b w:val="0"/>
              </w:rPr>
              <w:t>J</w:t>
            </w:r>
          </w:p>
        </w:tc>
        <w:tc>
          <w:tcPr>
            <w:tcW w:w="0" w:type="dxa"/>
            <w:vAlign w:val="center"/>
          </w:tcPr>
          <w:p>
            <w:pPr>
              <w:spacing w:line="240" w:lineRule="auto"/>
              <w:jc w:val="left"/>
            </w:pPr>
            <w:r>
              <w:rPr>
                <w:rFonts w:ascii="宋体" w:eastAsia="宋体" w:hAnsi="宋体" w:cs="宋体"/>
                <w:b w:val="0"/>
              </w:rPr>
              <w:t>金融业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K</w:t>
            </w:r>
          </w:p>
        </w:tc>
        <w:tc>
          <w:tcPr>
            <w:tcW w:w="0" w:type="dxa"/>
            <w:vAlign w:val="center"/>
          </w:tcPr>
          <w:p>
            <w:pPr>
              <w:spacing w:line="240" w:lineRule="auto"/>
              <w:jc w:val="left"/>
            </w:pPr>
            <w:r>
              <w:rPr>
                <w:rFonts w:ascii="宋体" w:eastAsia="宋体" w:hAnsi="宋体" w:cs="宋体"/>
                <w:b w:val="0"/>
              </w:rPr>
              <w:t>房地产业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L</w:t>
            </w:r>
          </w:p>
        </w:tc>
        <w:tc>
          <w:tcPr>
            <w:tcW w:w="0" w:type="dxa"/>
            <w:vAlign w:val="center"/>
          </w:tcPr>
          <w:p>
            <w:pPr>
              <w:spacing w:line="240" w:lineRule="auto"/>
              <w:jc w:val="left"/>
            </w:pPr>
            <w:r>
              <w:rPr>
                <w:rFonts w:ascii="宋体" w:eastAsia="宋体" w:hAnsi="宋体" w:cs="宋体"/>
                <w:b w:val="0"/>
              </w:rPr>
              <w:t>租赁和商务服务业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M</w:t>
            </w:r>
          </w:p>
        </w:tc>
        <w:tc>
          <w:tcPr>
            <w:tcW w:w="0" w:type="dxa"/>
            <w:vAlign w:val="center"/>
          </w:tcPr>
          <w:p>
            <w:pPr>
              <w:spacing w:line="240" w:lineRule="auto"/>
              <w:jc w:val="left"/>
            </w:pPr>
            <w:r>
              <w:rPr>
                <w:rFonts w:ascii="宋体" w:eastAsia="宋体" w:hAnsi="宋体" w:cs="宋体"/>
                <w:b w:val="0"/>
              </w:rPr>
              <w:t>科学研究和技术服务业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N</w:t>
            </w:r>
          </w:p>
        </w:tc>
        <w:tc>
          <w:tcPr>
            <w:tcW w:w="0" w:type="dxa"/>
            <w:vAlign w:val="center"/>
          </w:tcPr>
          <w:p>
            <w:pPr>
              <w:spacing w:line="240" w:lineRule="auto"/>
              <w:jc w:val="left"/>
            </w:pPr>
            <w:r>
              <w:rPr>
                <w:rFonts w:ascii="宋体" w:eastAsia="宋体" w:hAnsi="宋体" w:cs="宋体"/>
                <w:b w:val="0"/>
              </w:rPr>
              <w:t>水利、环境和公共设施管理业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O</w:t>
            </w:r>
          </w:p>
        </w:tc>
        <w:tc>
          <w:tcPr>
            <w:tcW w:w="0" w:type="dxa"/>
            <w:vAlign w:val="center"/>
          </w:tcPr>
          <w:p>
            <w:pPr>
              <w:spacing w:line="240" w:lineRule="auto"/>
              <w:jc w:val="left"/>
            </w:pPr>
            <w:r>
              <w:rPr>
                <w:rFonts w:ascii="宋体" w:eastAsia="宋体" w:hAnsi="宋体" w:cs="宋体"/>
                <w:b w:val="0"/>
              </w:rPr>
              <w:t>居民服务、修理和其他服务业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P</w:t>
            </w:r>
          </w:p>
        </w:tc>
        <w:tc>
          <w:tcPr>
            <w:tcW w:w="0" w:type="dxa"/>
            <w:vAlign w:val="center"/>
          </w:tcPr>
          <w:p>
            <w:pPr>
              <w:spacing w:line="240" w:lineRule="auto"/>
              <w:jc w:val="left"/>
            </w:pPr>
            <w:r>
              <w:rPr>
                <w:rFonts w:ascii="宋体" w:eastAsia="宋体" w:hAnsi="宋体" w:cs="宋体"/>
                <w:b w:val="0"/>
              </w:rPr>
              <w:t>教育</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Q</w:t>
            </w:r>
          </w:p>
        </w:tc>
        <w:tc>
          <w:tcPr>
            <w:tcW w:w="0" w:type="dxa"/>
            <w:vAlign w:val="center"/>
          </w:tcPr>
          <w:p>
            <w:pPr>
              <w:spacing w:line="240" w:lineRule="auto"/>
              <w:jc w:val="left"/>
            </w:pPr>
            <w:r>
              <w:rPr>
                <w:rFonts w:ascii="宋体" w:eastAsia="宋体" w:hAnsi="宋体" w:cs="宋体"/>
                <w:b w:val="0"/>
              </w:rPr>
              <w:t>卫生和社会工作</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R</w:t>
            </w:r>
          </w:p>
        </w:tc>
        <w:tc>
          <w:tcPr>
            <w:tcW w:w="0" w:type="dxa"/>
            <w:vAlign w:val="center"/>
          </w:tcPr>
          <w:p>
            <w:pPr>
              <w:spacing w:line="240" w:lineRule="auto"/>
              <w:jc w:val="left"/>
            </w:pPr>
            <w:r>
              <w:rPr>
                <w:rFonts w:ascii="宋体" w:eastAsia="宋体" w:hAnsi="宋体" w:cs="宋体"/>
                <w:b w:val="0"/>
              </w:rPr>
              <w:t>文化、体育和娱乐业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S</w:t>
            </w:r>
          </w:p>
        </w:tc>
        <w:tc>
          <w:tcPr>
            <w:tcW w:w="0" w:type="dxa"/>
            <w:vAlign w:val="center"/>
          </w:tcPr>
          <w:p>
            <w:pPr>
              <w:spacing w:line="240" w:lineRule="auto"/>
              <w:jc w:val="left"/>
            </w:pPr>
            <w:r>
              <w:rPr>
                <w:rFonts w:ascii="宋体" w:eastAsia="宋体" w:hAnsi="宋体" w:cs="宋体"/>
                <w:b w:val="0"/>
              </w:rPr>
              <w:t>综合</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133,345,661.33</w:t>
            </w:r>
          </w:p>
        </w:tc>
        <w:tc>
          <w:tcPr>
            <w:tcW w:w="0" w:type="dxa"/>
            <w:vAlign w:val="center"/>
          </w:tcPr>
          <w:p>
            <w:pPr>
              <w:spacing w:line="240" w:lineRule="auto"/>
              <w:jc w:val="right"/>
            </w:pPr>
            <w:r>
              <w:rPr>
                <w:rFonts w:ascii="宋体" w:eastAsia="宋体" w:hAnsi="宋体" w:cs="宋体"/>
                <w:b w:val="0"/>
              </w:rPr>
              <w:t>84.10</w:t>
            </w:r>
          </w:p>
        </w:tc>
      </w:tr>
    </w:tbl>
    <w:p/>
    <w:p>
      <w:pPr>
        <w:pStyle w:val="zhangjiep2"/>
      </w:pPr>
      <w:r>
        <w:rPr>
          <w:rStyle w:val="DefaultParagraphFont"/>
          <w:rFonts w:ascii="宋体" w:eastAsia="宋体" w:hAnsi="宋体" w:cs="宋体"/>
          <w:b/>
        </w:rPr>
        <w:t>5.2.2 报告期末按行业分类的港股通投资股票投资组合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3021"/>
        <w:gridCol w:w="3021"/>
        <w:gridCol w:w="302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38" w:type="pct"/>
            <w:shd w:val="clear" w:color="auto" w:fill="D9D9D9"/>
            <w:vAlign w:val="center"/>
          </w:tcPr>
          <w:p>
            <w:pPr>
              <w:spacing w:line="240" w:lineRule="auto"/>
              <w:jc w:val="center"/>
            </w:pPr>
            <w:r>
              <w:rPr>
                <w:rFonts w:ascii="宋体" w:eastAsia="宋体" w:hAnsi="宋体" w:cs="宋体"/>
                <w:b w:val="0"/>
              </w:rPr>
              <w:t>行业类别</w:t>
            </w:r>
          </w:p>
        </w:tc>
        <w:tc>
          <w:tcPr>
            <w:tcW w:w="1538" w:type="pct"/>
            <w:shd w:val="clear" w:color="auto" w:fill="D9D9D9"/>
            <w:vAlign w:val="center"/>
          </w:tcPr>
          <w:p>
            <w:pPr>
              <w:spacing w:line="240" w:lineRule="auto"/>
              <w:jc w:val="center"/>
            </w:pPr>
            <w:r>
              <w:rPr>
                <w:rFonts w:ascii="宋体" w:eastAsia="宋体" w:hAnsi="宋体" w:cs="宋体"/>
                <w:b w:val="0"/>
              </w:rPr>
              <w:t>公允价值（人民币）</w:t>
            </w:r>
          </w:p>
        </w:tc>
        <w:tc>
          <w:tcPr>
            <w:tcW w:w="1538" w:type="pct"/>
            <w:shd w:val="clear" w:color="auto" w:fill="D9D9D9"/>
            <w:vAlign w:val="center"/>
          </w:tcPr>
          <w:p>
            <w:pPr>
              <w:spacing w:line="240" w:lineRule="auto"/>
              <w:jc w:val="center"/>
            </w:pPr>
            <w:r>
              <w:rPr>
                <w:rFonts w:ascii="宋体" w:eastAsia="宋体" w:hAnsi="宋体" w:cs="宋体"/>
                <w:b w:val="0"/>
              </w:rPr>
              <w:t>占基金资产净值比例（%）</w:t>
            </w:r>
          </w:p>
        </w:tc>
      </w:tr>
      <w:tr>
        <w:tblPrEx>
          <w:tblW w:w="5000" w:type="pct"/>
        </w:tblPrEx>
        <w:tc>
          <w:tcPr>
            <w:tcW w:w="0" w:type="dxa"/>
            <w:vAlign w:val="center"/>
          </w:tcPr>
          <w:p>
            <w:pPr>
              <w:spacing w:line="240" w:lineRule="auto"/>
              <w:jc w:val="left"/>
            </w:pPr>
            <w:r>
              <w:rPr>
                <w:rFonts w:ascii="宋体" w:eastAsia="宋体" w:hAnsi="宋体" w:cs="宋体"/>
                <w:b w:val="0"/>
              </w:rPr>
              <w:t>信息技术</w:t>
            </w:r>
          </w:p>
        </w:tc>
        <w:tc>
          <w:tcPr>
            <w:tcW w:w="0" w:type="dxa"/>
            <w:vAlign w:val="center"/>
          </w:tcPr>
          <w:p>
            <w:pPr>
              <w:spacing w:line="240" w:lineRule="auto"/>
              <w:jc w:val="right"/>
            </w:pPr>
            <w:r>
              <w:rPr>
                <w:rFonts w:ascii="宋体" w:eastAsia="宋体" w:hAnsi="宋体" w:cs="宋体"/>
                <w:b w:val="0"/>
              </w:rPr>
              <w:t>11,602,123.16</w:t>
            </w:r>
          </w:p>
        </w:tc>
        <w:tc>
          <w:tcPr>
            <w:tcW w:w="0" w:type="dxa"/>
            <w:vAlign w:val="center"/>
          </w:tcPr>
          <w:p>
            <w:pPr>
              <w:spacing w:line="240" w:lineRule="auto"/>
              <w:jc w:val="right"/>
            </w:pPr>
            <w:r>
              <w:rPr>
                <w:rFonts w:ascii="宋体" w:eastAsia="宋体" w:hAnsi="宋体" w:cs="宋体"/>
                <w:b w:val="0"/>
              </w:rPr>
              <w:t>7.32</w:t>
            </w:r>
          </w:p>
        </w:tc>
      </w:tr>
      <w:tr>
        <w:tblPrEx>
          <w:tblW w:w="5000" w:type="pct"/>
        </w:tblPrEx>
        <w:tc>
          <w:tcPr>
            <w:tcW w:w="0" w:type="dxa"/>
            <w:vAlign w:val="center"/>
          </w:tcPr>
          <w:p>
            <w:pPr>
              <w:spacing w:line="240" w:lineRule="auto"/>
              <w:jc w:val="left"/>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11,602,123.16</w:t>
            </w:r>
          </w:p>
        </w:tc>
        <w:tc>
          <w:tcPr>
            <w:tcW w:w="0" w:type="dxa"/>
            <w:vAlign w:val="center"/>
          </w:tcPr>
          <w:p>
            <w:pPr>
              <w:spacing w:line="240" w:lineRule="auto"/>
              <w:jc w:val="right"/>
            </w:pPr>
            <w:r>
              <w:rPr>
                <w:rFonts w:ascii="宋体" w:eastAsia="宋体" w:hAnsi="宋体" w:cs="宋体"/>
                <w:b w:val="0"/>
              </w:rPr>
              <w:t>7.32</w:t>
            </w:r>
          </w:p>
        </w:tc>
      </w:tr>
    </w:tbl>
    <w:p/>
    <w:p>
      <w:pPr>
        <w:pStyle w:val="Heading2"/>
        <w:jc w:val="left"/>
      </w:pPr>
      <w:r>
        <w:rPr>
          <w:rFonts w:ascii="宋体" w:eastAsia="宋体" w:hAnsi="宋体" w:cs="宋体"/>
        </w:rPr>
        <w:t>5.3 报告期末按公允价值占基金资产净值比例大小排序的前十名股票投资明细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510"/>
        <w:gridCol w:w="1510"/>
        <w:gridCol w:w="1510"/>
        <w:gridCol w:w="1510"/>
        <w:gridCol w:w="1510"/>
        <w:gridCol w:w="151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序号</w:t>
            </w:r>
          </w:p>
        </w:tc>
        <w:tc>
          <w:tcPr>
            <w:tcW w:w="769" w:type="pct"/>
            <w:shd w:val="clear" w:color="auto" w:fill="D9D9D9"/>
            <w:vAlign w:val="center"/>
          </w:tcPr>
          <w:p>
            <w:pPr>
              <w:spacing w:line="240" w:lineRule="auto"/>
              <w:jc w:val="center"/>
            </w:pPr>
            <w:r>
              <w:rPr>
                <w:rFonts w:ascii="宋体" w:eastAsia="宋体" w:hAnsi="宋体" w:cs="宋体"/>
                <w:b w:val="0"/>
              </w:rPr>
              <w:t>股票代码</w:t>
            </w:r>
          </w:p>
        </w:tc>
        <w:tc>
          <w:tcPr>
            <w:tcW w:w="769" w:type="pct"/>
            <w:shd w:val="clear" w:color="auto" w:fill="D9D9D9"/>
            <w:vAlign w:val="center"/>
          </w:tcPr>
          <w:p>
            <w:pPr>
              <w:spacing w:line="240" w:lineRule="auto"/>
              <w:jc w:val="center"/>
            </w:pPr>
            <w:r>
              <w:rPr>
                <w:rFonts w:ascii="宋体" w:eastAsia="宋体" w:hAnsi="宋体" w:cs="宋体"/>
                <w:b w:val="0"/>
              </w:rPr>
              <w:t>股票名称</w:t>
            </w:r>
          </w:p>
        </w:tc>
        <w:tc>
          <w:tcPr>
            <w:tcW w:w="615" w:type="pct"/>
            <w:shd w:val="clear" w:color="auto" w:fill="D9D9D9"/>
            <w:vAlign w:val="center"/>
          </w:tcPr>
          <w:p>
            <w:pPr>
              <w:spacing w:line="240" w:lineRule="auto"/>
              <w:jc w:val="center"/>
            </w:pPr>
            <w:r>
              <w:rPr>
                <w:rFonts w:ascii="宋体" w:eastAsia="宋体" w:hAnsi="宋体" w:cs="宋体"/>
                <w:b w:val="0"/>
              </w:rPr>
              <w:t>数量(股)</w:t>
            </w:r>
          </w:p>
        </w:tc>
        <w:tc>
          <w:tcPr>
            <w:tcW w:w="923" w:type="pct"/>
            <w:shd w:val="clear" w:color="auto" w:fill="D9D9D9"/>
            <w:vAlign w:val="center"/>
          </w:tcPr>
          <w:p>
            <w:pPr>
              <w:spacing w:line="240" w:lineRule="auto"/>
              <w:jc w:val="center"/>
            </w:pPr>
            <w:r>
              <w:rPr>
                <w:rFonts w:ascii="宋体" w:eastAsia="宋体" w:hAnsi="宋体" w:cs="宋体"/>
                <w:b w:val="0"/>
              </w:rPr>
              <w:t>公允价值(元)</w:t>
            </w:r>
          </w:p>
        </w:tc>
        <w:tc>
          <w:tcPr>
            <w:tcW w:w="923" w:type="pct"/>
            <w:shd w:val="clear" w:color="auto" w:fill="D9D9D9"/>
            <w:vAlign w:val="center"/>
          </w:tcPr>
          <w:p>
            <w:pPr>
              <w:spacing w:line="240" w:lineRule="auto"/>
              <w:jc w:val="center"/>
            </w:pPr>
            <w:r>
              <w:rPr>
                <w:rFonts w:ascii="宋体" w:eastAsia="宋体" w:hAnsi="宋体" w:cs="宋体"/>
                <w:b w:val="0"/>
              </w:rPr>
              <w:t>占基金资产净值比例(%)</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688256</w:t>
            </w:r>
          </w:p>
        </w:tc>
        <w:tc>
          <w:tcPr>
            <w:tcW w:w="0" w:type="dxa"/>
            <w:vAlign w:val="center"/>
          </w:tcPr>
          <w:p>
            <w:pPr>
              <w:spacing w:line="240" w:lineRule="auto"/>
              <w:jc w:val="left"/>
            </w:pPr>
            <w:r>
              <w:rPr>
                <w:rFonts w:ascii="宋体" w:eastAsia="宋体" w:hAnsi="宋体" w:cs="宋体"/>
                <w:b w:val="0"/>
              </w:rPr>
              <w:t>寒武纪</w:t>
            </w:r>
          </w:p>
        </w:tc>
        <w:tc>
          <w:tcPr>
            <w:tcW w:w="0" w:type="dxa"/>
            <w:vAlign w:val="center"/>
          </w:tcPr>
          <w:p>
            <w:pPr>
              <w:spacing w:line="240" w:lineRule="auto"/>
              <w:jc w:val="right"/>
            </w:pPr>
            <w:r>
              <w:rPr>
                <w:rFonts w:ascii="宋体" w:eastAsia="宋体" w:hAnsi="宋体" w:cs="宋体"/>
                <w:b w:val="0"/>
              </w:rPr>
              <w:t>11,024</w:t>
            </w:r>
          </w:p>
        </w:tc>
        <w:tc>
          <w:tcPr>
            <w:tcW w:w="0" w:type="dxa"/>
            <w:vAlign w:val="center"/>
          </w:tcPr>
          <w:p>
            <w:pPr>
              <w:spacing w:line="240" w:lineRule="auto"/>
              <w:jc w:val="right"/>
            </w:pPr>
            <w:r>
              <w:rPr>
                <w:rFonts w:ascii="宋体" w:eastAsia="宋体" w:hAnsi="宋体" w:cs="宋体"/>
                <w:b w:val="0"/>
              </w:rPr>
              <w:t>11,123,326.24</w:t>
            </w:r>
          </w:p>
        </w:tc>
        <w:tc>
          <w:tcPr>
            <w:tcW w:w="0" w:type="dxa"/>
            <w:vAlign w:val="center"/>
          </w:tcPr>
          <w:p>
            <w:pPr>
              <w:spacing w:line="240" w:lineRule="auto"/>
              <w:jc w:val="right"/>
            </w:pPr>
            <w:r>
              <w:rPr>
                <w:rFonts w:ascii="宋体" w:eastAsia="宋体" w:hAnsi="宋体" w:cs="宋体"/>
                <w:b w:val="0"/>
              </w:rPr>
              <w:t>7.02</w:t>
            </w:r>
          </w:p>
        </w:tc>
      </w:tr>
      <w:tr>
        <w:tblPrEx>
          <w:tblW w:w="5000" w:type="pct"/>
        </w:tblPrEx>
        <w:tc>
          <w:tcPr>
            <w:tcW w:w="0" w:type="dxa"/>
            <w:vAlign w:val="center"/>
          </w:tcPr>
          <w:p>
            <w:pPr>
              <w:spacing w:line="240" w:lineRule="auto"/>
              <w:jc w:val="center"/>
            </w:pPr>
            <w:r>
              <w:rPr>
                <w:rFonts w:ascii="宋体" w:eastAsia="宋体" w:hAnsi="宋体" w:cs="宋体"/>
                <w:b w:val="0"/>
              </w:rPr>
              <w:t>2</w:t>
            </w:r>
          </w:p>
        </w:tc>
        <w:tc>
          <w:tcPr>
            <w:tcW w:w="0" w:type="dxa"/>
            <w:vAlign w:val="center"/>
          </w:tcPr>
          <w:p>
            <w:pPr>
              <w:spacing w:line="240" w:lineRule="auto"/>
              <w:jc w:val="left"/>
            </w:pPr>
            <w:r>
              <w:rPr>
                <w:rFonts w:ascii="宋体" w:eastAsia="宋体" w:hAnsi="宋体" w:cs="宋体"/>
                <w:b w:val="0"/>
              </w:rPr>
              <w:t>688041</w:t>
            </w:r>
          </w:p>
        </w:tc>
        <w:tc>
          <w:tcPr>
            <w:tcW w:w="0" w:type="dxa"/>
            <w:vAlign w:val="center"/>
          </w:tcPr>
          <w:p>
            <w:pPr>
              <w:spacing w:line="240" w:lineRule="auto"/>
              <w:jc w:val="left"/>
            </w:pPr>
            <w:r>
              <w:rPr>
                <w:rFonts w:ascii="宋体" w:eastAsia="宋体" w:hAnsi="宋体" w:cs="宋体"/>
                <w:b w:val="0"/>
              </w:rPr>
              <w:t>海光信息</w:t>
            </w:r>
          </w:p>
        </w:tc>
        <w:tc>
          <w:tcPr>
            <w:tcW w:w="0" w:type="dxa"/>
            <w:vAlign w:val="center"/>
          </w:tcPr>
          <w:p>
            <w:pPr>
              <w:spacing w:line="240" w:lineRule="auto"/>
              <w:jc w:val="right"/>
            </w:pPr>
            <w:r>
              <w:rPr>
                <w:rFonts w:ascii="宋体" w:eastAsia="宋体" w:hAnsi="宋体" w:cs="宋体"/>
                <w:b w:val="0"/>
              </w:rPr>
              <w:t>47,200</w:t>
            </w:r>
          </w:p>
        </w:tc>
        <w:tc>
          <w:tcPr>
            <w:tcW w:w="0" w:type="dxa"/>
            <w:vAlign w:val="center"/>
          </w:tcPr>
          <w:p>
            <w:pPr>
              <w:spacing w:line="240" w:lineRule="auto"/>
              <w:jc w:val="right"/>
            </w:pPr>
            <w:r>
              <w:rPr>
                <w:rFonts w:ascii="宋体" w:eastAsia="宋体" w:hAnsi="宋体" w:cs="宋体"/>
                <w:b w:val="0"/>
              </w:rPr>
              <w:t>10,704,960.00</w:t>
            </w:r>
          </w:p>
        </w:tc>
        <w:tc>
          <w:tcPr>
            <w:tcW w:w="0" w:type="dxa"/>
            <w:vAlign w:val="center"/>
          </w:tcPr>
          <w:p>
            <w:pPr>
              <w:spacing w:line="240" w:lineRule="auto"/>
              <w:jc w:val="right"/>
            </w:pPr>
            <w:r>
              <w:rPr>
                <w:rFonts w:ascii="宋体" w:eastAsia="宋体" w:hAnsi="宋体" w:cs="宋体"/>
                <w:b w:val="0"/>
              </w:rPr>
              <w:t>6.75</w:t>
            </w:r>
          </w:p>
        </w:tc>
      </w:tr>
      <w:tr>
        <w:tblPrEx>
          <w:tblW w:w="5000" w:type="pct"/>
        </w:tblPrEx>
        <w:tc>
          <w:tcPr>
            <w:tcW w:w="0" w:type="dxa"/>
            <w:vAlign w:val="center"/>
          </w:tcPr>
          <w:p>
            <w:pPr>
              <w:spacing w:line="240" w:lineRule="auto"/>
              <w:jc w:val="center"/>
            </w:pPr>
            <w:r>
              <w:rPr>
                <w:rFonts w:ascii="宋体" w:eastAsia="宋体" w:hAnsi="宋体" w:cs="宋体"/>
                <w:b w:val="0"/>
              </w:rPr>
              <w:t>3</w:t>
            </w:r>
          </w:p>
        </w:tc>
        <w:tc>
          <w:tcPr>
            <w:tcW w:w="0" w:type="dxa"/>
            <w:vAlign w:val="center"/>
          </w:tcPr>
          <w:p>
            <w:pPr>
              <w:spacing w:line="240" w:lineRule="auto"/>
              <w:jc w:val="left"/>
            </w:pPr>
            <w:r>
              <w:rPr>
                <w:rFonts w:ascii="宋体" w:eastAsia="宋体" w:hAnsi="宋体" w:cs="宋体"/>
                <w:b w:val="0"/>
              </w:rPr>
              <w:t>688702</w:t>
            </w:r>
          </w:p>
        </w:tc>
        <w:tc>
          <w:tcPr>
            <w:tcW w:w="0" w:type="dxa"/>
            <w:vAlign w:val="center"/>
          </w:tcPr>
          <w:p>
            <w:pPr>
              <w:spacing w:line="240" w:lineRule="auto"/>
              <w:jc w:val="left"/>
            </w:pPr>
            <w:r>
              <w:rPr>
                <w:rFonts w:ascii="宋体" w:eastAsia="宋体" w:hAnsi="宋体" w:cs="宋体"/>
                <w:b w:val="0"/>
              </w:rPr>
              <w:t>盛科通信</w:t>
            </w:r>
          </w:p>
        </w:tc>
        <w:tc>
          <w:tcPr>
            <w:tcW w:w="0" w:type="dxa"/>
            <w:vAlign w:val="center"/>
          </w:tcPr>
          <w:p>
            <w:pPr>
              <w:spacing w:line="240" w:lineRule="auto"/>
              <w:jc w:val="right"/>
            </w:pPr>
            <w:r>
              <w:rPr>
                <w:rFonts w:ascii="宋体" w:eastAsia="宋体" w:hAnsi="宋体" w:cs="宋体"/>
                <w:b w:val="0"/>
              </w:rPr>
              <w:t>35,170</w:t>
            </w:r>
          </w:p>
        </w:tc>
        <w:tc>
          <w:tcPr>
            <w:tcW w:w="0" w:type="dxa"/>
            <w:vAlign w:val="center"/>
          </w:tcPr>
          <w:p>
            <w:pPr>
              <w:spacing w:line="240" w:lineRule="auto"/>
              <w:jc w:val="right"/>
            </w:pPr>
            <w:r>
              <w:rPr>
                <w:rFonts w:ascii="宋体" w:eastAsia="宋体" w:hAnsi="宋体" w:cs="宋体"/>
                <w:b w:val="0"/>
              </w:rPr>
              <w:t>10,020,284.70</w:t>
            </w:r>
          </w:p>
        </w:tc>
        <w:tc>
          <w:tcPr>
            <w:tcW w:w="0" w:type="dxa"/>
            <w:vAlign w:val="center"/>
          </w:tcPr>
          <w:p>
            <w:pPr>
              <w:spacing w:line="240" w:lineRule="auto"/>
              <w:jc w:val="right"/>
            </w:pPr>
            <w:r>
              <w:rPr>
                <w:rFonts w:ascii="宋体" w:eastAsia="宋体" w:hAnsi="宋体" w:cs="宋体"/>
                <w:b w:val="0"/>
              </w:rPr>
              <w:t>6.32</w:t>
            </w:r>
          </w:p>
        </w:tc>
      </w:tr>
      <w:tr>
        <w:tblPrEx>
          <w:tblW w:w="5000" w:type="pct"/>
        </w:tblPrEx>
        <w:tc>
          <w:tcPr>
            <w:tcW w:w="0" w:type="dxa"/>
            <w:vAlign w:val="center"/>
          </w:tcPr>
          <w:p>
            <w:pPr>
              <w:spacing w:line="240" w:lineRule="auto"/>
              <w:jc w:val="center"/>
            </w:pPr>
            <w:r>
              <w:rPr>
                <w:rFonts w:ascii="宋体" w:eastAsia="宋体" w:hAnsi="宋体" w:cs="宋体"/>
                <w:b w:val="0"/>
              </w:rPr>
              <w:t>4</w:t>
            </w:r>
          </w:p>
        </w:tc>
        <w:tc>
          <w:tcPr>
            <w:tcW w:w="0" w:type="dxa"/>
            <w:vAlign w:val="center"/>
          </w:tcPr>
          <w:p>
            <w:pPr>
              <w:spacing w:line="240" w:lineRule="auto"/>
              <w:jc w:val="left"/>
            </w:pPr>
            <w:r>
              <w:rPr>
                <w:rFonts w:ascii="宋体" w:eastAsia="宋体" w:hAnsi="宋体" w:cs="宋体"/>
                <w:b w:val="0"/>
              </w:rPr>
              <w:t>688629</w:t>
            </w:r>
          </w:p>
        </w:tc>
        <w:tc>
          <w:tcPr>
            <w:tcW w:w="0" w:type="dxa"/>
            <w:vAlign w:val="center"/>
          </w:tcPr>
          <w:p>
            <w:pPr>
              <w:spacing w:line="240" w:lineRule="auto"/>
              <w:jc w:val="left"/>
            </w:pPr>
            <w:r>
              <w:rPr>
                <w:rFonts w:ascii="宋体" w:eastAsia="宋体" w:hAnsi="宋体" w:cs="宋体"/>
                <w:b w:val="0"/>
              </w:rPr>
              <w:t>华丰科技</w:t>
            </w:r>
          </w:p>
        </w:tc>
        <w:tc>
          <w:tcPr>
            <w:tcW w:w="0" w:type="dxa"/>
            <w:vAlign w:val="center"/>
          </w:tcPr>
          <w:p>
            <w:pPr>
              <w:spacing w:line="240" w:lineRule="auto"/>
              <w:jc w:val="right"/>
            </w:pPr>
            <w:r>
              <w:rPr>
                <w:rFonts w:ascii="宋体" w:eastAsia="宋体" w:hAnsi="宋体" w:cs="宋体"/>
                <w:b w:val="0"/>
              </w:rPr>
              <w:t>96,488</w:t>
            </w:r>
          </w:p>
        </w:tc>
        <w:tc>
          <w:tcPr>
            <w:tcW w:w="0" w:type="dxa"/>
            <w:vAlign w:val="center"/>
          </w:tcPr>
          <w:p>
            <w:pPr>
              <w:spacing w:line="240" w:lineRule="auto"/>
              <w:jc w:val="right"/>
            </w:pPr>
            <w:r>
              <w:rPr>
                <w:rFonts w:ascii="宋体" w:eastAsia="宋体" w:hAnsi="宋体" w:cs="宋体"/>
                <w:b w:val="0"/>
              </w:rPr>
              <w:t>9,779,058.80</w:t>
            </w:r>
          </w:p>
        </w:tc>
        <w:tc>
          <w:tcPr>
            <w:tcW w:w="0" w:type="dxa"/>
            <w:vAlign w:val="center"/>
          </w:tcPr>
          <w:p>
            <w:pPr>
              <w:spacing w:line="240" w:lineRule="auto"/>
              <w:jc w:val="right"/>
            </w:pPr>
            <w:r>
              <w:rPr>
                <w:rFonts w:ascii="宋体" w:eastAsia="宋体" w:hAnsi="宋体" w:cs="宋体"/>
                <w:b w:val="0"/>
              </w:rPr>
              <w:t>6.17</w:t>
            </w:r>
          </w:p>
        </w:tc>
      </w:tr>
      <w:tr>
        <w:tblPrEx>
          <w:tblW w:w="5000" w:type="pct"/>
        </w:tblPrEx>
        <w:tc>
          <w:tcPr>
            <w:tcW w:w="0" w:type="dxa"/>
            <w:vAlign w:val="center"/>
          </w:tcPr>
          <w:p>
            <w:pPr>
              <w:spacing w:line="240" w:lineRule="auto"/>
              <w:jc w:val="center"/>
            </w:pPr>
            <w:r>
              <w:rPr>
                <w:rFonts w:ascii="宋体" w:eastAsia="宋体" w:hAnsi="宋体" w:cs="宋体"/>
                <w:b w:val="0"/>
              </w:rPr>
              <w:t>5</w:t>
            </w:r>
          </w:p>
        </w:tc>
        <w:tc>
          <w:tcPr>
            <w:tcW w:w="0" w:type="dxa"/>
            <w:vAlign w:val="center"/>
          </w:tcPr>
          <w:p>
            <w:pPr>
              <w:spacing w:line="240" w:lineRule="auto"/>
              <w:jc w:val="left"/>
            </w:pPr>
            <w:r>
              <w:rPr>
                <w:rFonts w:ascii="宋体" w:eastAsia="宋体" w:hAnsi="宋体" w:cs="宋体"/>
                <w:b w:val="0"/>
              </w:rPr>
              <w:t>688521</w:t>
            </w:r>
          </w:p>
        </w:tc>
        <w:tc>
          <w:tcPr>
            <w:tcW w:w="0" w:type="dxa"/>
            <w:vAlign w:val="center"/>
          </w:tcPr>
          <w:p>
            <w:pPr>
              <w:spacing w:line="240" w:lineRule="auto"/>
              <w:jc w:val="left"/>
            </w:pPr>
            <w:r>
              <w:rPr>
                <w:rFonts w:ascii="宋体" w:eastAsia="宋体" w:hAnsi="宋体" w:cs="宋体"/>
                <w:b w:val="0"/>
              </w:rPr>
              <w:t>芯原股份</w:t>
            </w:r>
          </w:p>
        </w:tc>
        <w:tc>
          <w:tcPr>
            <w:tcW w:w="0" w:type="dxa"/>
            <w:vAlign w:val="center"/>
          </w:tcPr>
          <w:p>
            <w:pPr>
              <w:spacing w:line="240" w:lineRule="auto"/>
              <w:jc w:val="right"/>
            </w:pPr>
            <w:r>
              <w:rPr>
                <w:rFonts w:ascii="宋体" w:eastAsia="宋体" w:hAnsi="宋体" w:cs="宋体"/>
                <w:b w:val="0"/>
              </w:rPr>
              <w:t>55,726</w:t>
            </w:r>
          </w:p>
        </w:tc>
        <w:tc>
          <w:tcPr>
            <w:tcW w:w="0" w:type="dxa"/>
            <w:vAlign w:val="center"/>
          </w:tcPr>
          <w:p>
            <w:pPr>
              <w:spacing w:line="240" w:lineRule="auto"/>
              <w:jc w:val="right"/>
            </w:pPr>
            <w:r>
              <w:rPr>
                <w:rFonts w:ascii="宋体" w:eastAsia="宋体" w:hAnsi="宋体" w:cs="宋体"/>
                <w:b w:val="0"/>
              </w:rPr>
              <w:t>9,567,039.68</w:t>
            </w:r>
          </w:p>
        </w:tc>
        <w:tc>
          <w:tcPr>
            <w:tcW w:w="0" w:type="dxa"/>
            <w:vAlign w:val="center"/>
          </w:tcPr>
          <w:p>
            <w:pPr>
              <w:spacing w:line="240" w:lineRule="auto"/>
              <w:jc w:val="right"/>
            </w:pPr>
            <w:r>
              <w:rPr>
                <w:rFonts w:ascii="宋体" w:eastAsia="宋体" w:hAnsi="宋体" w:cs="宋体"/>
                <w:b w:val="0"/>
              </w:rPr>
              <w:t>6.03</w:t>
            </w:r>
          </w:p>
        </w:tc>
      </w:tr>
      <w:tr>
        <w:tblPrEx>
          <w:tblW w:w="5000" w:type="pct"/>
        </w:tblPrEx>
        <w:tc>
          <w:tcPr>
            <w:tcW w:w="0" w:type="dxa"/>
            <w:vAlign w:val="center"/>
          </w:tcPr>
          <w:p>
            <w:pPr>
              <w:spacing w:line="240" w:lineRule="auto"/>
              <w:jc w:val="center"/>
            </w:pPr>
            <w:r>
              <w:rPr>
                <w:rFonts w:ascii="宋体" w:eastAsia="宋体" w:hAnsi="宋体" w:cs="宋体"/>
                <w:b w:val="0"/>
              </w:rPr>
              <w:t>6</w:t>
            </w:r>
          </w:p>
        </w:tc>
        <w:tc>
          <w:tcPr>
            <w:tcW w:w="0" w:type="dxa"/>
            <w:vAlign w:val="center"/>
          </w:tcPr>
          <w:p>
            <w:pPr>
              <w:spacing w:line="240" w:lineRule="auto"/>
              <w:jc w:val="left"/>
            </w:pPr>
            <w:r>
              <w:rPr>
                <w:rFonts w:ascii="宋体" w:eastAsia="宋体" w:hAnsi="宋体" w:cs="宋体"/>
                <w:b w:val="0"/>
              </w:rPr>
              <w:t>002281</w:t>
            </w:r>
          </w:p>
        </w:tc>
        <w:tc>
          <w:tcPr>
            <w:tcW w:w="0" w:type="dxa"/>
            <w:vAlign w:val="center"/>
          </w:tcPr>
          <w:p>
            <w:pPr>
              <w:spacing w:line="240" w:lineRule="auto"/>
              <w:jc w:val="left"/>
            </w:pPr>
            <w:r>
              <w:rPr>
                <w:rFonts w:ascii="宋体" w:eastAsia="宋体" w:hAnsi="宋体" w:cs="宋体"/>
                <w:b w:val="0"/>
              </w:rPr>
              <w:t>光迅科技</w:t>
            </w:r>
          </w:p>
        </w:tc>
        <w:tc>
          <w:tcPr>
            <w:tcW w:w="0" w:type="dxa"/>
            <w:vAlign w:val="center"/>
          </w:tcPr>
          <w:p>
            <w:pPr>
              <w:spacing w:line="240" w:lineRule="auto"/>
              <w:jc w:val="right"/>
            </w:pPr>
            <w:r>
              <w:rPr>
                <w:rFonts w:ascii="宋体" w:eastAsia="宋体" w:hAnsi="宋体" w:cs="宋体"/>
                <w:b w:val="0"/>
              </w:rPr>
              <w:t>56,000</w:t>
            </w:r>
          </w:p>
        </w:tc>
        <w:tc>
          <w:tcPr>
            <w:tcW w:w="0" w:type="dxa"/>
            <w:vAlign w:val="center"/>
          </w:tcPr>
          <w:p>
            <w:pPr>
              <w:spacing w:line="240" w:lineRule="auto"/>
              <w:jc w:val="right"/>
            </w:pPr>
            <w:r>
              <w:rPr>
                <w:rFonts w:ascii="宋体" w:eastAsia="宋体" w:hAnsi="宋体" w:cs="宋体"/>
                <w:b w:val="0"/>
              </w:rPr>
              <w:t>9,233,280.00</w:t>
            </w:r>
          </w:p>
        </w:tc>
        <w:tc>
          <w:tcPr>
            <w:tcW w:w="0" w:type="dxa"/>
            <w:vAlign w:val="center"/>
          </w:tcPr>
          <w:p>
            <w:pPr>
              <w:spacing w:line="240" w:lineRule="auto"/>
              <w:jc w:val="right"/>
            </w:pPr>
            <w:r>
              <w:rPr>
                <w:rFonts w:ascii="宋体" w:eastAsia="宋体" w:hAnsi="宋体" w:cs="宋体"/>
                <w:b w:val="0"/>
              </w:rPr>
              <w:t>5.82</w:t>
            </w:r>
          </w:p>
        </w:tc>
      </w:tr>
      <w:tr>
        <w:tblPrEx>
          <w:tblW w:w="5000" w:type="pct"/>
        </w:tblPrEx>
        <w:tc>
          <w:tcPr>
            <w:tcW w:w="0" w:type="dxa"/>
            <w:vAlign w:val="center"/>
          </w:tcPr>
          <w:p>
            <w:pPr>
              <w:spacing w:line="240" w:lineRule="auto"/>
              <w:jc w:val="center"/>
            </w:pPr>
            <w:r>
              <w:rPr>
                <w:rFonts w:ascii="宋体" w:eastAsia="宋体" w:hAnsi="宋体" w:cs="宋体"/>
                <w:b w:val="0"/>
              </w:rPr>
              <w:t>7</w:t>
            </w:r>
          </w:p>
        </w:tc>
        <w:tc>
          <w:tcPr>
            <w:tcW w:w="0" w:type="dxa"/>
            <w:vAlign w:val="center"/>
          </w:tcPr>
          <w:p>
            <w:pPr>
              <w:spacing w:line="240" w:lineRule="auto"/>
              <w:jc w:val="left"/>
            </w:pPr>
            <w:r>
              <w:rPr>
                <w:rFonts w:ascii="宋体" w:eastAsia="宋体" w:hAnsi="宋体" w:cs="宋体"/>
                <w:b w:val="0"/>
              </w:rPr>
              <w:t>688141</w:t>
            </w:r>
          </w:p>
        </w:tc>
        <w:tc>
          <w:tcPr>
            <w:tcW w:w="0" w:type="dxa"/>
            <w:vAlign w:val="center"/>
          </w:tcPr>
          <w:p>
            <w:pPr>
              <w:spacing w:line="240" w:lineRule="auto"/>
              <w:jc w:val="left"/>
            </w:pPr>
            <w:r>
              <w:rPr>
                <w:rFonts w:ascii="宋体" w:eastAsia="宋体" w:hAnsi="宋体" w:cs="宋体"/>
                <w:b w:val="0"/>
              </w:rPr>
              <w:t>杰华特</w:t>
            </w:r>
          </w:p>
        </w:tc>
        <w:tc>
          <w:tcPr>
            <w:tcW w:w="0" w:type="dxa"/>
            <w:vAlign w:val="center"/>
          </w:tcPr>
          <w:p>
            <w:pPr>
              <w:spacing w:line="240" w:lineRule="auto"/>
              <w:jc w:val="right"/>
            </w:pPr>
            <w:r>
              <w:rPr>
                <w:rFonts w:ascii="宋体" w:eastAsia="宋体" w:hAnsi="宋体" w:cs="宋体"/>
                <w:b w:val="0"/>
              </w:rPr>
              <w:t>77,019</w:t>
            </w:r>
          </w:p>
        </w:tc>
        <w:tc>
          <w:tcPr>
            <w:tcW w:w="0" w:type="dxa"/>
            <w:vAlign w:val="center"/>
          </w:tcPr>
          <w:p>
            <w:pPr>
              <w:spacing w:line="240" w:lineRule="auto"/>
              <w:jc w:val="right"/>
            </w:pPr>
            <w:r>
              <w:rPr>
                <w:rFonts w:ascii="宋体" w:eastAsia="宋体" w:hAnsi="宋体" w:cs="宋体"/>
                <w:b w:val="0"/>
              </w:rPr>
              <w:t>7,316,805.00</w:t>
            </w:r>
          </w:p>
        </w:tc>
        <w:tc>
          <w:tcPr>
            <w:tcW w:w="0" w:type="dxa"/>
            <w:vAlign w:val="center"/>
          </w:tcPr>
          <w:p>
            <w:pPr>
              <w:spacing w:line="240" w:lineRule="auto"/>
              <w:jc w:val="right"/>
            </w:pPr>
            <w:r>
              <w:rPr>
                <w:rFonts w:ascii="宋体" w:eastAsia="宋体" w:hAnsi="宋体" w:cs="宋体"/>
                <w:b w:val="0"/>
              </w:rPr>
              <w:t>4.61</w:t>
            </w:r>
          </w:p>
        </w:tc>
      </w:tr>
      <w:tr>
        <w:tblPrEx>
          <w:tblW w:w="5000" w:type="pct"/>
        </w:tblPrEx>
        <w:tc>
          <w:tcPr>
            <w:tcW w:w="0" w:type="dxa"/>
            <w:vAlign w:val="center"/>
          </w:tcPr>
          <w:p>
            <w:pPr>
              <w:spacing w:line="240" w:lineRule="auto"/>
              <w:jc w:val="center"/>
            </w:pPr>
            <w:r>
              <w:rPr>
                <w:rFonts w:ascii="宋体" w:eastAsia="宋体" w:hAnsi="宋体" w:cs="宋体"/>
                <w:b w:val="0"/>
              </w:rPr>
              <w:t>8</w:t>
            </w:r>
          </w:p>
        </w:tc>
        <w:tc>
          <w:tcPr>
            <w:tcW w:w="0" w:type="dxa"/>
            <w:vAlign w:val="center"/>
          </w:tcPr>
          <w:p>
            <w:pPr>
              <w:spacing w:line="240" w:lineRule="auto"/>
              <w:jc w:val="left"/>
            </w:pPr>
            <w:r>
              <w:rPr>
                <w:rFonts w:ascii="宋体" w:eastAsia="宋体" w:hAnsi="宋体" w:cs="宋体"/>
                <w:b w:val="0"/>
              </w:rPr>
              <w:t>688802</w:t>
            </w:r>
          </w:p>
        </w:tc>
        <w:tc>
          <w:tcPr>
            <w:tcW w:w="0" w:type="dxa"/>
            <w:vAlign w:val="center"/>
          </w:tcPr>
          <w:p>
            <w:pPr>
              <w:spacing w:line="240" w:lineRule="auto"/>
              <w:jc w:val="left"/>
            </w:pPr>
            <w:r>
              <w:rPr>
                <w:rFonts w:ascii="宋体" w:eastAsia="宋体" w:hAnsi="宋体" w:cs="宋体"/>
                <w:b w:val="0"/>
              </w:rPr>
              <w:t>沐曦股份</w:t>
            </w:r>
          </w:p>
        </w:tc>
        <w:tc>
          <w:tcPr>
            <w:tcW w:w="0" w:type="dxa"/>
            <w:vAlign w:val="center"/>
          </w:tcPr>
          <w:p>
            <w:pPr>
              <w:spacing w:line="240" w:lineRule="auto"/>
              <w:jc w:val="right"/>
            </w:pPr>
            <w:r>
              <w:rPr>
                <w:rFonts w:ascii="宋体" w:eastAsia="宋体" w:hAnsi="宋体" w:cs="宋体"/>
                <w:b w:val="0"/>
              </w:rPr>
              <w:t>14,491</w:t>
            </w:r>
          </w:p>
        </w:tc>
        <w:tc>
          <w:tcPr>
            <w:tcW w:w="0" w:type="dxa"/>
            <w:vAlign w:val="center"/>
          </w:tcPr>
          <w:p>
            <w:pPr>
              <w:spacing w:line="240" w:lineRule="auto"/>
              <w:jc w:val="right"/>
            </w:pPr>
            <w:r>
              <w:rPr>
                <w:rFonts w:ascii="宋体" w:eastAsia="宋体" w:hAnsi="宋体" w:cs="宋体"/>
                <w:b w:val="0"/>
              </w:rPr>
              <w:t>7,203,186.28</w:t>
            </w:r>
          </w:p>
        </w:tc>
        <w:tc>
          <w:tcPr>
            <w:tcW w:w="0" w:type="dxa"/>
            <w:vAlign w:val="center"/>
          </w:tcPr>
          <w:p>
            <w:pPr>
              <w:spacing w:line="240" w:lineRule="auto"/>
              <w:jc w:val="right"/>
            </w:pPr>
            <w:r>
              <w:rPr>
                <w:rFonts w:ascii="宋体" w:eastAsia="宋体" w:hAnsi="宋体" w:cs="宋体"/>
                <w:b w:val="0"/>
              </w:rPr>
              <w:t>4.54</w:t>
            </w:r>
          </w:p>
        </w:tc>
      </w:tr>
      <w:tr>
        <w:tblPrEx>
          <w:tblW w:w="5000" w:type="pct"/>
        </w:tblPrEx>
        <w:tc>
          <w:tcPr>
            <w:tcW w:w="0" w:type="dxa"/>
            <w:vAlign w:val="center"/>
          </w:tcPr>
          <w:p>
            <w:pPr>
              <w:spacing w:line="240" w:lineRule="auto"/>
              <w:jc w:val="center"/>
            </w:pPr>
            <w:r>
              <w:rPr>
                <w:rFonts w:ascii="宋体" w:eastAsia="宋体" w:hAnsi="宋体" w:cs="宋体"/>
                <w:b w:val="0"/>
              </w:rPr>
              <w:t>9</w:t>
            </w:r>
          </w:p>
        </w:tc>
        <w:tc>
          <w:tcPr>
            <w:tcW w:w="0" w:type="dxa"/>
            <w:vAlign w:val="center"/>
          </w:tcPr>
          <w:p>
            <w:pPr>
              <w:spacing w:line="240" w:lineRule="auto"/>
              <w:jc w:val="left"/>
            </w:pPr>
            <w:r>
              <w:rPr>
                <w:rFonts w:ascii="宋体" w:eastAsia="宋体" w:hAnsi="宋体" w:cs="宋体"/>
                <w:b w:val="0"/>
              </w:rPr>
              <w:t>688368</w:t>
            </w:r>
          </w:p>
        </w:tc>
        <w:tc>
          <w:tcPr>
            <w:tcW w:w="0" w:type="dxa"/>
            <w:vAlign w:val="center"/>
          </w:tcPr>
          <w:p>
            <w:pPr>
              <w:spacing w:line="240" w:lineRule="auto"/>
              <w:jc w:val="left"/>
            </w:pPr>
            <w:r>
              <w:rPr>
                <w:rFonts w:ascii="宋体" w:eastAsia="宋体" w:hAnsi="宋体" w:cs="宋体"/>
                <w:b w:val="0"/>
              </w:rPr>
              <w:t>晶丰明源</w:t>
            </w:r>
          </w:p>
        </w:tc>
        <w:tc>
          <w:tcPr>
            <w:tcW w:w="0" w:type="dxa"/>
            <w:vAlign w:val="center"/>
          </w:tcPr>
          <w:p>
            <w:pPr>
              <w:spacing w:line="240" w:lineRule="auto"/>
              <w:jc w:val="right"/>
            </w:pPr>
            <w:r>
              <w:rPr>
                <w:rFonts w:ascii="宋体" w:eastAsia="宋体" w:hAnsi="宋体" w:cs="宋体"/>
                <w:b w:val="0"/>
              </w:rPr>
              <w:t>58,951</w:t>
            </w:r>
          </w:p>
        </w:tc>
        <w:tc>
          <w:tcPr>
            <w:tcW w:w="0" w:type="dxa"/>
            <w:vAlign w:val="center"/>
          </w:tcPr>
          <w:p>
            <w:pPr>
              <w:spacing w:line="240" w:lineRule="auto"/>
              <w:jc w:val="right"/>
            </w:pPr>
            <w:r>
              <w:rPr>
                <w:rFonts w:ascii="宋体" w:eastAsia="宋体" w:hAnsi="宋体" w:cs="宋体"/>
                <w:b w:val="0"/>
              </w:rPr>
              <w:t>7,117,154.23</w:t>
            </w:r>
          </w:p>
        </w:tc>
        <w:tc>
          <w:tcPr>
            <w:tcW w:w="0" w:type="dxa"/>
            <w:vAlign w:val="center"/>
          </w:tcPr>
          <w:p>
            <w:pPr>
              <w:spacing w:line="240" w:lineRule="auto"/>
              <w:jc w:val="right"/>
            </w:pPr>
            <w:r>
              <w:rPr>
                <w:rFonts w:ascii="宋体" w:eastAsia="宋体" w:hAnsi="宋体" w:cs="宋体"/>
                <w:b w:val="0"/>
              </w:rPr>
              <w:t>4.49</w:t>
            </w:r>
          </w:p>
        </w:tc>
      </w:tr>
      <w:tr>
        <w:tblPrEx>
          <w:tblW w:w="5000" w:type="pct"/>
        </w:tblPrEx>
        <w:tc>
          <w:tcPr>
            <w:tcW w:w="0" w:type="dxa"/>
            <w:vAlign w:val="center"/>
          </w:tcPr>
          <w:p>
            <w:pPr>
              <w:spacing w:line="240" w:lineRule="auto"/>
              <w:jc w:val="center"/>
            </w:pPr>
            <w:r>
              <w:rPr>
                <w:rFonts w:ascii="宋体" w:eastAsia="宋体" w:hAnsi="宋体" w:cs="宋体"/>
                <w:b w:val="0"/>
              </w:rPr>
              <w:t>10</w:t>
            </w:r>
          </w:p>
        </w:tc>
        <w:tc>
          <w:tcPr>
            <w:tcW w:w="0" w:type="dxa"/>
            <w:vAlign w:val="center"/>
          </w:tcPr>
          <w:p>
            <w:pPr>
              <w:spacing w:line="240" w:lineRule="auto"/>
              <w:jc w:val="left"/>
            </w:pPr>
            <w:r>
              <w:rPr>
                <w:rFonts w:ascii="宋体" w:eastAsia="宋体" w:hAnsi="宋体" w:cs="宋体"/>
                <w:b w:val="0"/>
              </w:rPr>
              <w:t>000988</w:t>
            </w:r>
          </w:p>
        </w:tc>
        <w:tc>
          <w:tcPr>
            <w:tcW w:w="0" w:type="dxa"/>
            <w:vAlign w:val="center"/>
          </w:tcPr>
          <w:p>
            <w:pPr>
              <w:spacing w:line="240" w:lineRule="auto"/>
              <w:jc w:val="left"/>
            </w:pPr>
            <w:r>
              <w:rPr>
                <w:rFonts w:ascii="宋体" w:eastAsia="宋体" w:hAnsi="宋体" w:cs="宋体"/>
                <w:b w:val="0"/>
              </w:rPr>
              <w:t>华工科技</w:t>
            </w:r>
          </w:p>
        </w:tc>
        <w:tc>
          <w:tcPr>
            <w:tcW w:w="0" w:type="dxa"/>
            <w:vAlign w:val="center"/>
          </w:tcPr>
          <w:p>
            <w:pPr>
              <w:spacing w:line="240" w:lineRule="auto"/>
              <w:jc w:val="right"/>
            </w:pPr>
            <w:r>
              <w:rPr>
                <w:rFonts w:ascii="宋体" w:eastAsia="宋体" w:hAnsi="宋体" w:cs="宋体"/>
                <w:b w:val="0"/>
              </w:rPr>
              <w:t>75,188</w:t>
            </w:r>
          </w:p>
        </w:tc>
        <w:tc>
          <w:tcPr>
            <w:tcW w:w="0" w:type="dxa"/>
            <w:vAlign w:val="center"/>
          </w:tcPr>
          <w:p>
            <w:pPr>
              <w:spacing w:line="240" w:lineRule="auto"/>
              <w:jc w:val="right"/>
            </w:pPr>
            <w:r>
              <w:rPr>
                <w:rFonts w:ascii="宋体" w:eastAsia="宋体" w:hAnsi="宋体" w:cs="宋体"/>
                <w:b w:val="0"/>
              </w:rPr>
              <w:t>6,936,093.00</w:t>
            </w:r>
          </w:p>
        </w:tc>
        <w:tc>
          <w:tcPr>
            <w:tcW w:w="0" w:type="dxa"/>
            <w:vAlign w:val="center"/>
          </w:tcPr>
          <w:p>
            <w:pPr>
              <w:spacing w:line="240" w:lineRule="auto"/>
              <w:jc w:val="right"/>
            </w:pPr>
            <w:r>
              <w:rPr>
                <w:rFonts w:ascii="宋体" w:eastAsia="宋体" w:hAnsi="宋体" w:cs="宋体"/>
                <w:b w:val="0"/>
              </w:rPr>
              <w:t>4.37</w:t>
            </w:r>
          </w:p>
        </w:tc>
      </w:tr>
    </w:tbl>
    <w:p/>
    <w:p>
      <w:pPr>
        <w:pStyle w:val="Heading2"/>
        <w:jc w:val="left"/>
      </w:pPr>
      <w:r>
        <w:rPr>
          <w:rFonts w:ascii="宋体" w:eastAsia="宋体" w:hAnsi="宋体" w:cs="宋体"/>
        </w:rPr>
        <w:t>5.4 报告期末按债券品种分类的债券投资组合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266"/>
        <w:gridCol w:w="2266"/>
        <w:gridCol w:w="2266"/>
        <w:gridCol w:w="2266"/>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序号</w:t>
            </w:r>
          </w:p>
        </w:tc>
        <w:tc>
          <w:tcPr>
            <w:tcW w:w="1538" w:type="pct"/>
            <w:shd w:val="clear" w:color="auto" w:fill="D9D9D9"/>
            <w:vAlign w:val="center"/>
          </w:tcPr>
          <w:p>
            <w:pPr>
              <w:spacing w:line="240" w:lineRule="auto"/>
              <w:jc w:val="center"/>
            </w:pPr>
            <w:r>
              <w:rPr>
                <w:rFonts w:ascii="宋体" w:eastAsia="宋体" w:hAnsi="宋体" w:cs="宋体"/>
                <w:b w:val="0"/>
              </w:rPr>
              <w:t>债券品种</w:t>
            </w:r>
          </w:p>
        </w:tc>
        <w:tc>
          <w:tcPr>
            <w:tcW w:w="769" w:type="pct"/>
            <w:shd w:val="clear" w:color="auto" w:fill="D9D9D9"/>
            <w:vAlign w:val="center"/>
          </w:tcPr>
          <w:p>
            <w:pPr>
              <w:spacing w:line="240" w:lineRule="auto"/>
              <w:jc w:val="center"/>
            </w:pPr>
            <w:r>
              <w:rPr>
                <w:rFonts w:ascii="宋体" w:eastAsia="宋体" w:hAnsi="宋体" w:cs="宋体"/>
                <w:b w:val="0"/>
              </w:rPr>
              <w:t>公允价值(元)</w:t>
            </w:r>
          </w:p>
        </w:tc>
        <w:tc>
          <w:tcPr>
            <w:tcW w:w="1077" w:type="pct"/>
            <w:shd w:val="clear" w:color="auto" w:fill="D9D9D9"/>
            <w:vAlign w:val="center"/>
          </w:tcPr>
          <w:p>
            <w:pPr>
              <w:spacing w:line="240" w:lineRule="auto"/>
              <w:jc w:val="center"/>
            </w:pPr>
            <w:r>
              <w:rPr>
                <w:rFonts w:ascii="宋体" w:eastAsia="宋体" w:hAnsi="宋体" w:cs="宋体"/>
                <w:b w:val="0"/>
              </w:rPr>
              <w:t>占基金资产净值比例(％)</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国家债券</w:t>
            </w:r>
          </w:p>
        </w:tc>
        <w:tc>
          <w:tcPr>
            <w:tcW w:w="0" w:type="dxa"/>
            <w:vAlign w:val="center"/>
          </w:tcPr>
          <w:p>
            <w:pPr>
              <w:spacing w:line="240" w:lineRule="auto"/>
              <w:jc w:val="right"/>
            </w:pPr>
            <w:r>
              <w:rPr>
                <w:rFonts w:ascii="宋体" w:eastAsia="宋体" w:hAnsi="宋体" w:cs="宋体"/>
                <w:b w:val="0"/>
              </w:rPr>
              <w:t>9,060,038.80</w:t>
            </w:r>
          </w:p>
        </w:tc>
        <w:tc>
          <w:tcPr>
            <w:tcW w:w="0" w:type="dxa"/>
            <w:vAlign w:val="center"/>
          </w:tcPr>
          <w:p>
            <w:pPr>
              <w:spacing w:line="240" w:lineRule="auto"/>
              <w:jc w:val="right"/>
            </w:pPr>
            <w:r>
              <w:rPr>
                <w:rFonts w:ascii="宋体" w:eastAsia="宋体" w:hAnsi="宋体" w:cs="宋体"/>
                <w:b w:val="0"/>
              </w:rPr>
              <w:t>5.71</w:t>
            </w:r>
          </w:p>
        </w:tc>
      </w:tr>
      <w:tr>
        <w:tblPrEx>
          <w:tblW w:w="5000" w:type="pct"/>
        </w:tblPrEx>
        <w:tc>
          <w:tcPr>
            <w:tcW w:w="0" w:type="dxa"/>
            <w:vAlign w:val="center"/>
          </w:tcPr>
          <w:p>
            <w:pPr>
              <w:spacing w:line="240" w:lineRule="auto"/>
              <w:jc w:val="center"/>
            </w:pPr>
            <w:r>
              <w:rPr>
                <w:rFonts w:ascii="宋体" w:eastAsia="宋体" w:hAnsi="宋体" w:cs="宋体"/>
                <w:b w:val="0"/>
              </w:rPr>
              <w:t>2</w:t>
            </w:r>
          </w:p>
        </w:tc>
        <w:tc>
          <w:tcPr>
            <w:tcW w:w="0" w:type="dxa"/>
            <w:vAlign w:val="center"/>
          </w:tcPr>
          <w:p>
            <w:pPr>
              <w:spacing w:line="240" w:lineRule="auto"/>
              <w:jc w:val="left"/>
            </w:pPr>
            <w:r>
              <w:rPr>
                <w:rFonts w:ascii="宋体" w:eastAsia="宋体" w:hAnsi="宋体" w:cs="宋体"/>
                <w:b w:val="0"/>
              </w:rPr>
              <w:t>央行票据</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3</w:t>
            </w:r>
          </w:p>
        </w:tc>
        <w:tc>
          <w:tcPr>
            <w:tcW w:w="0" w:type="dxa"/>
            <w:vAlign w:val="center"/>
          </w:tcPr>
          <w:p>
            <w:pPr>
              <w:spacing w:line="240" w:lineRule="auto"/>
              <w:jc w:val="left"/>
            </w:pPr>
            <w:r>
              <w:rPr>
                <w:rFonts w:ascii="宋体" w:eastAsia="宋体" w:hAnsi="宋体" w:cs="宋体"/>
                <w:b w:val="0"/>
              </w:rPr>
              <w:t>金融债券</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其中：政策性金融债</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4</w:t>
            </w:r>
          </w:p>
        </w:tc>
        <w:tc>
          <w:tcPr>
            <w:tcW w:w="0" w:type="dxa"/>
            <w:vAlign w:val="center"/>
          </w:tcPr>
          <w:p>
            <w:pPr>
              <w:spacing w:line="240" w:lineRule="auto"/>
              <w:jc w:val="left"/>
            </w:pPr>
            <w:r>
              <w:rPr>
                <w:rFonts w:ascii="宋体" w:eastAsia="宋体" w:hAnsi="宋体" w:cs="宋体"/>
                <w:b w:val="0"/>
              </w:rPr>
              <w:t>企业债券</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5</w:t>
            </w:r>
          </w:p>
        </w:tc>
        <w:tc>
          <w:tcPr>
            <w:tcW w:w="0" w:type="dxa"/>
            <w:vAlign w:val="center"/>
          </w:tcPr>
          <w:p>
            <w:pPr>
              <w:spacing w:line="240" w:lineRule="auto"/>
              <w:jc w:val="left"/>
            </w:pPr>
            <w:r>
              <w:rPr>
                <w:rFonts w:ascii="宋体" w:eastAsia="宋体" w:hAnsi="宋体" w:cs="宋体"/>
                <w:b w:val="0"/>
              </w:rPr>
              <w:t>企业短期融资券</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6</w:t>
            </w:r>
          </w:p>
        </w:tc>
        <w:tc>
          <w:tcPr>
            <w:tcW w:w="0" w:type="dxa"/>
            <w:vAlign w:val="center"/>
          </w:tcPr>
          <w:p>
            <w:pPr>
              <w:spacing w:line="240" w:lineRule="auto"/>
              <w:jc w:val="left"/>
            </w:pPr>
            <w:r>
              <w:rPr>
                <w:rFonts w:ascii="宋体" w:eastAsia="宋体" w:hAnsi="宋体" w:cs="宋体"/>
                <w:b w:val="0"/>
              </w:rPr>
              <w:t>中期票据</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7</w:t>
            </w:r>
          </w:p>
        </w:tc>
        <w:tc>
          <w:tcPr>
            <w:tcW w:w="0" w:type="dxa"/>
            <w:vAlign w:val="center"/>
          </w:tcPr>
          <w:p>
            <w:pPr>
              <w:spacing w:line="240" w:lineRule="auto"/>
              <w:jc w:val="left"/>
            </w:pPr>
            <w:r>
              <w:rPr>
                <w:rFonts w:ascii="宋体" w:eastAsia="宋体" w:hAnsi="宋体" w:cs="宋体"/>
                <w:b w:val="0"/>
              </w:rPr>
              <w:t>可转债（可交换债）</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8</w:t>
            </w:r>
          </w:p>
        </w:tc>
        <w:tc>
          <w:tcPr>
            <w:tcW w:w="0" w:type="dxa"/>
            <w:vAlign w:val="center"/>
          </w:tcPr>
          <w:p>
            <w:pPr>
              <w:spacing w:line="240" w:lineRule="auto"/>
              <w:jc w:val="left"/>
            </w:pPr>
            <w:r>
              <w:rPr>
                <w:rFonts w:ascii="宋体" w:eastAsia="宋体" w:hAnsi="宋体" w:cs="宋体"/>
                <w:b w:val="0"/>
              </w:rPr>
              <w:t>同业存单</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9</w:t>
            </w:r>
          </w:p>
        </w:tc>
        <w:tc>
          <w:tcPr>
            <w:tcW w:w="0" w:type="dxa"/>
            <w:vAlign w:val="center"/>
          </w:tcPr>
          <w:p>
            <w:pPr>
              <w:spacing w:line="240" w:lineRule="auto"/>
              <w:jc w:val="left"/>
            </w:pPr>
            <w:r>
              <w:rPr>
                <w:rFonts w:ascii="宋体" w:eastAsia="宋体" w:hAnsi="宋体" w:cs="宋体"/>
                <w:b w:val="0"/>
              </w:rPr>
              <w:t>其他</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10</w:t>
            </w:r>
          </w:p>
        </w:tc>
        <w:tc>
          <w:tcPr>
            <w:tcW w:w="0" w:type="dxa"/>
            <w:vAlign w:val="center"/>
          </w:tcPr>
          <w:p>
            <w:pPr>
              <w:spacing w:line="240" w:lineRule="auto"/>
              <w:jc w:val="left"/>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9,060,038.80</w:t>
            </w:r>
          </w:p>
        </w:tc>
        <w:tc>
          <w:tcPr>
            <w:tcW w:w="0" w:type="dxa"/>
            <w:vAlign w:val="center"/>
          </w:tcPr>
          <w:p>
            <w:pPr>
              <w:spacing w:line="240" w:lineRule="auto"/>
              <w:jc w:val="right"/>
            </w:pPr>
            <w:r>
              <w:rPr>
                <w:rFonts w:ascii="宋体" w:eastAsia="宋体" w:hAnsi="宋体" w:cs="宋体"/>
                <w:b w:val="0"/>
              </w:rPr>
              <w:t>5.71</w:t>
            </w:r>
          </w:p>
        </w:tc>
      </w:tr>
    </w:tbl>
    <w:p/>
    <w:p>
      <w:pPr>
        <w:pStyle w:val="Heading2"/>
        <w:jc w:val="left"/>
      </w:pPr>
      <w:r>
        <w:rPr>
          <w:rFonts w:ascii="宋体" w:eastAsia="宋体" w:hAnsi="宋体" w:cs="宋体"/>
        </w:rPr>
        <w:t>5.5 报告期末按公允价值占基金资产净值比例大小排序的前五名债券投资明细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510"/>
        <w:gridCol w:w="1510"/>
        <w:gridCol w:w="1510"/>
        <w:gridCol w:w="1510"/>
        <w:gridCol w:w="1510"/>
        <w:gridCol w:w="151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序号</w:t>
            </w:r>
          </w:p>
        </w:tc>
        <w:tc>
          <w:tcPr>
            <w:tcW w:w="769" w:type="pct"/>
            <w:shd w:val="clear" w:color="auto" w:fill="D9D9D9"/>
            <w:vAlign w:val="center"/>
          </w:tcPr>
          <w:p>
            <w:pPr>
              <w:spacing w:line="240" w:lineRule="auto"/>
              <w:jc w:val="center"/>
            </w:pPr>
            <w:r>
              <w:rPr>
                <w:rFonts w:ascii="宋体" w:eastAsia="宋体" w:hAnsi="宋体" w:cs="宋体"/>
                <w:b w:val="0"/>
              </w:rPr>
              <w:t>债券代码</w:t>
            </w:r>
          </w:p>
        </w:tc>
        <w:tc>
          <w:tcPr>
            <w:tcW w:w="769" w:type="pct"/>
            <w:shd w:val="clear" w:color="auto" w:fill="D9D9D9"/>
            <w:vAlign w:val="center"/>
          </w:tcPr>
          <w:p>
            <w:pPr>
              <w:spacing w:line="240" w:lineRule="auto"/>
              <w:jc w:val="center"/>
            </w:pPr>
            <w:r>
              <w:rPr>
                <w:rFonts w:ascii="宋体" w:eastAsia="宋体" w:hAnsi="宋体" w:cs="宋体"/>
                <w:b w:val="0"/>
              </w:rPr>
              <w:t>债券名称</w:t>
            </w:r>
          </w:p>
        </w:tc>
        <w:tc>
          <w:tcPr>
            <w:tcW w:w="615" w:type="pct"/>
            <w:shd w:val="clear" w:color="auto" w:fill="D9D9D9"/>
            <w:vAlign w:val="center"/>
          </w:tcPr>
          <w:p>
            <w:pPr>
              <w:spacing w:line="240" w:lineRule="auto"/>
              <w:jc w:val="center"/>
            </w:pPr>
            <w:r>
              <w:rPr>
                <w:rFonts w:ascii="宋体" w:eastAsia="宋体" w:hAnsi="宋体" w:cs="宋体"/>
                <w:b w:val="0"/>
              </w:rPr>
              <w:t>数量(张)</w:t>
            </w:r>
          </w:p>
        </w:tc>
        <w:tc>
          <w:tcPr>
            <w:tcW w:w="923" w:type="pct"/>
            <w:shd w:val="clear" w:color="auto" w:fill="D9D9D9"/>
            <w:vAlign w:val="center"/>
          </w:tcPr>
          <w:p>
            <w:pPr>
              <w:spacing w:line="240" w:lineRule="auto"/>
              <w:jc w:val="center"/>
            </w:pPr>
            <w:r>
              <w:rPr>
                <w:rFonts w:ascii="宋体" w:eastAsia="宋体" w:hAnsi="宋体" w:cs="宋体"/>
                <w:b w:val="0"/>
              </w:rPr>
              <w:t>公允价值(元)</w:t>
            </w:r>
          </w:p>
        </w:tc>
        <w:tc>
          <w:tcPr>
            <w:tcW w:w="923" w:type="pct"/>
            <w:shd w:val="clear" w:color="auto" w:fill="D9D9D9"/>
            <w:vAlign w:val="center"/>
          </w:tcPr>
          <w:p>
            <w:pPr>
              <w:spacing w:line="240" w:lineRule="auto"/>
              <w:jc w:val="center"/>
            </w:pPr>
            <w:r>
              <w:rPr>
                <w:rFonts w:ascii="宋体" w:eastAsia="宋体" w:hAnsi="宋体" w:cs="宋体"/>
                <w:b w:val="0"/>
              </w:rPr>
              <w:t>占基金资产净值比例(%)</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019835</w:t>
            </w:r>
          </w:p>
        </w:tc>
        <w:tc>
          <w:tcPr>
            <w:tcW w:w="0" w:type="dxa"/>
            <w:vAlign w:val="center"/>
          </w:tcPr>
          <w:p>
            <w:pPr>
              <w:spacing w:line="240" w:lineRule="auto"/>
              <w:jc w:val="left"/>
            </w:pPr>
            <w:r>
              <w:rPr>
                <w:rFonts w:ascii="宋体" w:eastAsia="宋体" w:hAnsi="宋体" w:cs="宋体"/>
                <w:b w:val="0"/>
              </w:rPr>
              <w:t>26国债09</w:t>
            </w:r>
          </w:p>
        </w:tc>
        <w:tc>
          <w:tcPr>
            <w:tcW w:w="0" w:type="dxa"/>
            <w:vAlign w:val="center"/>
          </w:tcPr>
          <w:p>
            <w:pPr>
              <w:spacing w:line="240" w:lineRule="auto"/>
              <w:jc w:val="right"/>
            </w:pPr>
            <w:r>
              <w:rPr>
                <w:rFonts w:ascii="宋体" w:eastAsia="宋体" w:hAnsi="宋体" w:cs="宋体"/>
                <w:b w:val="0"/>
              </w:rPr>
              <w:t>43,000</w:t>
            </w:r>
          </w:p>
        </w:tc>
        <w:tc>
          <w:tcPr>
            <w:tcW w:w="0" w:type="dxa"/>
            <w:vAlign w:val="center"/>
          </w:tcPr>
          <w:p>
            <w:pPr>
              <w:spacing w:line="240" w:lineRule="auto"/>
              <w:jc w:val="right"/>
            </w:pPr>
            <w:r>
              <w:rPr>
                <w:rFonts w:ascii="宋体" w:eastAsia="宋体" w:hAnsi="宋体" w:cs="宋体"/>
                <w:b w:val="0"/>
              </w:rPr>
              <w:t>4,317,705.40</w:t>
            </w:r>
          </w:p>
        </w:tc>
        <w:tc>
          <w:tcPr>
            <w:tcW w:w="0" w:type="dxa"/>
            <w:vAlign w:val="center"/>
          </w:tcPr>
          <w:p>
            <w:pPr>
              <w:spacing w:line="240" w:lineRule="auto"/>
              <w:jc w:val="right"/>
            </w:pPr>
            <w:r>
              <w:rPr>
                <w:rFonts w:ascii="宋体" w:eastAsia="宋体" w:hAnsi="宋体" w:cs="宋体"/>
                <w:b w:val="0"/>
              </w:rPr>
              <w:t>2.72</w:t>
            </w:r>
          </w:p>
        </w:tc>
      </w:tr>
      <w:tr>
        <w:tblPrEx>
          <w:tblW w:w="5000" w:type="pct"/>
        </w:tblPrEx>
        <w:tc>
          <w:tcPr>
            <w:tcW w:w="0" w:type="dxa"/>
            <w:vAlign w:val="center"/>
          </w:tcPr>
          <w:p>
            <w:pPr>
              <w:spacing w:line="240" w:lineRule="auto"/>
              <w:jc w:val="center"/>
            </w:pPr>
            <w:r>
              <w:rPr>
                <w:rFonts w:ascii="宋体" w:eastAsia="宋体" w:hAnsi="宋体" w:cs="宋体"/>
                <w:b w:val="0"/>
              </w:rPr>
              <w:t>2</w:t>
            </w:r>
          </w:p>
        </w:tc>
        <w:tc>
          <w:tcPr>
            <w:tcW w:w="0" w:type="dxa"/>
            <w:vAlign w:val="center"/>
          </w:tcPr>
          <w:p>
            <w:pPr>
              <w:spacing w:line="240" w:lineRule="auto"/>
              <w:jc w:val="left"/>
            </w:pPr>
            <w:r>
              <w:rPr>
                <w:rFonts w:ascii="宋体" w:eastAsia="宋体" w:hAnsi="宋体" w:cs="宋体"/>
                <w:b w:val="0"/>
              </w:rPr>
              <w:t>019827</w:t>
            </w:r>
          </w:p>
        </w:tc>
        <w:tc>
          <w:tcPr>
            <w:tcW w:w="0" w:type="dxa"/>
            <w:vAlign w:val="center"/>
          </w:tcPr>
          <w:p>
            <w:pPr>
              <w:spacing w:line="240" w:lineRule="auto"/>
              <w:jc w:val="left"/>
            </w:pPr>
            <w:r>
              <w:rPr>
                <w:rFonts w:ascii="宋体" w:eastAsia="宋体" w:hAnsi="宋体" w:cs="宋体"/>
                <w:b w:val="0"/>
              </w:rPr>
              <w:t>26国债01</w:t>
            </w:r>
          </w:p>
        </w:tc>
        <w:tc>
          <w:tcPr>
            <w:tcW w:w="0" w:type="dxa"/>
            <w:vAlign w:val="center"/>
          </w:tcPr>
          <w:p>
            <w:pPr>
              <w:spacing w:line="240" w:lineRule="auto"/>
              <w:jc w:val="right"/>
            </w:pPr>
            <w:r>
              <w:rPr>
                <w:rFonts w:ascii="宋体" w:eastAsia="宋体" w:hAnsi="宋体" w:cs="宋体"/>
                <w:b w:val="0"/>
              </w:rPr>
              <w:t>28,000</w:t>
            </w:r>
          </w:p>
        </w:tc>
        <w:tc>
          <w:tcPr>
            <w:tcW w:w="0" w:type="dxa"/>
            <w:vAlign w:val="center"/>
          </w:tcPr>
          <w:p>
            <w:pPr>
              <w:spacing w:line="240" w:lineRule="auto"/>
              <w:jc w:val="right"/>
            </w:pPr>
            <w:r>
              <w:rPr>
                <w:rFonts w:ascii="宋体" w:eastAsia="宋体" w:hAnsi="宋体" w:cs="宋体"/>
                <w:b w:val="0"/>
              </w:rPr>
              <w:t>2,824,239.56</w:t>
            </w:r>
          </w:p>
        </w:tc>
        <w:tc>
          <w:tcPr>
            <w:tcW w:w="0" w:type="dxa"/>
            <w:vAlign w:val="center"/>
          </w:tcPr>
          <w:p>
            <w:pPr>
              <w:spacing w:line="240" w:lineRule="auto"/>
              <w:jc w:val="right"/>
            </w:pPr>
            <w:r>
              <w:rPr>
                <w:rFonts w:ascii="宋体" w:eastAsia="宋体" w:hAnsi="宋体" w:cs="宋体"/>
                <w:b w:val="0"/>
              </w:rPr>
              <w:t>1.78</w:t>
            </w:r>
          </w:p>
        </w:tc>
      </w:tr>
      <w:tr>
        <w:tblPrEx>
          <w:tblW w:w="5000" w:type="pct"/>
        </w:tblPrEx>
        <w:tc>
          <w:tcPr>
            <w:tcW w:w="0" w:type="dxa"/>
            <w:vAlign w:val="center"/>
          </w:tcPr>
          <w:p>
            <w:pPr>
              <w:spacing w:line="240" w:lineRule="auto"/>
              <w:jc w:val="center"/>
            </w:pPr>
            <w:r>
              <w:rPr>
                <w:rFonts w:ascii="宋体" w:eastAsia="宋体" w:hAnsi="宋体" w:cs="宋体"/>
                <w:b w:val="0"/>
              </w:rPr>
              <w:t>3</w:t>
            </w:r>
          </w:p>
        </w:tc>
        <w:tc>
          <w:tcPr>
            <w:tcW w:w="0" w:type="dxa"/>
            <w:vAlign w:val="center"/>
          </w:tcPr>
          <w:p>
            <w:pPr>
              <w:spacing w:line="240" w:lineRule="auto"/>
              <w:jc w:val="left"/>
            </w:pPr>
            <w:r>
              <w:rPr>
                <w:rFonts w:ascii="宋体" w:eastAsia="宋体" w:hAnsi="宋体" w:cs="宋体"/>
                <w:b w:val="0"/>
              </w:rPr>
              <w:t>019792</w:t>
            </w:r>
          </w:p>
        </w:tc>
        <w:tc>
          <w:tcPr>
            <w:tcW w:w="0" w:type="dxa"/>
            <w:vAlign w:val="center"/>
          </w:tcPr>
          <w:p>
            <w:pPr>
              <w:spacing w:line="240" w:lineRule="auto"/>
              <w:jc w:val="left"/>
            </w:pPr>
            <w:r>
              <w:rPr>
                <w:rFonts w:ascii="宋体" w:eastAsia="宋体" w:hAnsi="宋体" w:cs="宋体"/>
                <w:b w:val="0"/>
              </w:rPr>
              <w:t>25国债19</w:t>
            </w:r>
          </w:p>
        </w:tc>
        <w:tc>
          <w:tcPr>
            <w:tcW w:w="0" w:type="dxa"/>
            <w:vAlign w:val="center"/>
          </w:tcPr>
          <w:p>
            <w:pPr>
              <w:spacing w:line="240" w:lineRule="auto"/>
              <w:jc w:val="right"/>
            </w:pPr>
            <w:r>
              <w:rPr>
                <w:rFonts w:ascii="宋体" w:eastAsia="宋体" w:hAnsi="宋体" w:cs="宋体"/>
                <w:b w:val="0"/>
              </w:rPr>
              <w:t>13,000</w:t>
            </w:r>
          </w:p>
        </w:tc>
        <w:tc>
          <w:tcPr>
            <w:tcW w:w="0" w:type="dxa"/>
            <w:vAlign w:val="center"/>
          </w:tcPr>
          <w:p>
            <w:pPr>
              <w:spacing w:line="240" w:lineRule="auto"/>
              <w:jc w:val="right"/>
            </w:pPr>
            <w:r>
              <w:rPr>
                <w:rFonts w:ascii="宋体" w:eastAsia="宋体" w:hAnsi="宋体" w:cs="宋体"/>
                <w:b w:val="0"/>
              </w:rPr>
              <w:t>1,317,381.89</w:t>
            </w:r>
          </w:p>
        </w:tc>
        <w:tc>
          <w:tcPr>
            <w:tcW w:w="0" w:type="dxa"/>
            <w:vAlign w:val="center"/>
          </w:tcPr>
          <w:p>
            <w:pPr>
              <w:spacing w:line="240" w:lineRule="auto"/>
              <w:jc w:val="right"/>
            </w:pPr>
            <w:r>
              <w:rPr>
                <w:rFonts w:ascii="宋体" w:eastAsia="宋体" w:hAnsi="宋体" w:cs="宋体"/>
                <w:b w:val="0"/>
              </w:rPr>
              <w:t>0.83</w:t>
            </w:r>
          </w:p>
        </w:tc>
      </w:tr>
      <w:tr>
        <w:tblPrEx>
          <w:tblW w:w="5000" w:type="pct"/>
        </w:tblPrEx>
        <w:tc>
          <w:tcPr>
            <w:tcW w:w="0" w:type="dxa"/>
            <w:vAlign w:val="center"/>
          </w:tcPr>
          <w:p>
            <w:pPr>
              <w:spacing w:line="240" w:lineRule="auto"/>
              <w:jc w:val="center"/>
            </w:pPr>
            <w:r>
              <w:rPr>
                <w:rFonts w:ascii="宋体" w:eastAsia="宋体" w:hAnsi="宋体" w:cs="宋体"/>
                <w:b w:val="0"/>
              </w:rPr>
              <w:t>4</w:t>
            </w:r>
          </w:p>
        </w:tc>
        <w:tc>
          <w:tcPr>
            <w:tcW w:w="0" w:type="dxa"/>
            <w:vAlign w:val="center"/>
          </w:tcPr>
          <w:p>
            <w:pPr>
              <w:spacing w:line="240" w:lineRule="auto"/>
              <w:jc w:val="left"/>
            </w:pPr>
            <w:r>
              <w:rPr>
                <w:rFonts w:ascii="宋体" w:eastAsia="宋体" w:hAnsi="宋体" w:cs="宋体"/>
                <w:b w:val="0"/>
              </w:rPr>
              <w:t>019846</w:t>
            </w:r>
          </w:p>
        </w:tc>
        <w:tc>
          <w:tcPr>
            <w:tcW w:w="0" w:type="dxa"/>
            <w:vAlign w:val="center"/>
          </w:tcPr>
          <w:p>
            <w:pPr>
              <w:spacing w:line="240" w:lineRule="auto"/>
              <w:jc w:val="left"/>
            </w:pPr>
            <w:r>
              <w:rPr>
                <w:rFonts w:ascii="宋体" w:eastAsia="宋体" w:hAnsi="宋体" w:cs="宋体"/>
                <w:b w:val="0"/>
              </w:rPr>
              <w:t>26国债14</w:t>
            </w:r>
          </w:p>
        </w:tc>
        <w:tc>
          <w:tcPr>
            <w:tcW w:w="0" w:type="dxa"/>
            <w:vAlign w:val="center"/>
          </w:tcPr>
          <w:p>
            <w:pPr>
              <w:spacing w:line="240" w:lineRule="auto"/>
              <w:jc w:val="right"/>
            </w:pPr>
            <w:r>
              <w:rPr>
                <w:rFonts w:ascii="宋体" w:eastAsia="宋体" w:hAnsi="宋体" w:cs="宋体"/>
                <w:b w:val="0"/>
              </w:rPr>
              <w:t>6,000</w:t>
            </w:r>
          </w:p>
        </w:tc>
        <w:tc>
          <w:tcPr>
            <w:tcW w:w="0" w:type="dxa"/>
            <w:vAlign w:val="center"/>
          </w:tcPr>
          <w:p>
            <w:pPr>
              <w:spacing w:line="240" w:lineRule="auto"/>
              <w:jc w:val="right"/>
            </w:pPr>
            <w:r>
              <w:rPr>
                <w:rFonts w:ascii="宋体" w:eastAsia="宋体" w:hAnsi="宋体" w:cs="宋体"/>
                <w:b w:val="0"/>
              </w:rPr>
              <w:t>600,711.95</w:t>
            </w:r>
          </w:p>
        </w:tc>
        <w:tc>
          <w:tcPr>
            <w:tcW w:w="0" w:type="dxa"/>
            <w:vAlign w:val="center"/>
          </w:tcPr>
          <w:p>
            <w:pPr>
              <w:spacing w:line="240" w:lineRule="auto"/>
              <w:jc w:val="right"/>
            </w:pPr>
            <w:r>
              <w:rPr>
                <w:rFonts w:ascii="宋体" w:eastAsia="宋体" w:hAnsi="宋体" w:cs="宋体"/>
                <w:b w:val="0"/>
              </w:rPr>
              <w:t>0.38</w:t>
            </w:r>
          </w:p>
        </w:tc>
      </w:tr>
    </w:tbl>
    <w:p>
      <w:r>
        <w:rPr>
          <w:rFonts w:ascii="宋体" w:eastAsia="宋体" w:hAnsi="宋体" w:cs="宋体"/>
          <w:b w:val="0"/>
        </w:rPr>
        <w:t>注：本基金本报告期末仅持有上述债券。</w:t>
      </w:r>
    </w:p>
    <w:p/>
    <w:p>
      <w:pPr>
        <w:pStyle w:val="Heading2"/>
        <w:jc w:val="left"/>
      </w:pPr>
      <w:r>
        <w:rPr>
          <w:rFonts w:ascii="宋体" w:eastAsia="宋体" w:hAnsi="宋体" w:cs="宋体"/>
        </w:rPr>
        <w:t>5.6 报告期末按公允价值占基金资产净值比例大小排序的前十名资产支持证券投资明细</w:t>
      </w:r>
    </w:p>
    <w:p>
      <w:r>
        <w:rPr>
          <w:rFonts w:ascii="宋体" w:eastAsia="宋体" w:hAnsi="宋体" w:cs="宋体"/>
          <w:b w:val="0"/>
        </w:rPr>
        <w:t xml:space="preserve">    本基金本报告期末未持有资产支持证券。</w:t>
      </w:r>
    </w:p>
    <w:p/>
    <w:p>
      <w:pPr>
        <w:pStyle w:val="Heading2"/>
        <w:jc w:val="left"/>
      </w:pPr>
      <w:r>
        <w:rPr>
          <w:rFonts w:ascii="宋体" w:eastAsia="宋体" w:hAnsi="宋体" w:cs="宋体"/>
        </w:rPr>
        <w:t>5.7 报告期末按公允价值占基金资产净值比例大小排序的前五名贵金属投资明细</w:t>
      </w:r>
    </w:p>
    <w:p>
      <w:r>
        <w:rPr>
          <w:rFonts w:ascii="宋体" w:eastAsia="宋体" w:hAnsi="宋体" w:cs="宋体"/>
          <w:b w:val="0"/>
        </w:rPr>
        <w:t xml:space="preserve">    本基金本报告期末未持有贵金属。</w:t>
      </w:r>
    </w:p>
    <w:p/>
    <w:p>
      <w:pPr>
        <w:pStyle w:val="Heading2"/>
        <w:jc w:val="left"/>
      </w:pPr>
      <w:r>
        <w:rPr>
          <w:rFonts w:ascii="宋体" w:eastAsia="宋体" w:hAnsi="宋体" w:cs="宋体"/>
        </w:rPr>
        <w:t>5.8 报告期末按公允价值占基金资产净值比例大小排序的前五名权证投资明细</w:t>
      </w:r>
    </w:p>
    <w:p>
      <w:r>
        <w:rPr>
          <w:rFonts w:ascii="宋体" w:eastAsia="宋体" w:hAnsi="宋体" w:cs="宋体"/>
          <w:b w:val="0"/>
        </w:rPr>
        <w:t xml:space="preserve">    本基金本报告期末未持有权证。</w:t>
      </w:r>
    </w:p>
    <w:p/>
    <w:p>
      <w:pPr>
        <w:pStyle w:val="Heading2"/>
        <w:jc w:val="left"/>
      </w:pPr>
      <w:r>
        <w:rPr>
          <w:rFonts w:ascii="宋体" w:eastAsia="宋体" w:hAnsi="宋体" w:cs="宋体"/>
        </w:rPr>
        <w:t>5.9 报告期末本基金投资的股指期货交易情况说明</w:t>
      </w:r>
    </w:p>
    <w:p>
      <w:r>
        <w:rPr>
          <w:rFonts w:ascii="宋体" w:eastAsia="宋体" w:hAnsi="宋体" w:cs="宋体"/>
          <w:b w:val="0"/>
        </w:rPr>
        <w:t xml:space="preserve">    本基金本报告期末未持有股指期货。</w:t>
      </w:r>
    </w:p>
    <w:p/>
    <w:p>
      <w:pPr>
        <w:pStyle w:val="Heading2"/>
        <w:jc w:val="left"/>
      </w:pPr>
      <w:r>
        <w:rPr>
          <w:rFonts w:ascii="宋体" w:eastAsia="宋体" w:hAnsi="宋体" w:cs="宋体"/>
        </w:rPr>
        <w:t>5.10 报告期末本基金投资的国债期货交易情况说明</w:t>
      </w:r>
    </w:p>
    <w:p>
      <w:r>
        <w:rPr>
          <w:rFonts w:ascii="宋体" w:eastAsia="宋体" w:hAnsi="宋体" w:cs="宋体"/>
          <w:b w:val="0"/>
        </w:rPr>
        <w:t xml:space="preserve">    本基金本报告期末未持有国债期货。</w:t>
      </w:r>
    </w:p>
    <w:p/>
    <w:p>
      <w:pPr>
        <w:pStyle w:val="Heading2"/>
        <w:jc w:val="left"/>
      </w:pPr>
      <w:r>
        <w:rPr>
          <w:rFonts w:ascii="宋体" w:eastAsia="宋体" w:hAnsi="宋体" w:cs="宋体"/>
        </w:rPr>
        <w:t>5.11 投资组合报告附注</w:t>
      </w:r>
    </w:p>
    <w:p>
      <w:pPr>
        <w:pStyle w:val="zhangjiep2"/>
      </w:pPr>
      <w:r>
        <w:rPr>
          <w:rStyle w:val="DefaultParagraphFont"/>
          <w:rFonts w:ascii="宋体" w:eastAsia="宋体" w:hAnsi="宋体" w:cs="宋体"/>
          <w:b/>
        </w:rPr>
        <w:t>5.11.1 本基金投资的前十名证券的发行主体本期受到监管部门立案调查或报告编制日前一年内受到公开谴责、处罚的情形说明</w:t>
      </w:r>
    </w:p>
    <w:p>
      <w:r>
        <w:rPr>
          <w:rFonts w:ascii="宋体" w:eastAsia="宋体" w:hAnsi="宋体" w:cs="宋体"/>
          <w:b w:val="0"/>
        </w:rPr>
        <w:t xml:space="preserve">    本基金投资的前十名证券的发行主体本期未出现被监管部门立案调查，或在报告编制日前一年内受到公开谴责、处罚的情形。</w:t>
      </w:r>
    </w:p>
    <w:p/>
    <w:p>
      <w:pPr>
        <w:pStyle w:val="zhangjiep2"/>
      </w:pPr>
      <w:r>
        <w:rPr>
          <w:rStyle w:val="DefaultParagraphFont"/>
          <w:rFonts w:ascii="宋体" w:eastAsia="宋体" w:hAnsi="宋体" w:cs="宋体"/>
          <w:b/>
        </w:rPr>
        <w:t>5.11.2 基金投资的前十名股票超出基金合同约定的备选股票库情况的说明</w:t>
      </w:r>
    </w:p>
    <w:p>
      <w:r>
        <w:rPr>
          <w:rFonts w:ascii="宋体" w:eastAsia="宋体" w:hAnsi="宋体" w:cs="宋体"/>
          <w:b w:val="0"/>
        </w:rPr>
        <w:t xml:space="preserve">    基金投资的前十名股票，均为基金合同约定备选股票库之内的股票。</w:t>
      </w:r>
    </w:p>
    <w:p/>
    <w:p>
      <w:pPr>
        <w:pStyle w:val="zhangjiep2"/>
      </w:pPr>
      <w:r>
        <w:rPr>
          <w:rStyle w:val="DefaultParagraphFont"/>
          <w:rFonts w:ascii="宋体" w:eastAsia="宋体" w:hAnsi="宋体" w:cs="宋体"/>
          <w:b/>
        </w:rPr>
        <w:t>5.11.3 其他资产构成</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3021"/>
        <w:gridCol w:w="3021"/>
        <w:gridCol w:w="302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序号</w:t>
            </w:r>
          </w:p>
        </w:tc>
        <w:tc>
          <w:tcPr>
            <w:tcW w:w="2308" w:type="pct"/>
            <w:shd w:val="clear" w:color="auto" w:fill="D9D9D9"/>
            <w:vAlign w:val="center"/>
          </w:tcPr>
          <w:p>
            <w:pPr>
              <w:spacing w:line="240" w:lineRule="auto"/>
              <w:jc w:val="center"/>
            </w:pPr>
            <w:r>
              <w:rPr>
                <w:rFonts w:ascii="宋体" w:eastAsia="宋体" w:hAnsi="宋体" w:cs="宋体"/>
                <w:b w:val="0"/>
              </w:rPr>
              <w:t>名称</w:t>
            </w:r>
          </w:p>
        </w:tc>
        <w:tc>
          <w:tcPr>
            <w:tcW w:w="1538" w:type="pct"/>
            <w:shd w:val="clear" w:color="auto" w:fill="D9D9D9"/>
            <w:vAlign w:val="center"/>
          </w:tcPr>
          <w:p>
            <w:pPr>
              <w:spacing w:line="240" w:lineRule="auto"/>
              <w:jc w:val="center"/>
            </w:pPr>
            <w:r>
              <w:rPr>
                <w:rFonts w:ascii="宋体" w:eastAsia="宋体" w:hAnsi="宋体" w:cs="宋体"/>
                <w:b w:val="0"/>
              </w:rPr>
              <w:t>金额(元)</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存出保证金</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2</w:t>
            </w:r>
          </w:p>
        </w:tc>
        <w:tc>
          <w:tcPr>
            <w:tcW w:w="0" w:type="dxa"/>
            <w:vAlign w:val="center"/>
          </w:tcPr>
          <w:p>
            <w:pPr>
              <w:spacing w:line="240" w:lineRule="auto"/>
              <w:jc w:val="left"/>
            </w:pPr>
            <w:r>
              <w:rPr>
                <w:rFonts w:ascii="宋体" w:eastAsia="宋体" w:hAnsi="宋体" w:cs="宋体"/>
                <w:b w:val="0"/>
              </w:rPr>
              <w:t>应收证券清算款</w:t>
            </w:r>
          </w:p>
        </w:tc>
        <w:tc>
          <w:tcPr>
            <w:tcW w:w="0" w:type="dxa"/>
            <w:vAlign w:val="center"/>
          </w:tcPr>
          <w:p>
            <w:pPr>
              <w:spacing w:line="240" w:lineRule="auto"/>
              <w:jc w:val="right"/>
            </w:pPr>
            <w:r>
              <w:rPr>
                <w:rFonts w:ascii="宋体" w:eastAsia="宋体" w:hAnsi="宋体" w:cs="宋体"/>
                <w:b w:val="0"/>
              </w:rPr>
              <w:t>1,660,254.11</w:t>
            </w:r>
          </w:p>
        </w:tc>
      </w:tr>
      <w:tr>
        <w:tblPrEx>
          <w:tblW w:w="5000" w:type="pct"/>
        </w:tblPrEx>
        <w:tc>
          <w:tcPr>
            <w:tcW w:w="0" w:type="dxa"/>
            <w:vAlign w:val="center"/>
          </w:tcPr>
          <w:p>
            <w:pPr>
              <w:spacing w:line="240" w:lineRule="auto"/>
              <w:jc w:val="center"/>
            </w:pPr>
            <w:r>
              <w:rPr>
                <w:rFonts w:ascii="宋体" w:eastAsia="宋体" w:hAnsi="宋体" w:cs="宋体"/>
                <w:b w:val="0"/>
              </w:rPr>
              <w:t>3</w:t>
            </w:r>
          </w:p>
        </w:tc>
        <w:tc>
          <w:tcPr>
            <w:tcW w:w="0" w:type="dxa"/>
            <w:vAlign w:val="center"/>
          </w:tcPr>
          <w:p>
            <w:pPr>
              <w:spacing w:line="240" w:lineRule="auto"/>
              <w:jc w:val="left"/>
            </w:pPr>
            <w:r>
              <w:rPr>
                <w:rFonts w:ascii="宋体" w:eastAsia="宋体" w:hAnsi="宋体" w:cs="宋体"/>
                <w:b w:val="0"/>
              </w:rPr>
              <w:t>应收股利</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4</w:t>
            </w:r>
          </w:p>
        </w:tc>
        <w:tc>
          <w:tcPr>
            <w:tcW w:w="0" w:type="dxa"/>
            <w:vAlign w:val="center"/>
          </w:tcPr>
          <w:p>
            <w:pPr>
              <w:spacing w:line="240" w:lineRule="auto"/>
              <w:jc w:val="left"/>
            </w:pPr>
            <w:r>
              <w:rPr>
                <w:rFonts w:ascii="宋体" w:eastAsia="宋体" w:hAnsi="宋体" w:cs="宋体"/>
                <w:b w:val="0"/>
              </w:rPr>
              <w:t>应收利息</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5</w:t>
            </w:r>
          </w:p>
        </w:tc>
        <w:tc>
          <w:tcPr>
            <w:tcW w:w="0" w:type="dxa"/>
            <w:vAlign w:val="center"/>
          </w:tcPr>
          <w:p>
            <w:pPr>
              <w:spacing w:line="240" w:lineRule="auto"/>
              <w:jc w:val="left"/>
            </w:pPr>
            <w:r>
              <w:rPr>
                <w:rFonts w:ascii="宋体" w:eastAsia="宋体" w:hAnsi="宋体" w:cs="宋体"/>
                <w:b w:val="0"/>
              </w:rPr>
              <w:t>应收申购款</w:t>
            </w:r>
          </w:p>
        </w:tc>
        <w:tc>
          <w:tcPr>
            <w:tcW w:w="0" w:type="dxa"/>
            <w:vAlign w:val="center"/>
          </w:tcPr>
          <w:p>
            <w:pPr>
              <w:spacing w:line="240" w:lineRule="auto"/>
              <w:jc w:val="right"/>
            </w:pPr>
            <w:r>
              <w:rPr>
                <w:rFonts w:ascii="宋体" w:eastAsia="宋体" w:hAnsi="宋体" w:cs="宋体"/>
                <w:b w:val="0"/>
              </w:rPr>
              <w:t>1,884,908.12</w:t>
            </w:r>
          </w:p>
        </w:tc>
      </w:tr>
      <w:tr>
        <w:tblPrEx>
          <w:tblW w:w="5000" w:type="pct"/>
        </w:tblPrEx>
        <w:tc>
          <w:tcPr>
            <w:tcW w:w="0" w:type="dxa"/>
            <w:vAlign w:val="center"/>
          </w:tcPr>
          <w:p>
            <w:pPr>
              <w:spacing w:line="240" w:lineRule="auto"/>
              <w:jc w:val="center"/>
            </w:pPr>
            <w:r>
              <w:rPr>
                <w:rFonts w:ascii="宋体" w:eastAsia="宋体" w:hAnsi="宋体" w:cs="宋体"/>
                <w:b w:val="0"/>
              </w:rPr>
              <w:t>6</w:t>
            </w:r>
          </w:p>
        </w:tc>
        <w:tc>
          <w:tcPr>
            <w:tcW w:w="0" w:type="dxa"/>
            <w:vAlign w:val="center"/>
          </w:tcPr>
          <w:p>
            <w:pPr>
              <w:spacing w:line="240" w:lineRule="auto"/>
              <w:jc w:val="left"/>
            </w:pPr>
            <w:r>
              <w:rPr>
                <w:rFonts w:ascii="宋体" w:eastAsia="宋体" w:hAnsi="宋体" w:cs="宋体"/>
                <w:b w:val="0"/>
              </w:rPr>
              <w:t>其他应收款</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7</w:t>
            </w:r>
          </w:p>
        </w:tc>
        <w:tc>
          <w:tcPr>
            <w:tcW w:w="0" w:type="dxa"/>
            <w:vAlign w:val="center"/>
          </w:tcPr>
          <w:p>
            <w:pPr>
              <w:spacing w:line="240" w:lineRule="auto"/>
              <w:jc w:val="left"/>
            </w:pPr>
            <w:r>
              <w:rPr>
                <w:rFonts w:ascii="宋体" w:eastAsia="宋体" w:hAnsi="宋体" w:cs="宋体"/>
                <w:b w:val="0"/>
              </w:rPr>
              <w:t>其他</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8</w:t>
            </w:r>
          </w:p>
        </w:tc>
        <w:tc>
          <w:tcPr>
            <w:tcW w:w="0" w:type="dxa"/>
            <w:vAlign w:val="center"/>
          </w:tcPr>
          <w:p>
            <w:pPr>
              <w:spacing w:line="240" w:lineRule="auto"/>
              <w:jc w:val="left"/>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3,545,162.23</w:t>
            </w:r>
          </w:p>
        </w:tc>
      </w:tr>
    </w:tbl>
    <w:p/>
    <w:p>
      <w:pPr>
        <w:pStyle w:val="zhangjiep2"/>
      </w:pPr>
      <w:r>
        <w:rPr>
          <w:rStyle w:val="DefaultParagraphFont"/>
          <w:rFonts w:ascii="宋体" w:eastAsia="宋体" w:hAnsi="宋体" w:cs="宋体"/>
          <w:b/>
        </w:rPr>
        <w:t>5.11.4 报告期末持有的处于转股期的可转换债券明细</w:t>
      </w:r>
    </w:p>
    <w:p>
      <w:r>
        <w:rPr>
          <w:rFonts w:ascii="宋体" w:eastAsia="宋体" w:hAnsi="宋体" w:cs="宋体"/>
          <w:b w:val="0"/>
        </w:rPr>
        <w:t xml:space="preserve">    本基金本报告期末未持有处于转股期的可转换债券。</w:t>
      </w:r>
    </w:p>
    <w:p/>
    <w:p>
      <w:pPr>
        <w:pStyle w:val="zhangjiep2"/>
      </w:pPr>
      <w:r>
        <w:rPr>
          <w:rStyle w:val="DefaultParagraphFont"/>
          <w:rFonts w:ascii="宋体" w:eastAsia="宋体" w:hAnsi="宋体" w:cs="宋体"/>
          <w:b/>
        </w:rPr>
        <w:t>5.11.5 报告期末前十名股票中存在流通受限情况的说明</w:t>
      </w:r>
    </w:p>
    <w:p>
      <w:r>
        <w:rPr>
          <w:rFonts w:ascii="宋体" w:eastAsia="宋体" w:hAnsi="宋体" w:cs="宋体"/>
          <w:b w:val="0"/>
        </w:rPr>
        <w:t xml:space="preserve">    本基金本报告期末前十名股票中不存在流通受限的情况。</w:t>
      </w:r>
    </w:p>
    <w:p/>
    <w:p>
      <w:pPr>
        <w:pStyle w:val="zhangjiep2"/>
      </w:pPr>
      <w:r>
        <w:rPr>
          <w:rStyle w:val="DefaultParagraphFont"/>
          <w:rFonts w:ascii="宋体" w:eastAsia="宋体" w:hAnsi="宋体" w:cs="宋体"/>
          <w:b/>
        </w:rPr>
        <w:t>5.11.6 投资组合报告附注的其他文字描述部分</w:t>
      </w:r>
    </w:p>
    <w:p>
      <w:r>
        <w:rPr>
          <w:rFonts w:ascii="宋体" w:eastAsia="宋体" w:hAnsi="宋体" w:cs="宋体"/>
          <w:b w:val="0"/>
        </w:rPr>
        <w:t xml:space="preserve">    由于四舍五入原因，分项之和与合计项之间可能存在尾差。</w:t>
      </w:r>
    </w:p>
    <w:p>
      <w:pPr>
        <w:pStyle w:val="Heading1"/>
        <w:jc w:val="center"/>
      </w:pPr>
      <w:r>
        <w:rPr>
          <w:rFonts w:ascii="宋体" w:eastAsia="宋体" w:hAnsi="宋体" w:cs="宋体"/>
        </w:rPr>
        <w:t>§6 开放式基金份额变动</w:t>
      </w:r>
    </w:p>
    <w:p>
      <w:pPr>
        <w:jc w:val="right"/>
      </w:pPr>
      <w:r>
        <w:rPr>
          <w:rFonts w:ascii="宋体" w:eastAsia="宋体" w:hAnsi="宋体" w:cs="宋体"/>
          <w:b w:val="0"/>
        </w:rPr>
        <w:t>单位：份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
      <w:tblGrid>
        <w:gridCol w:w="4260"/>
        <w:gridCol w:w="2400"/>
        <w:gridCol w:w="24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c>
          <w:tcPr>
            <w:tcW w:w="2308" w:type="pct"/>
            <w:vAlign w:val="center"/>
          </w:tcPr>
          <w:p>
            <w:pPr>
              <w:spacing w:line="240" w:lineRule="auto"/>
              <w:jc w:val="center"/>
            </w:pPr>
          </w:p>
        </w:tc>
        <w:tc>
          <w:tcPr>
            <w:tcW w:w="1300" w:type="pct"/>
            <w:vAlign w:val="center"/>
          </w:tcPr>
          <w:p>
            <w:pPr>
              <w:spacing w:line="240" w:lineRule="auto"/>
              <w:jc w:val="center"/>
            </w:pPr>
            <w:r>
              <w:rPr>
                <w:rFonts w:ascii="宋体" w:eastAsia="宋体" w:hAnsi="宋体" w:cs="宋体"/>
                <w:b w:val="0"/>
              </w:rPr>
              <w:t>东方阿尔法瑞利混合发起A</w:t>
            </w:r>
          </w:p>
        </w:tc>
        <w:tc>
          <w:tcPr>
            <w:tcW w:w="1300" w:type="pct"/>
            <w:vAlign w:val="center"/>
          </w:tcPr>
          <w:p>
            <w:pPr>
              <w:spacing w:line="240" w:lineRule="auto"/>
              <w:jc w:val="center"/>
            </w:pPr>
            <w:r>
              <w:rPr>
                <w:rFonts w:ascii="宋体" w:eastAsia="宋体" w:hAnsi="宋体" w:cs="宋体"/>
                <w:b w:val="0"/>
              </w:rPr>
              <w:t>东方阿尔法瑞利混合发起C</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报告期期初基金份额总额</w:t>
            </w:r>
          </w:p>
        </w:tc>
        <w:tc>
          <w:tcPr>
            <w:tcW w:w="1300" w:type="pct"/>
            <w:vAlign w:val="center"/>
          </w:tcPr>
          <w:p>
            <w:pPr>
              <w:spacing w:line="240" w:lineRule="auto"/>
              <w:jc w:val="right"/>
            </w:pPr>
            <w:r>
              <w:rPr>
                <w:rFonts w:ascii="宋体" w:eastAsia="宋体" w:hAnsi="宋体" w:cs="宋体"/>
                <w:b w:val="0"/>
              </w:rPr>
              <w:t>20,662,213.71</w:t>
            </w:r>
          </w:p>
        </w:tc>
        <w:tc>
          <w:tcPr>
            <w:tcW w:w="1300" w:type="pct"/>
            <w:vAlign w:val="center"/>
          </w:tcPr>
          <w:p>
            <w:pPr>
              <w:spacing w:line="240" w:lineRule="auto"/>
              <w:jc w:val="right"/>
            </w:pPr>
            <w:r>
              <w:rPr>
                <w:rFonts w:ascii="宋体" w:eastAsia="宋体" w:hAnsi="宋体" w:cs="宋体"/>
                <w:b w:val="0"/>
              </w:rPr>
              <w:t>110,504,240.60</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报告期期间基金总申购份额</w:t>
            </w:r>
          </w:p>
        </w:tc>
        <w:tc>
          <w:tcPr>
            <w:tcW w:w="1300" w:type="pct"/>
            <w:vAlign w:val="center"/>
          </w:tcPr>
          <w:p>
            <w:pPr>
              <w:spacing w:line="240" w:lineRule="auto"/>
              <w:jc w:val="right"/>
            </w:pPr>
            <w:r>
              <w:rPr>
                <w:rFonts w:ascii="宋体" w:eastAsia="宋体" w:hAnsi="宋体" w:cs="宋体"/>
                <w:b w:val="0"/>
              </w:rPr>
              <w:t>9,539,654.78</w:t>
            </w:r>
          </w:p>
        </w:tc>
        <w:tc>
          <w:tcPr>
            <w:tcW w:w="1300" w:type="pct"/>
            <w:vAlign w:val="center"/>
          </w:tcPr>
          <w:p>
            <w:pPr>
              <w:spacing w:line="240" w:lineRule="auto"/>
              <w:jc w:val="right"/>
            </w:pPr>
            <w:r>
              <w:rPr>
                <w:rFonts w:ascii="宋体" w:eastAsia="宋体" w:hAnsi="宋体" w:cs="宋体"/>
                <w:b w:val="0"/>
              </w:rPr>
              <w:t>289,162,181.38</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减：报告期期间基金总赎回份额</w:t>
            </w:r>
          </w:p>
        </w:tc>
        <w:tc>
          <w:tcPr>
            <w:tcW w:w="1300" w:type="pct"/>
            <w:vAlign w:val="center"/>
          </w:tcPr>
          <w:p>
            <w:pPr>
              <w:spacing w:line="240" w:lineRule="auto"/>
              <w:jc w:val="right"/>
            </w:pPr>
            <w:r>
              <w:rPr>
                <w:rFonts w:ascii="宋体" w:eastAsia="宋体" w:hAnsi="宋体" w:cs="宋体"/>
                <w:b w:val="0"/>
              </w:rPr>
              <w:t>7,767,811.27</w:t>
            </w:r>
          </w:p>
        </w:tc>
        <w:tc>
          <w:tcPr>
            <w:tcW w:w="1300" w:type="pct"/>
            <w:vAlign w:val="center"/>
          </w:tcPr>
          <w:p>
            <w:pPr>
              <w:spacing w:line="240" w:lineRule="auto"/>
              <w:jc w:val="right"/>
            </w:pPr>
            <w:r>
              <w:rPr>
                <w:rFonts w:ascii="宋体" w:eastAsia="宋体" w:hAnsi="宋体" w:cs="宋体"/>
                <w:b w:val="0"/>
              </w:rPr>
              <w:t>254,188,265.47</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报告期期间基金拆分变动份额（份额减少以“-”填列）</w:t>
            </w:r>
          </w:p>
        </w:tc>
        <w:tc>
          <w:tcPr>
            <w:tcW w:w="1300" w:type="pct"/>
            <w:vAlign w:val="center"/>
          </w:tcPr>
          <w:p>
            <w:pPr>
              <w:spacing w:line="240" w:lineRule="auto"/>
              <w:jc w:val="right"/>
            </w:pPr>
            <w:r>
              <w:rPr>
                <w:rFonts w:ascii="宋体" w:eastAsia="宋体" w:hAnsi="宋体" w:cs="宋体"/>
                <w:b w:val="0"/>
              </w:rPr>
              <w:t>-</w:t>
            </w:r>
          </w:p>
        </w:tc>
        <w:tc>
          <w:tcPr>
            <w:tcW w:w="1300" w:type="pct"/>
            <w:vAlign w:val="center"/>
          </w:tcPr>
          <w:p>
            <w:pPr>
              <w:spacing w:line="240" w:lineRule="auto"/>
              <w:jc w:val="right"/>
            </w:pPr>
            <w:r>
              <w:rPr>
                <w:rFonts w:ascii="宋体" w:eastAsia="宋体" w:hAnsi="宋体" w:cs="宋体"/>
                <w:b w:val="0"/>
              </w:rPr>
              <w:t>-</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报告期期末基金份额总额</w:t>
            </w:r>
          </w:p>
        </w:tc>
        <w:tc>
          <w:tcPr>
            <w:tcW w:w="1300" w:type="pct"/>
            <w:vAlign w:val="center"/>
          </w:tcPr>
          <w:p>
            <w:pPr>
              <w:spacing w:line="240" w:lineRule="auto"/>
              <w:jc w:val="right"/>
            </w:pPr>
            <w:r>
              <w:rPr>
                <w:rFonts w:ascii="宋体" w:eastAsia="宋体" w:hAnsi="宋体" w:cs="宋体"/>
                <w:b w:val="0"/>
              </w:rPr>
              <w:t>22,434,057.22</w:t>
            </w:r>
          </w:p>
        </w:tc>
        <w:tc>
          <w:tcPr>
            <w:tcW w:w="1300" w:type="pct"/>
            <w:vAlign w:val="center"/>
          </w:tcPr>
          <w:p>
            <w:pPr>
              <w:spacing w:line="240" w:lineRule="auto"/>
              <w:jc w:val="right"/>
            </w:pPr>
            <w:r>
              <w:rPr>
                <w:rFonts w:ascii="宋体" w:eastAsia="宋体" w:hAnsi="宋体" w:cs="宋体"/>
                <w:b w:val="0"/>
              </w:rPr>
              <w:t>145,478,156.51</w:t>
            </w:r>
          </w:p>
        </w:tc>
      </w:tr>
    </w:tbl>
    <w:p>
      <w:pPr>
        <w:pStyle w:val="Heading1"/>
        <w:jc w:val="center"/>
      </w:pPr>
      <w:r>
        <w:rPr>
          <w:rFonts w:ascii="宋体" w:eastAsia="宋体" w:hAnsi="宋体" w:cs="宋体"/>
        </w:rPr>
        <w:t>§7 基金管理人运用固有资金投资本基金情况</w:t>
      </w:r>
    </w:p>
    <w:p>
      <w:pPr>
        <w:pStyle w:val="Heading2"/>
        <w:jc w:val="left"/>
      </w:pPr>
      <w:r>
        <w:rPr>
          <w:rFonts w:ascii="宋体" w:eastAsia="宋体" w:hAnsi="宋体" w:cs="宋体"/>
        </w:rPr>
        <w:t>7.1 基金管理人持有本基金份额变动情况</w:t>
      </w:r>
    </w:p>
    <w:p>
      <w:r>
        <w:rPr>
          <w:rFonts w:ascii="宋体" w:eastAsia="宋体" w:hAnsi="宋体" w:cs="宋体"/>
          <w:b w:val="0"/>
        </w:rPr>
        <w:t xml:space="preserve">    截至本报告期末，本基金管理人未持有本基金份额。</w:t>
      </w:r>
    </w:p>
    <w:p/>
    <w:p>
      <w:pPr>
        <w:pStyle w:val="Heading2"/>
        <w:jc w:val="left"/>
      </w:pPr>
      <w:r>
        <w:rPr>
          <w:rFonts w:ascii="宋体" w:eastAsia="宋体" w:hAnsi="宋体" w:cs="宋体"/>
        </w:rPr>
        <w:t>7.2 基金管理人运用固有资金投资本基金交易明细</w:t>
      </w:r>
    </w:p>
    <w:p>
      <w:r>
        <w:rPr>
          <w:rFonts w:ascii="宋体" w:eastAsia="宋体" w:hAnsi="宋体" w:cs="宋体"/>
          <w:b w:val="0"/>
        </w:rPr>
        <w:t xml:space="preserve">    本报告期内，本基金管理人未运用固有资金投资本基金。</w:t>
      </w:r>
    </w:p>
    <w:p>
      <w:pPr>
        <w:pStyle w:val="Heading1"/>
        <w:jc w:val="center"/>
      </w:pPr>
      <w:r>
        <w:rPr>
          <w:rFonts w:ascii="宋体" w:eastAsia="宋体" w:hAnsi="宋体" w:cs="宋体"/>
        </w:rPr>
        <w:t>§8 报告期末发起式基金发起资金持有份额情况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510"/>
        <w:gridCol w:w="1510"/>
        <w:gridCol w:w="1510"/>
        <w:gridCol w:w="1510"/>
        <w:gridCol w:w="1510"/>
        <w:gridCol w:w="151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38" w:type="pct"/>
            <w:shd w:val="clear" w:color="auto" w:fill="D9D9D9"/>
            <w:vAlign w:val="center"/>
          </w:tcPr>
          <w:p>
            <w:pPr>
              <w:spacing w:line="240" w:lineRule="auto"/>
              <w:jc w:val="center"/>
            </w:pPr>
            <w:r>
              <w:rPr>
                <w:rFonts w:ascii="宋体" w:eastAsia="宋体" w:hAnsi="宋体" w:cs="宋体"/>
                <w:b w:val="0"/>
              </w:rPr>
              <w:t>项目</w:t>
            </w:r>
          </w:p>
        </w:tc>
        <w:tc>
          <w:tcPr>
            <w:tcW w:w="692" w:type="pct"/>
            <w:shd w:val="clear" w:color="auto" w:fill="D9D9D9"/>
            <w:vAlign w:val="center"/>
          </w:tcPr>
          <w:p>
            <w:pPr>
              <w:spacing w:line="240" w:lineRule="auto"/>
              <w:jc w:val="center"/>
            </w:pPr>
            <w:r>
              <w:rPr>
                <w:rFonts w:ascii="宋体" w:eastAsia="宋体" w:hAnsi="宋体" w:cs="宋体"/>
                <w:b w:val="0"/>
              </w:rPr>
              <w:t>持有份额总数</w:t>
            </w:r>
          </w:p>
        </w:tc>
        <w:tc>
          <w:tcPr>
            <w:tcW w:w="692" w:type="pct"/>
            <w:shd w:val="clear" w:color="auto" w:fill="D9D9D9"/>
            <w:vAlign w:val="center"/>
          </w:tcPr>
          <w:p>
            <w:pPr>
              <w:spacing w:line="240" w:lineRule="auto"/>
              <w:jc w:val="center"/>
            </w:pPr>
            <w:r>
              <w:rPr>
                <w:rFonts w:ascii="宋体" w:eastAsia="宋体" w:hAnsi="宋体" w:cs="宋体"/>
                <w:b w:val="0"/>
              </w:rPr>
              <w:t>持有份额占基金总份额比例</w:t>
            </w:r>
          </w:p>
        </w:tc>
        <w:tc>
          <w:tcPr>
            <w:tcW w:w="692" w:type="pct"/>
            <w:shd w:val="clear" w:color="auto" w:fill="D9D9D9"/>
            <w:vAlign w:val="center"/>
          </w:tcPr>
          <w:p>
            <w:pPr>
              <w:spacing w:line="240" w:lineRule="auto"/>
              <w:jc w:val="center"/>
            </w:pPr>
            <w:r>
              <w:rPr>
                <w:rFonts w:ascii="宋体" w:eastAsia="宋体" w:hAnsi="宋体" w:cs="宋体"/>
                <w:b w:val="0"/>
              </w:rPr>
              <w:t>发起份额总数</w:t>
            </w:r>
          </w:p>
        </w:tc>
        <w:tc>
          <w:tcPr>
            <w:tcW w:w="692" w:type="pct"/>
            <w:shd w:val="clear" w:color="auto" w:fill="D9D9D9"/>
            <w:vAlign w:val="center"/>
          </w:tcPr>
          <w:p>
            <w:pPr>
              <w:spacing w:line="240" w:lineRule="auto"/>
              <w:jc w:val="center"/>
            </w:pPr>
            <w:r>
              <w:rPr>
                <w:rFonts w:ascii="宋体" w:eastAsia="宋体" w:hAnsi="宋体" w:cs="宋体"/>
                <w:b w:val="0"/>
              </w:rPr>
              <w:t>发起份额占基金总份额比例</w:t>
            </w:r>
          </w:p>
        </w:tc>
        <w:tc>
          <w:tcPr>
            <w:tcW w:w="692" w:type="pct"/>
            <w:shd w:val="clear" w:color="auto" w:fill="D9D9D9"/>
            <w:vAlign w:val="center"/>
          </w:tcPr>
          <w:p>
            <w:pPr>
              <w:spacing w:line="240" w:lineRule="auto"/>
              <w:jc w:val="center"/>
            </w:pPr>
            <w:r>
              <w:rPr>
                <w:rFonts w:ascii="宋体" w:eastAsia="宋体" w:hAnsi="宋体" w:cs="宋体"/>
                <w:b w:val="0"/>
              </w:rPr>
              <w:t>发起份额承诺持有期限</w:t>
            </w:r>
          </w:p>
        </w:tc>
      </w:tr>
      <w:tr>
        <w:tblPrEx>
          <w:tblW w:w="5000" w:type="pct"/>
        </w:tblPrEx>
        <w:tc>
          <w:tcPr>
            <w:tcW w:w="0" w:type="dxa"/>
            <w:vAlign w:val="center"/>
          </w:tcPr>
          <w:p>
            <w:pPr>
              <w:spacing w:line="240" w:lineRule="auto"/>
              <w:jc w:val="left"/>
            </w:pPr>
            <w:r>
              <w:rPr>
                <w:rFonts w:ascii="宋体" w:eastAsia="宋体" w:hAnsi="宋体" w:cs="宋体"/>
                <w:b w:val="0"/>
              </w:rPr>
              <w:t>基金管理人固有资金</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left"/>
            </w:pPr>
            <w:r>
              <w:rPr>
                <w:rFonts w:ascii="宋体" w:eastAsia="宋体" w:hAnsi="宋体" w:cs="宋体"/>
                <w:b w:val="0"/>
              </w:rPr>
              <w:t>-</w:t>
            </w:r>
          </w:p>
        </w:tc>
      </w:tr>
      <w:tr>
        <w:tblPrEx>
          <w:tblW w:w="5000" w:type="pct"/>
        </w:tblPrEx>
        <w:tc>
          <w:tcPr>
            <w:tcW w:w="0" w:type="dxa"/>
            <w:vAlign w:val="center"/>
          </w:tcPr>
          <w:p>
            <w:pPr>
              <w:spacing w:line="240" w:lineRule="auto"/>
              <w:jc w:val="left"/>
            </w:pPr>
            <w:r>
              <w:rPr>
                <w:rFonts w:ascii="宋体" w:eastAsia="宋体" w:hAnsi="宋体" w:cs="宋体"/>
                <w:b w:val="0"/>
              </w:rPr>
              <w:t>基金管理人高级管理人员</w:t>
            </w:r>
          </w:p>
        </w:tc>
        <w:tc>
          <w:tcPr>
            <w:tcW w:w="0" w:type="dxa"/>
            <w:vAlign w:val="center"/>
          </w:tcPr>
          <w:p>
            <w:pPr>
              <w:spacing w:line="240" w:lineRule="auto"/>
              <w:jc w:val="right"/>
            </w:pPr>
            <w:r>
              <w:rPr>
                <w:rFonts w:ascii="宋体" w:eastAsia="宋体" w:hAnsi="宋体" w:cs="宋体"/>
                <w:b w:val="0"/>
              </w:rPr>
              <w:t>10,000,388.88</w:t>
            </w:r>
          </w:p>
        </w:tc>
        <w:tc>
          <w:tcPr>
            <w:tcW w:w="0" w:type="dxa"/>
            <w:vAlign w:val="center"/>
          </w:tcPr>
          <w:p>
            <w:pPr>
              <w:spacing w:line="240" w:lineRule="auto"/>
              <w:jc w:val="right"/>
            </w:pPr>
            <w:r>
              <w:rPr>
                <w:rFonts w:ascii="宋体" w:eastAsia="宋体" w:hAnsi="宋体" w:cs="宋体"/>
                <w:b w:val="0"/>
              </w:rPr>
              <w:t>5.96%</w:t>
            </w:r>
          </w:p>
        </w:tc>
        <w:tc>
          <w:tcPr>
            <w:tcW w:w="0" w:type="dxa"/>
            <w:vAlign w:val="center"/>
          </w:tcPr>
          <w:p>
            <w:pPr>
              <w:spacing w:line="240" w:lineRule="auto"/>
              <w:jc w:val="right"/>
            </w:pPr>
            <w:r>
              <w:rPr>
                <w:rFonts w:ascii="宋体" w:eastAsia="宋体" w:hAnsi="宋体" w:cs="宋体"/>
                <w:b w:val="0"/>
              </w:rPr>
              <w:t>10,000,388.88</w:t>
            </w:r>
          </w:p>
        </w:tc>
        <w:tc>
          <w:tcPr>
            <w:tcW w:w="0" w:type="dxa"/>
            <w:vAlign w:val="center"/>
          </w:tcPr>
          <w:p>
            <w:pPr>
              <w:spacing w:line="240" w:lineRule="auto"/>
              <w:jc w:val="right"/>
            </w:pPr>
            <w:r>
              <w:rPr>
                <w:rFonts w:ascii="宋体" w:eastAsia="宋体" w:hAnsi="宋体" w:cs="宋体"/>
                <w:b w:val="0"/>
              </w:rPr>
              <w:t>5.96%</w:t>
            </w:r>
          </w:p>
        </w:tc>
        <w:tc>
          <w:tcPr>
            <w:tcW w:w="0" w:type="dxa"/>
            <w:vAlign w:val="center"/>
          </w:tcPr>
          <w:p>
            <w:pPr>
              <w:spacing w:line="240" w:lineRule="auto"/>
              <w:jc w:val="left"/>
            </w:pPr>
            <w:r>
              <w:rPr>
                <w:rFonts w:ascii="宋体" w:eastAsia="宋体" w:hAnsi="宋体" w:cs="宋体"/>
                <w:b w:val="0"/>
              </w:rPr>
              <w:t>自合同生效之日起不少于3年</w:t>
            </w:r>
          </w:p>
        </w:tc>
      </w:tr>
      <w:tr>
        <w:tblPrEx>
          <w:tblW w:w="5000" w:type="pct"/>
        </w:tblPrEx>
        <w:tc>
          <w:tcPr>
            <w:tcW w:w="0" w:type="dxa"/>
            <w:vAlign w:val="center"/>
          </w:tcPr>
          <w:p>
            <w:pPr>
              <w:spacing w:line="240" w:lineRule="auto"/>
              <w:jc w:val="left"/>
            </w:pPr>
            <w:r>
              <w:rPr>
                <w:rFonts w:ascii="宋体" w:eastAsia="宋体" w:hAnsi="宋体" w:cs="宋体"/>
                <w:b w:val="0"/>
              </w:rPr>
              <w:t>基金经理等人员</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left"/>
            </w:pPr>
            <w:r>
              <w:rPr>
                <w:rFonts w:ascii="宋体" w:eastAsia="宋体" w:hAnsi="宋体" w:cs="宋体"/>
                <w:b w:val="0"/>
              </w:rPr>
              <w:t>-</w:t>
            </w:r>
          </w:p>
        </w:tc>
      </w:tr>
      <w:tr>
        <w:tblPrEx>
          <w:tblW w:w="5000" w:type="pct"/>
        </w:tblPrEx>
        <w:tc>
          <w:tcPr>
            <w:tcW w:w="0" w:type="dxa"/>
            <w:vAlign w:val="center"/>
          </w:tcPr>
          <w:p>
            <w:pPr>
              <w:spacing w:line="240" w:lineRule="auto"/>
              <w:jc w:val="left"/>
            </w:pPr>
            <w:r>
              <w:rPr>
                <w:rFonts w:ascii="宋体" w:eastAsia="宋体" w:hAnsi="宋体" w:cs="宋体"/>
                <w:b w:val="0"/>
              </w:rPr>
              <w:t>基金管理人股东</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left"/>
            </w:pPr>
            <w:r>
              <w:rPr>
                <w:rFonts w:ascii="宋体" w:eastAsia="宋体" w:hAnsi="宋体" w:cs="宋体"/>
                <w:b w:val="0"/>
              </w:rPr>
              <w:t>-</w:t>
            </w:r>
          </w:p>
        </w:tc>
      </w:tr>
      <w:tr>
        <w:tblPrEx>
          <w:tblW w:w="5000" w:type="pct"/>
        </w:tblPrEx>
        <w:tc>
          <w:tcPr>
            <w:tcW w:w="0" w:type="dxa"/>
            <w:vAlign w:val="center"/>
          </w:tcPr>
          <w:p>
            <w:pPr>
              <w:spacing w:line="240" w:lineRule="auto"/>
              <w:jc w:val="left"/>
            </w:pPr>
            <w:r>
              <w:rPr>
                <w:rFonts w:ascii="宋体" w:eastAsia="宋体" w:hAnsi="宋体" w:cs="宋体"/>
                <w:b w:val="0"/>
              </w:rPr>
              <w:t>其他</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lef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10,000,388.88</w:t>
            </w:r>
          </w:p>
        </w:tc>
        <w:tc>
          <w:tcPr>
            <w:tcW w:w="0" w:type="dxa"/>
            <w:vAlign w:val="center"/>
          </w:tcPr>
          <w:p>
            <w:pPr>
              <w:spacing w:line="240" w:lineRule="auto"/>
              <w:jc w:val="right"/>
            </w:pPr>
            <w:r>
              <w:rPr>
                <w:rFonts w:ascii="宋体" w:eastAsia="宋体" w:hAnsi="宋体" w:cs="宋体"/>
                <w:b w:val="0"/>
              </w:rPr>
              <w:t>5.96%</w:t>
            </w:r>
          </w:p>
        </w:tc>
        <w:tc>
          <w:tcPr>
            <w:tcW w:w="0" w:type="dxa"/>
            <w:vAlign w:val="center"/>
          </w:tcPr>
          <w:p>
            <w:pPr>
              <w:spacing w:line="240" w:lineRule="auto"/>
              <w:jc w:val="right"/>
            </w:pPr>
            <w:r>
              <w:rPr>
                <w:rFonts w:ascii="宋体" w:eastAsia="宋体" w:hAnsi="宋体" w:cs="宋体"/>
                <w:b w:val="0"/>
              </w:rPr>
              <w:t>10,000,388.88</w:t>
            </w:r>
          </w:p>
        </w:tc>
        <w:tc>
          <w:tcPr>
            <w:tcW w:w="0" w:type="dxa"/>
            <w:vAlign w:val="center"/>
          </w:tcPr>
          <w:p>
            <w:pPr>
              <w:spacing w:line="240" w:lineRule="auto"/>
              <w:jc w:val="right"/>
            </w:pPr>
            <w:r>
              <w:rPr>
                <w:rFonts w:ascii="宋体" w:eastAsia="宋体" w:hAnsi="宋体" w:cs="宋体"/>
                <w:b w:val="0"/>
              </w:rPr>
              <w:t>5.96%</w:t>
            </w:r>
          </w:p>
        </w:tc>
        <w:tc>
          <w:tcPr>
            <w:tcW w:w="0" w:type="dxa"/>
            <w:vAlign w:val="center"/>
          </w:tcPr>
          <w:p>
            <w:pPr>
              <w:spacing w:line="240" w:lineRule="auto"/>
              <w:jc w:val="left"/>
            </w:pPr>
            <w:r>
              <w:rPr>
                <w:rFonts w:ascii="宋体" w:eastAsia="宋体" w:hAnsi="宋体" w:cs="宋体"/>
                <w:b w:val="0"/>
              </w:rPr>
              <w:t>-</w:t>
            </w:r>
          </w:p>
        </w:tc>
      </w:tr>
    </w:tbl>
    <w:p>
      <w:pPr>
        <w:pStyle w:val="Heading1"/>
        <w:jc w:val="center"/>
      </w:pPr>
      <w:r>
        <w:rPr>
          <w:rFonts w:ascii="宋体" w:eastAsia="宋体" w:hAnsi="宋体" w:cs="宋体"/>
        </w:rPr>
        <w:t>§9 影响投资者决策的其他重要信息</w:t>
      </w:r>
    </w:p>
    <w:p>
      <w:pPr>
        <w:pStyle w:val="Heading2"/>
        <w:jc w:val="left"/>
      </w:pPr>
      <w:r>
        <w:rPr>
          <w:rFonts w:ascii="宋体" w:eastAsia="宋体" w:hAnsi="宋体" w:cs="宋体"/>
        </w:rPr>
        <w:t>9.1 报告期内单一投资者持有基金份额比例达到或超过20%的情况</w:t>
      </w:r>
    </w:p>
    <w:p>
      <w:r>
        <w:rPr>
          <w:rFonts w:ascii="宋体" w:eastAsia="宋体" w:hAnsi="宋体" w:cs="宋体"/>
          <w:b w:val="0"/>
        </w:rPr>
        <w:t xml:space="preserve">    本报告期内，本基金不存在单一投资者持有基金份额比例达到或超过20%的情况。</w:t>
      </w:r>
    </w:p>
    <w:p/>
    <w:p>
      <w:pPr>
        <w:pStyle w:val="Heading2"/>
        <w:jc w:val="left"/>
      </w:pPr>
      <w:r>
        <w:rPr>
          <w:rFonts w:ascii="宋体" w:eastAsia="宋体" w:hAnsi="宋体" w:cs="宋体"/>
        </w:rPr>
        <w:t>9.2 影响投资者决策的其他重要信息</w:t>
      </w:r>
    </w:p>
    <w:p>
      <w:r>
        <w:rPr>
          <w:rFonts w:ascii="宋体" w:eastAsia="宋体" w:hAnsi="宋体" w:cs="宋体"/>
          <w:b w:val="0"/>
        </w:rPr>
        <w:t xml:space="preserve">    无。</w:t>
      </w:r>
    </w:p>
    <w:p>
      <w:pPr>
        <w:pStyle w:val="Heading1"/>
        <w:jc w:val="center"/>
      </w:pPr>
      <w:r>
        <w:rPr>
          <w:rFonts w:ascii="宋体" w:eastAsia="宋体" w:hAnsi="宋体" w:cs="宋体"/>
        </w:rPr>
        <w:t>§10 备查文件目录</w:t>
      </w:r>
    </w:p>
    <w:p>
      <w:pPr>
        <w:pStyle w:val="Heading2"/>
        <w:jc w:val="left"/>
      </w:pPr>
      <w:r>
        <w:rPr>
          <w:rFonts w:ascii="宋体" w:eastAsia="宋体" w:hAnsi="宋体" w:cs="宋体"/>
        </w:rPr>
        <w:t>10.1 备查文件目录</w:t>
      </w:r>
    </w:p>
    <w:p>
      <w:r>
        <w:rPr>
          <w:rFonts w:ascii="宋体" w:eastAsia="宋体" w:hAnsi="宋体" w:cs="宋体"/>
          <w:b w:val="0"/>
        </w:rPr>
        <w:t xml:space="preserve">    1、中国证券监督管理委员会批准的东方阿尔法瑞利混合型发起式证券投资基金设立的文件；</w:t>
        <w:br/>
      </w:r>
      <w:r>
        <w:rPr>
          <w:rFonts w:ascii="宋体" w:eastAsia="宋体" w:hAnsi="宋体" w:cs="宋体"/>
          <w:b w:val="0"/>
        </w:rPr>
        <w:t xml:space="preserve">    2、《东方阿尔法瑞利混合型发起式证券投资基金基金合同》；</w:t>
        <w:br/>
      </w:r>
      <w:r>
        <w:rPr>
          <w:rFonts w:ascii="宋体" w:eastAsia="宋体" w:hAnsi="宋体" w:cs="宋体"/>
          <w:b w:val="0"/>
        </w:rPr>
        <w:t xml:space="preserve">    3、《东方阿尔法瑞利混合型发起式证券投资基金托管协议》；</w:t>
        <w:br/>
      </w:r>
      <w:r>
        <w:rPr>
          <w:rFonts w:ascii="宋体" w:eastAsia="宋体" w:hAnsi="宋体" w:cs="宋体"/>
          <w:b w:val="0"/>
        </w:rPr>
        <w:t xml:space="preserve">    4、《东方阿尔法瑞利混合型发起式证券投资基金招募说明书》（含更新）；</w:t>
        <w:br/>
      </w:r>
      <w:r>
        <w:rPr>
          <w:rFonts w:ascii="宋体" w:eastAsia="宋体" w:hAnsi="宋体" w:cs="宋体"/>
          <w:b w:val="0"/>
        </w:rPr>
        <w:t xml:space="preserve">    5、基金管理人业务资格批件和营业执照。</w:t>
      </w:r>
    </w:p>
    <w:p/>
    <w:p>
      <w:pPr>
        <w:pStyle w:val="Heading2"/>
        <w:jc w:val="left"/>
      </w:pPr>
      <w:r>
        <w:rPr>
          <w:rFonts w:ascii="宋体" w:eastAsia="宋体" w:hAnsi="宋体" w:cs="宋体"/>
        </w:rPr>
        <w:t>10.2 存放地点</w:t>
      </w:r>
    </w:p>
    <w:p>
      <w:r>
        <w:rPr>
          <w:rFonts w:ascii="宋体" w:eastAsia="宋体" w:hAnsi="宋体" w:cs="宋体"/>
          <w:b w:val="0"/>
        </w:rPr>
        <w:t xml:space="preserve">    广东省深圳市深南大道6008号深圳特区报业大厦23BC。</w:t>
      </w:r>
    </w:p>
    <w:p/>
    <w:p>
      <w:pPr>
        <w:pStyle w:val="Heading2"/>
        <w:jc w:val="left"/>
      </w:pPr>
      <w:r>
        <w:rPr>
          <w:rFonts w:ascii="宋体" w:eastAsia="宋体" w:hAnsi="宋体" w:cs="宋体"/>
        </w:rPr>
        <w:t>10.3 查阅方式</w:t>
      </w:r>
    </w:p>
    <w:p>
      <w:r>
        <w:rPr>
          <w:rFonts w:ascii="宋体" w:eastAsia="宋体" w:hAnsi="宋体" w:cs="宋体"/>
          <w:b w:val="0"/>
        </w:rPr>
        <w:t xml:space="preserve">    1、投资者可在营业时间免费查阅，也可按工本费购买复印件。</w:t>
        <w:br/>
      </w:r>
      <w:r>
        <w:rPr>
          <w:rFonts w:ascii="宋体" w:eastAsia="宋体" w:hAnsi="宋体" w:cs="宋体"/>
          <w:b w:val="0"/>
        </w:rPr>
        <w:t xml:space="preserve">    2、投资者对本报告书如有疑问，可咨询本基金管理人东方阿尔法基金管理有限公司，客户服务电话：400-930-6677（免长途话费）。</w:t>
        <w:br/>
      </w:r>
      <w:r>
        <w:rPr>
          <w:rFonts w:ascii="宋体" w:eastAsia="宋体" w:hAnsi="宋体" w:cs="宋体"/>
          <w:b w:val="0"/>
        </w:rPr>
        <w:t xml:space="preserve">    3、投资者可通过中国证监会基金电子披露网站（http://eid.csrc.gov.cn/fund/）和基金管理人网站（https://www.dfa66.com）查阅本报告书。</w:t>
      </w:r>
    </w:p>
    <w:p/>
    <w:p/>
    <w:p/>
    <w:p>
      <w:pPr>
        <w:jc w:val="right"/>
      </w:pPr>
      <w:r>
        <w:rPr>
          <w:rFonts w:ascii="宋体" w:eastAsia="宋体" w:hAnsi="宋体" w:cs="宋体"/>
          <w:b/>
        </w:rPr>
        <w:t>东方阿尔法基金管理有限公司</w:t>
      </w:r>
    </w:p>
    <w:p>
      <w:pPr>
        <w:jc w:val="right"/>
      </w:pPr>
      <w:r>
        <w:rPr>
          <w:rFonts w:ascii="宋体" w:eastAsia="宋体" w:hAnsi="宋体" w:cs="宋体"/>
          <w:b/>
        </w:rPr>
        <w:t>二〇二六年十月二十六日</w:t>
      </w:r>
    </w:p>
    <w:sectPr w:rsidSect="000B0ABB">
      <w:headerReference w:type="even" r:id="rId8"/>
      <w:headerReference w:type="default" r:id="rId9"/>
      <w:footerReference w:type="even" r:id="rId10"/>
      <w:footerReference w:type="default" r:id="rId11"/>
      <w:headerReference w:type="first" r:id="rId12"/>
      <w:footerReference w:type="first" r:id="rId13"/>
      <w:pgSz w:w="11906" w:h="16838"/>
      <w:pgMar w:top="1440" w:right="1418" w:bottom="1440" w:left="1418" w:header="851" w:footer="992" w:gutter="0"/>
      <w:pgNumType w:start="0"/>
      <w:cols w:space="425"/>
      <w:titlePg/>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325" w14:paraId="4DC36F2E" w14:textId="77777777">
    <w:pPr>
      <w:pStyle w:val="Da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6EB6" w:rsidRPr="00BB3931" w14:paraId="0C910235" w14:textId="1E8BACBC">
    <w:pPr>
      <w:pBdr>
        <w:top w:val="single" w:sz="2" w:space="0" w:color="auto"/>
      </w:pBdr>
      <w:tabs>
        <w:tab w:val="right" w:pos="8640"/>
      </w:tabs>
      <w:jc w:val="center"/>
      <w:textAlignment w:val="center"/>
      <w:rPr>
        <w:rFonts w:ascii="宋体" w:eastAsia="宋体" w:hAnsi="宋体"/>
        <w:sz w:val="20"/>
        <w:szCs w:val="20"/>
      </w:rPr>
    </w:pPr>
    <w:r w:rsidRPr="00BB3931">
      <w:rPr>
        <w:rFonts w:ascii="宋体" w:eastAsia="宋体" w:hAnsi="宋体" w:cs="宋体" w:hint="eastAsia"/>
        <w:sz w:val="20"/>
        <w:szCs w:val="20"/>
        <w:lang w:bidi="ar"/>
      </w:rPr>
      <w:t>第</w:t>
    </w:r>
    <w:r w:rsidRPr="00BB3931">
      <w:rPr>
        <w:rFonts w:ascii="宋体" w:eastAsia="宋体" w:hAnsi="宋体" w:cs="Times New Roman" w:hint="eastAsia"/>
        <w:sz w:val="20"/>
        <w:szCs w:val="20"/>
        <w:lang w:bidi="ar"/>
      </w:rPr>
      <w:fldChar w:fldCharType="begin"/>
    </w:r>
    <w:r w:rsidRPr="00BB3931">
      <w:rPr>
        <w:rFonts w:ascii="宋体" w:eastAsia="宋体" w:hAnsi="宋体" w:cs="宋体" w:hint="eastAsia"/>
        <w:sz w:val="20"/>
        <w:szCs w:val="20"/>
        <w:lang w:bidi="ar"/>
      </w:rPr>
      <w:instrText>PAGE  \* MERGEFORMAT</w:instrText>
    </w:r>
    <w:r w:rsidRPr="00BB3931">
      <w:rPr>
        <w:rFonts w:ascii="宋体" w:eastAsia="宋体" w:hAnsi="宋体" w:cs="Times New Roman" w:hint="eastAsia"/>
        <w:sz w:val="20"/>
        <w:szCs w:val="20"/>
        <w:lang w:bidi="ar"/>
      </w:rPr>
      <w:fldChar w:fldCharType="separate"/>
    </w:r>
    <w:r w:rsidRPr="00BB3931" w:rsidR="00421707">
      <w:rPr>
        <w:rFonts w:ascii="宋体" w:eastAsia="宋体" w:hAnsi="宋体" w:cs="宋体"/>
        <w:noProof/>
        <w:sz w:val="20"/>
        <w:szCs w:val="20"/>
        <w:lang w:bidi="ar"/>
      </w:rPr>
      <w:t>2</w:t>
    </w:r>
    <w:r w:rsidRPr="00BB3931">
      <w:rPr>
        <w:rFonts w:ascii="宋体" w:eastAsia="宋体" w:hAnsi="宋体" w:cs="宋体" w:hint="eastAsia"/>
        <w:sz w:val="20"/>
        <w:szCs w:val="20"/>
        <w:lang w:bidi="ar"/>
      </w:rPr>
      <w:fldChar w:fldCharType="end"/>
    </w:r>
    <w:r w:rsidRPr="00BB3931">
      <w:rPr>
        <w:rFonts w:ascii="宋体" w:eastAsia="宋体" w:hAnsi="宋体" w:cs="宋体" w:hint="eastAsia"/>
        <w:sz w:val="20"/>
        <w:szCs w:val="20"/>
        <w:lang w:bidi="ar"/>
      </w:rPr>
      <w:t>页</w:t>
    </w:r>
    <w:r w:rsidRPr="00BB3931" w:rsidR="00FA6399">
      <w:rPr>
        <w:rFonts w:ascii="宋体" w:eastAsia="宋体" w:hAnsi="宋体" w:cs="宋体" w:hint="eastAsia"/>
        <w:sz w:val="20"/>
        <w:szCs w:val="20"/>
        <w:lang w:bidi="ar"/>
      </w:rPr>
      <w:t>，</w:t>
    </w:r>
    <w:r w:rsidRPr="00BB3931">
      <w:rPr>
        <w:rFonts w:ascii="宋体" w:eastAsia="宋体" w:hAnsi="宋体" w:cs="宋体" w:hint="eastAsia"/>
        <w:sz w:val="20"/>
        <w:szCs w:val="20"/>
        <w:lang w:bidi="ar"/>
      </w:rPr>
      <w:t>共</w:t>
    </w:r>
    <w:r w:rsidRPr="00BB3931">
      <w:rPr>
        <w:rFonts w:ascii="宋体" w:eastAsia="宋体" w:hAnsi="宋体" w:cs="Times New Roman" w:hint="eastAsia"/>
        <w:sz w:val="20"/>
        <w:szCs w:val="20"/>
        <w:lang w:bidi="ar"/>
      </w:rPr>
      <w:fldChar w:fldCharType="begin"/>
    </w:r>
    <w:r w:rsidRPr="00BB3931" w:rsidR="00210325">
      <w:rPr>
        <w:rFonts w:ascii="宋体" w:eastAsia="宋体" w:hAnsi="宋体" w:cs="Times New Roman"/>
        <w:sz w:val="20"/>
        <w:szCs w:val="20"/>
        <w:lang w:bidi="ar"/>
      </w:rPr>
      <w:instrText>=</w:instrText>
    </w:r>
    <w:r w:rsidRPr="00BB3931" w:rsidR="00210325">
      <w:rPr>
        <w:rFonts w:ascii="宋体" w:eastAsia="宋体" w:hAnsi="宋体" w:cs="宋体"/>
        <w:sz w:val="20"/>
        <w:szCs w:val="20"/>
        <w:lang w:bidi="ar"/>
      </w:rPr>
      <w:fldChar w:fldCharType="begin"/>
    </w:r>
    <w:r w:rsidRPr="00BB3931" w:rsidR="00210325">
      <w:rPr>
        <w:rFonts w:ascii="宋体" w:eastAsia="宋体" w:hAnsi="宋体" w:cs="宋体"/>
        <w:sz w:val="20"/>
        <w:szCs w:val="20"/>
        <w:lang w:bidi="ar"/>
      </w:rPr>
      <w:instrText xml:space="preserve"> </w:instrText>
    </w:r>
    <w:r w:rsidRPr="00BB3931">
      <w:rPr>
        <w:rFonts w:ascii="宋体" w:eastAsia="宋体" w:hAnsi="宋体" w:cs="宋体" w:hint="eastAsia"/>
        <w:sz w:val="20"/>
        <w:szCs w:val="20"/>
        <w:lang w:bidi="ar"/>
      </w:rPr>
      <w:instrText>NUMPAGES</w:instrText>
    </w:r>
    <w:r w:rsidRPr="00BB3931" w:rsidR="00210325">
      <w:rPr>
        <w:rFonts w:ascii="宋体" w:eastAsia="宋体" w:hAnsi="宋体" w:cs="宋体"/>
        <w:sz w:val="20"/>
        <w:szCs w:val="20"/>
        <w:lang w:bidi="ar"/>
      </w:rPr>
      <w:instrText xml:space="preserve"> </w:instrText>
    </w:r>
    <w:r w:rsidRPr="00BB3931" w:rsidR="00210325">
      <w:rPr>
        <w:rFonts w:ascii="宋体" w:eastAsia="宋体" w:hAnsi="宋体" w:cs="宋体"/>
        <w:sz w:val="20"/>
        <w:szCs w:val="20"/>
        <w:lang w:bidi="ar"/>
      </w:rPr>
      <w:fldChar w:fldCharType="separate"/>
    </w:r>
    <w:r w:rsidR="00F07C93">
      <w:rPr>
        <w:rFonts w:ascii="宋体" w:eastAsia="宋体" w:hAnsi="宋体" w:cs="宋体"/>
        <w:noProof/>
        <w:sz w:val="20"/>
        <w:szCs w:val="20"/>
        <w:lang w:bidi="ar"/>
      </w:rPr>
      <w:instrText>2</w:instrText>
    </w:r>
    <w:r w:rsidRPr="00BB3931" w:rsidR="00210325">
      <w:rPr>
        <w:rFonts w:ascii="宋体" w:eastAsia="宋体" w:hAnsi="宋体" w:cs="宋体"/>
        <w:sz w:val="20"/>
        <w:szCs w:val="20"/>
        <w:lang w:bidi="ar"/>
      </w:rPr>
      <w:fldChar w:fldCharType="end"/>
    </w:r>
    <w:r w:rsidRPr="00BB3931" w:rsidR="00210325">
      <w:rPr>
        <w:rFonts w:ascii="宋体" w:eastAsia="宋体" w:hAnsi="宋体" w:cs="宋体"/>
        <w:sz w:val="20"/>
        <w:szCs w:val="20"/>
        <w:lang w:bidi="ar"/>
      </w:rPr>
      <w:instrText>-1</w:instrText>
    </w:r>
    <w:r w:rsidRPr="00BB3931">
      <w:rPr>
        <w:rFonts w:ascii="宋体" w:eastAsia="宋体" w:hAnsi="宋体" w:cs="Times New Roman" w:hint="eastAsia"/>
        <w:sz w:val="20"/>
        <w:szCs w:val="20"/>
        <w:lang w:bidi="ar"/>
      </w:rPr>
      <w:fldChar w:fldCharType="separate"/>
    </w:r>
    <w:r w:rsidR="00F07C93">
      <w:rPr>
        <w:rFonts w:ascii="宋体" w:eastAsia="宋体" w:hAnsi="宋体" w:cs="Times New Roman"/>
        <w:noProof/>
        <w:sz w:val="20"/>
        <w:szCs w:val="20"/>
        <w:lang w:bidi="ar"/>
      </w:rPr>
      <w:t>1</w:t>
    </w:r>
    <w:r w:rsidRPr="00BB3931">
      <w:rPr>
        <w:rFonts w:ascii="宋体" w:eastAsia="宋体" w:hAnsi="宋体" w:cs="宋体" w:hint="eastAsia"/>
        <w:sz w:val="20"/>
        <w:szCs w:val="20"/>
        <w:lang w:bidi="ar"/>
      </w:rPr>
      <w:fldChar w:fldCharType="end"/>
    </w:r>
    <w:r w:rsidRPr="00BB3931">
      <w:rPr>
        <w:rFonts w:ascii="宋体" w:eastAsia="宋体" w:hAnsi="宋体" w:cs="宋体" w:hint="eastAsia"/>
        <w:sz w:val="20"/>
        <w:szCs w:val="20"/>
        <w:lang w:bidi="ar"/>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325" w14:paraId="26604EC9" w14:textId="77777777">
    <w:pPr>
      <w:pStyle w:val="Date"/>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325" w14:paraId="4A3BB55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6EB6" w:rsidRPr="00A53CFE" w14:paraId="53998A64" w14:textId="77777777">
    <w:pPr>
      <w:pBdr>
        <w:bottom w:val="single" w:sz="4" w:space="1" w:color="auto"/>
      </w:pBdr>
      <w:jc w:val="right"/>
      <w:rPr>
        <w:rFonts w:ascii="宋体" w:eastAsia="宋体" w:hAnsi="宋体"/>
      </w:rPr>
    </w:pPr>
    <w:r w:rsidRPr="00A53CFE">
      <w:rPr>
        <w:rFonts w:ascii="宋体" w:eastAsia="宋体" w:hAnsi="宋体" w:hint="eastAsia"/>
        <w:sz w:val="18"/>
      </w:rPr>
      <w:t>东方阿尔法瑞利混合型发起式证券投资基金2026年第3季度报告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325" w14:paraId="0734E7EB" w14:textId="7777777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4F1"/>
    <w:rsid w:val="00031D8B"/>
    <w:rsid w:val="00033BEA"/>
    <w:rsid w:val="00093312"/>
    <w:rsid w:val="000934BF"/>
    <w:rsid w:val="000B0ABB"/>
    <w:rsid w:val="000B14F1"/>
    <w:rsid w:val="000D44F1"/>
    <w:rsid w:val="000F65E0"/>
    <w:rsid w:val="001567AA"/>
    <w:rsid w:val="001663E4"/>
    <w:rsid w:val="001941F0"/>
    <w:rsid w:val="001A0694"/>
    <w:rsid w:val="001A6F82"/>
    <w:rsid w:val="001E49DE"/>
    <w:rsid w:val="001E604E"/>
    <w:rsid w:val="001E72DB"/>
    <w:rsid w:val="00210325"/>
    <w:rsid w:val="00217CEB"/>
    <w:rsid w:val="0026022A"/>
    <w:rsid w:val="00294812"/>
    <w:rsid w:val="002C6A0C"/>
    <w:rsid w:val="002D4665"/>
    <w:rsid w:val="00315609"/>
    <w:rsid w:val="00324653"/>
    <w:rsid w:val="0039693D"/>
    <w:rsid w:val="00396EB6"/>
    <w:rsid w:val="003B4810"/>
    <w:rsid w:val="00421707"/>
    <w:rsid w:val="004245F7"/>
    <w:rsid w:val="00435171"/>
    <w:rsid w:val="0048630B"/>
    <w:rsid w:val="004A5321"/>
    <w:rsid w:val="004F33D8"/>
    <w:rsid w:val="004F7772"/>
    <w:rsid w:val="005037A9"/>
    <w:rsid w:val="00514F66"/>
    <w:rsid w:val="00536F98"/>
    <w:rsid w:val="005370B1"/>
    <w:rsid w:val="0054091C"/>
    <w:rsid w:val="005826D5"/>
    <w:rsid w:val="005B565C"/>
    <w:rsid w:val="005D1F67"/>
    <w:rsid w:val="00657345"/>
    <w:rsid w:val="00686AE6"/>
    <w:rsid w:val="006935A0"/>
    <w:rsid w:val="00695511"/>
    <w:rsid w:val="006C560C"/>
    <w:rsid w:val="007A3B64"/>
    <w:rsid w:val="007B3AFF"/>
    <w:rsid w:val="007F3D78"/>
    <w:rsid w:val="00801225"/>
    <w:rsid w:val="00832DA1"/>
    <w:rsid w:val="008432E9"/>
    <w:rsid w:val="008F2779"/>
    <w:rsid w:val="00917A48"/>
    <w:rsid w:val="0092608A"/>
    <w:rsid w:val="00931CFE"/>
    <w:rsid w:val="009A04DF"/>
    <w:rsid w:val="009A27BD"/>
    <w:rsid w:val="009C2384"/>
    <w:rsid w:val="009C68F3"/>
    <w:rsid w:val="009F43BC"/>
    <w:rsid w:val="00A53CFE"/>
    <w:rsid w:val="00A76644"/>
    <w:rsid w:val="00AB695A"/>
    <w:rsid w:val="00B02205"/>
    <w:rsid w:val="00B659D3"/>
    <w:rsid w:val="00BA1D2B"/>
    <w:rsid w:val="00BB3931"/>
    <w:rsid w:val="00BB5499"/>
    <w:rsid w:val="00BD2190"/>
    <w:rsid w:val="00C05CA1"/>
    <w:rsid w:val="00C06BEF"/>
    <w:rsid w:val="00C1377F"/>
    <w:rsid w:val="00C370BD"/>
    <w:rsid w:val="00C86ED5"/>
    <w:rsid w:val="00CA50CC"/>
    <w:rsid w:val="00CF2DE6"/>
    <w:rsid w:val="00D155B6"/>
    <w:rsid w:val="00D91EBF"/>
    <w:rsid w:val="00DB110D"/>
    <w:rsid w:val="00DE3FE0"/>
    <w:rsid w:val="00E220FA"/>
    <w:rsid w:val="00E44EAD"/>
    <w:rsid w:val="00E6731E"/>
    <w:rsid w:val="00E67AEA"/>
    <w:rsid w:val="00E913D3"/>
    <w:rsid w:val="00EC2CEF"/>
    <w:rsid w:val="00EE18AB"/>
    <w:rsid w:val="00F07C93"/>
    <w:rsid w:val="00F1496B"/>
    <w:rsid w:val="00F32DCB"/>
    <w:rsid w:val="00FA0949"/>
    <w:rsid w:val="00FA22F7"/>
    <w:rsid w:val="00FA6399"/>
    <w:rsid w:val="00FE53D3"/>
    <w:rsid w:val="17FF4F08"/>
    <w:rsid w:val="312016A7"/>
    <w:rsid w:val="328572ED"/>
    <w:rsid w:val="3E9A1429"/>
    <w:rsid w:val="5EE34946"/>
    <w:rsid w:val="62671060"/>
    <w:rsid w:val="67517C74"/>
    <w:rsid w:val="791E22E2"/>
    <w:rsid w:val="7A382AC9"/>
    <w:rsid w:val="7F246E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D3FFCBC"/>
  <w15:docId w15:val="{D89B03D2-9D7D-433E-9AEE-2EA6D7CF9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882649"/>
    <w:pPr>
      <w:widowControl w:val="0"/>
      <w:spacing w:line="288" w:lineRule="auto"/>
      <w:jc w:val="both"/>
    </w:pPr>
    <w:rPr>
      <w:rFonts w:eastAsia="宋体"/>
    </w:rPr>
  </w:style>
  <w:style w:type="paragraph" w:styleId="Heading1">
    <w:name w:val="heading 1"/>
    <w:aliases w:val="1"/>
    <w:basedOn w:val="Normal"/>
    <w:next w:val="Normal"/>
    <w:link w:val="10"/>
    <w:uiPriority w:val="9"/>
    <w:qFormat/>
    <w:rsid w:val="001B05B3"/>
    <w:pPr>
      <w:spacing w:before="340" w:after="330" w:line="576" w:lineRule="auto"/>
      <w:jc w:val="center"/>
      <w:outlineLvl w:val="0"/>
    </w:pPr>
    <w:rPr>
      <w:b/>
      <w:bCs/>
      <w:kern w:val="44"/>
      <w:sz w:val="24"/>
      <w:szCs w:val="44"/>
    </w:rPr>
  </w:style>
  <w:style w:type="paragraph" w:styleId="Heading2">
    <w:name w:val="heading 2"/>
    <w:aliases w:val="2"/>
    <w:basedOn w:val="Normal"/>
    <w:next w:val="Normal"/>
    <w:link w:val="20"/>
    <w:uiPriority w:val="9"/>
    <w:unhideWhenUsed/>
    <w:qFormat/>
    <w:rsid w:val="00A5263B"/>
    <w:pPr>
      <w:adjustRightInd w:val="0"/>
      <w:spacing w:line="360" w:lineRule="auto"/>
      <w:jc w:val="left"/>
      <w:outlineLvl w:val="1"/>
    </w:pPr>
    <w:rPr>
      <w:rFonts w:asciiTheme="majorHAnsi" w:hAnsiTheme="majorHAnsi" w:cstheme="majorBidi"/>
      <w:b/>
      <w:bCs/>
      <w:sz w:val="24"/>
      <w:szCs w:val="32"/>
    </w:rPr>
  </w:style>
  <w:style w:type="paragraph" w:styleId="Heading3">
    <w:name w:val="heading 3"/>
    <w:aliases w:val="3"/>
    <w:basedOn w:val="Normal"/>
    <w:next w:val="Normal"/>
    <w:link w:val="30"/>
    <w:uiPriority w:val="9"/>
    <w:unhideWhenUsed/>
    <w:qFormat/>
    <w:rsid w:val="00A5263B"/>
    <w:pPr>
      <w:keepNext/>
      <w:keepLines/>
      <w:spacing w:line="360" w:lineRule="auto"/>
      <w:outlineLvl w:val="2"/>
    </w:pPr>
    <w:rPr>
      <w:b/>
      <w:bCs/>
      <w:sz w:val="24"/>
      <w:szCs w:val="32"/>
    </w:rPr>
  </w:style>
  <w:style w:type="paragraph" w:styleId="Heading4">
    <w:name w:val="heading 4"/>
    <w:basedOn w:val="Normal"/>
    <w:next w:val="Normal"/>
    <w:link w:val="4"/>
    <w:uiPriority w:val="9"/>
    <w:semiHidden/>
    <w:unhideWhenUsed/>
    <w:qFormat/>
    <w:rsid w:val="004A5321"/>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代码样式"/>
    <w:link w:val="Char"/>
    <w:qFormat/>
    <w:rsid w:val="004A5321"/>
    <w:pPr>
      <w:pBdr>
        <w:top w:val="single" w:sz="4" w:space="1" w:color="auto"/>
        <w:left w:val="single" w:sz="4" w:space="4" w:color="auto"/>
        <w:bottom w:val="single" w:sz="4" w:space="1" w:color="auto"/>
        <w:right w:val="single" w:sz="4" w:space="4" w:color="auto"/>
      </w:pBdr>
      <w:shd w:val="clear" w:color="auto" w:fill="A8D08D" w:themeFill="accent6" w:themeFillTint="99"/>
      <w:spacing w:beforeLines="50" w:afterLines="50"/>
      <w:ind w:left="50" w:right="50" w:leftChars="50" w:rightChars="50"/>
    </w:pPr>
  </w:style>
  <w:style w:type="character" w:customStyle="1" w:styleId="Char">
    <w:name w:val="代码样式 Char"/>
    <w:basedOn w:val="DefaultParagraphFont"/>
    <w:link w:val="a"/>
    <w:qFormat/>
    <w:rsid w:val="004A5321"/>
    <w:rPr>
      <w:shd w:val="clear" w:color="auto" w:fill="A8D08D" w:themeFill="accent6" w:themeFillTint="99"/>
    </w:rPr>
  </w:style>
  <w:style w:type="character" w:customStyle="1" w:styleId="10">
    <w:name w:val="标题 1 字符"/>
    <w:aliases w:val="1 字符"/>
    <w:basedOn w:val="DefaultParagraphFont"/>
    <w:link w:val="Heading1"/>
    <w:uiPriority w:val="9"/>
    <w:qFormat/>
    <w:rsid w:val="001B05B3"/>
    <w:rPr>
      <w:rFonts w:eastAsia="宋体"/>
      <w:b/>
      <w:bCs/>
      <w:kern w:val="44"/>
      <w:sz w:val="24"/>
      <w:szCs w:val="44"/>
    </w:rPr>
  </w:style>
  <w:style w:type="character" w:customStyle="1" w:styleId="20">
    <w:name w:val="标题 2 字符"/>
    <w:aliases w:val="2 字符"/>
    <w:basedOn w:val="DefaultParagraphFont"/>
    <w:link w:val="Heading2"/>
    <w:uiPriority w:val="9"/>
    <w:rsid w:val="00A5263B"/>
    <w:rPr>
      <w:rFonts w:eastAsia="宋体" w:asciiTheme="majorHAnsi" w:hAnsiTheme="majorHAnsi" w:cstheme="majorBidi"/>
      <w:b/>
      <w:bCs/>
      <w:sz w:val="24"/>
      <w:szCs w:val="32"/>
    </w:rPr>
  </w:style>
  <w:style w:type="character" w:customStyle="1" w:styleId="30">
    <w:name w:val="标题 3 字符"/>
    <w:aliases w:val="3 字符"/>
    <w:basedOn w:val="DefaultParagraphFont"/>
    <w:link w:val="Heading3"/>
    <w:uiPriority w:val="9"/>
    <w:rsid w:val="00A5263B"/>
    <w:rPr>
      <w:rFonts w:eastAsia="宋体"/>
      <w:b/>
      <w:bCs/>
      <w:sz w:val="24"/>
      <w:szCs w:val="32"/>
    </w:rPr>
  </w:style>
  <w:style w:type="character" w:customStyle="1" w:styleId="4">
    <w:name w:val="标题 4 字符"/>
    <w:basedOn w:val="DefaultParagraphFont"/>
    <w:link w:val="Heading4"/>
    <w:uiPriority w:val="9"/>
    <w:semiHidden/>
    <w:rsid w:val="004A5321"/>
    <w:rPr>
      <w:rFonts w:asciiTheme="majorHAnsi" w:eastAsiaTheme="majorEastAsia" w:hAnsiTheme="majorHAnsi" w:cstheme="majorBidi"/>
      <w:b/>
      <w:bCs/>
      <w:sz w:val="28"/>
      <w:szCs w:val="28"/>
    </w:rPr>
  </w:style>
  <w:style w:type="paragraph" w:styleId="TOC1">
    <w:name w:val="toc 1"/>
    <w:basedOn w:val="Normal"/>
    <w:next w:val="Normal"/>
    <w:autoRedefine/>
    <w:uiPriority w:val="39"/>
    <w:unhideWhenUsed/>
    <w:rsid w:val="00D309ED"/>
    <w:pPr>
      <w:tabs>
        <w:tab w:val="right" w:leader="dot" w:pos="9060"/>
      </w:tabs>
      <w:spacing w:line="240" w:lineRule="auto"/>
      <w:jc w:val="left"/>
    </w:pPr>
    <w:rPr>
      <w:b/>
      <w:bCs/>
      <w:caps/>
      <w:szCs w:val="20"/>
    </w:rPr>
  </w:style>
  <w:style w:type="paragraph" w:styleId="TOC2">
    <w:name w:val="toc 2"/>
    <w:basedOn w:val="Normal"/>
    <w:next w:val="Normal"/>
    <w:autoRedefine/>
    <w:uiPriority w:val="39"/>
    <w:unhideWhenUsed/>
    <w:rsid w:val="002E045B"/>
    <w:pPr>
      <w:spacing w:line="240" w:lineRule="auto"/>
      <w:ind w:left="210"/>
      <w:jc w:val="left"/>
    </w:pPr>
    <w:rPr>
      <w:smallCaps/>
      <w:szCs w:val="20"/>
    </w:rPr>
  </w:style>
  <w:style w:type="paragraph" w:styleId="TOC3">
    <w:name w:val="toc 3"/>
    <w:basedOn w:val="Normal"/>
    <w:next w:val="Normal"/>
    <w:autoRedefine/>
    <w:uiPriority w:val="39"/>
    <w:unhideWhenUsed/>
    <w:rsid w:val="002E045B"/>
    <w:pPr>
      <w:spacing w:line="240" w:lineRule="auto"/>
      <w:ind w:left="420"/>
      <w:jc w:val="left"/>
    </w:pPr>
    <w:rPr>
      <w:i/>
      <w:iCs/>
      <w:szCs w:val="20"/>
    </w:rPr>
  </w:style>
  <w:style w:type="paragraph" w:styleId="NormalIndent">
    <w:name w:val="Normal Indent"/>
    <w:basedOn w:val="Normal"/>
    <w:link w:val="a0"/>
    <w:uiPriority w:val="99"/>
    <w:semiHidden/>
    <w:unhideWhenUsed/>
    <w:rsid w:val="004A5321"/>
    <w:pPr>
      <w:ind w:firstLine="420" w:firstLineChars="200"/>
    </w:pPr>
  </w:style>
  <w:style w:type="character" w:customStyle="1" w:styleId="a0">
    <w:name w:val="正文缩进 字符"/>
    <w:link w:val="NormalIndent"/>
    <w:uiPriority w:val="99"/>
    <w:semiHidden/>
    <w:qFormat/>
    <w:rsid w:val="004A5321"/>
    <w:rPr>
      <w:rFonts w:asciiTheme="minorHAnsi" w:eastAsiaTheme="minorEastAsia" w:hAnsiTheme="minorHAnsi" w:cstheme="minorBidi"/>
      <w:sz w:val="21"/>
      <w:szCs w:val="22"/>
    </w:rPr>
  </w:style>
  <w:style w:type="paragraph" w:styleId="CommentText">
    <w:name w:val="annotation text"/>
    <w:basedOn w:val="Normal"/>
    <w:link w:val="a1"/>
    <w:uiPriority w:val="99"/>
    <w:semiHidden/>
    <w:unhideWhenUsed/>
    <w:rsid w:val="004A5321"/>
    <w:pPr>
      <w:jc w:val="left"/>
    </w:pPr>
  </w:style>
  <w:style w:type="character" w:customStyle="1" w:styleId="a1">
    <w:name w:val="批注文字 字符"/>
    <w:basedOn w:val="DefaultParagraphFont"/>
    <w:link w:val="CommentText"/>
    <w:uiPriority w:val="99"/>
    <w:semiHidden/>
    <w:rsid w:val="004A5321"/>
    <w:rPr>
      <w:rFonts w:asciiTheme="minorHAnsi" w:eastAsiaTheme="minorEastAsia" w:hAnsiTheme="minorHAnsi" w:cstheme="minorBidi"/>
      <w:sz w:val="21"/>
      <w:szCs w:val="22"/>
    </w:rPr>
  </w:style>
  <w:style w:type="paragraph" w:styleId="Header">
    <w:name w:val="header"/>
    <w:basedOn w:val="Normal"/>
    <w:link w:val="a2"/>
    <w:uiPriority w:val="99"/>
    <w:unhideWhenUsed/>
    <w:rsid w:val="004A5321"/>
    <w:pPr>
      <w:pBdr>
        <w:bottom w:val="single" w:sz="6" w:space="1" w:color="auto"/>
      </w:pBdr>
      <w:tabs>
        <w:tab w:val="center" w:pos="4153"/>
        <w:tab w:val="right" w:pos="8306"/>
      </w:tabs>
      <w:snapToGrid w:val="0"/>
      <w:jc w:val="center"/>
    </w:pPr>
    <w:rPr>
      <w:sz w:val="18"/>
      <w:szCs w:val="18"/>
    </w:rPr>
  </w:style>
  <w:style w:type="character" w:customStyle="1" w:styleId="a2">
    <w:name w:val="页眉 字符"/>
    <w:basedOn w:val="DefaultParagraphFont"/>
    <w:link w:val="Header"/>
    <w:uiPriority w:val="99"/>
    <w:rsid w:val="004A5321"/>
    <w:rPr>
      <w:rFonts w:asciiTheme="minorHAnsi" w:eastAsiaTheme="minorEastAsia" w:hAnsiTheme="minorHAnsi" w:cstheme="minorBidi"/>
      <w:sz w:val="18"/>
      <w:szCs w:val="18"/>
    </w:rPr>
  </w:style>
  <w:style w:type="paragraph" w:styleId="Footer">
    <w:name w:val="footer"/>
    <w:basedOn w:val="Normal"/>
    <w:link w:val="a3"/>
    <w:uiPriority w:val="99"/>
    <w:unhideWhenUsed/>
    <w:rsid w:val="004A5321"/>
    <w:pPr>
      <w:tabs>
        <w:tab w:val="center" w:pos="4153"/>
        <w:tab w:val="right" w:pos="8306"/>
      </w:tabs>
      <w:snapToGrid w:val="0"/>
      <w:jc w:val="left"/>
    </w:pPr>
    <w:rPr>
      <w:sz w:val="18"/>
      <w:szCs w:val="18"/>
    </w:rPr>
  </w:style>
  <w:style w:type="character" w:customStyle="1" w:styleId="a3">
    <w:name w:val="页脚 字符"/>
    <w:basedOn w:val="DefaultParagraphFont"/>
    <w:link w:val="Footer"/>
    <w:uiPriority w:val="99"/>
    <w:rsid w:val="004A5321"/>
    <w:rPr>
      <w:rFonts w:asciiTheme="minorHAnsi" w:eastAsiaTheme="minorEastAsia" w:hAnsiTheme="minorHAnsi" w:cstheme="minorBidi"/>
      <w:sz w:val="18"/>
      <w:szCs w:val="18"/>
    </w:rPr>
  </w:style>
  <w:style w:type="character" w:styleId="CommentReference">
    <w:name w:val="annotation reference"/>
    <w:basedOn w:val="DefaultParagraphFont"/>
    <w:uiPriority w:val="99"/>
    <w:semiHidden/>
    <w:unhideWhenUsed/>
    <w:rsid w:val="004A5321"/>
    <w:rPr>
      <w:sz w:val="21"/>
      <w:szCs w:val="21"/>
    </w:rPr>
  </w:style>
  <w:style w:type="paragraph" w:styleId="BodyText">
    <w:name w:val="Body Text"/>
    <w:basedOn w:val="Normal"/>
    <w:link w:val="a4"/>
    <w:uiPriority w:val="99"/>
    <w:semiHidden/>
    <w:unhideWhenUsed/>
    <w:rsid w:val="004A5321"/>
    <w:pPr>
      <w:spacing w:after="120"/>
    </w:pPr>
  </w:style>
  <w:style w:type="character" w:customStyle="1" w:styleId="a4">
    <w:name w:val="正文文本 字符"/>
    <w:basedOn w:val="DefaultParagraphFont"/>
    <w:link w:val="BodyText"/>
    <w:uiPriority w:val="99"/>
    <w:semiHidden/>
    <w:rsid w:val="004A5321"/>
    <w:rPr>
      <w:rFonts w:asciiTheme="minorHAnsi" w:eastAsiaTheme="minorEastAsia" w:hAnsiTheme="minorHAnsi" w:cstheme="minorBidi"/>
      <w:sz w:val="21"/>
      <w:szCs w:val="22"/>
    </w:rPr>
  </w:style>
  <w:style w:type="paragraph" w:styleId="Date">
    <w:name w:val="Date"/>
    <w:basedOn w:val="Normal"/>
    <w:next w:val="Normal"/>
    <w:link w:val="a5"/>
    <w:uiPriority w:val="99"/>
    <w:semiHidden/>
    <w:unhideWhenUsed/>
    <w:rsid w:val="004A5321"/>
    <w:pPr>
      <w:ind w:left="100" w:leftChars="2500"/>
    </w:pPr>
  </w:style>
  <w:style w:type="character" w:customStyle="1" w:styleId="a5">
    <w:name w:val="日期 字符"/>
    <w:basedOn w:val="DefaultParagraphFont"/>
    <w:link w:val="Date"/>
    <w:uiPriority w:val="99"/>
    <w:semiHidden/>
    <w:rsid w:val="004A5321"/>
    <w:rPr>
      <w:rFonts w:asciiTheme="minorHAnsi" w:eastAsiaTheme="minorEastAsia" w:hAnsiTheme="minorHAnsi" w:cstheme="minorBidi"/>
      <w:sz w:val="21"/>
      <w:szCs w:val="22"/>
    </w:rPr>
  </w:style>
  <w:style w:type="character" w:styleId="Hyperlink">
    <w:name w:val="Hyperlink"/>
    <w:basedOn w:val="DefaultParagraphFont"/>
    <w:uiPriority w:val="99"/>
    <w:unhideWhenUsed/>
    <w:rsid w:val="004A5321"/>
    <w:rPr>
      <w:color w:val="0000FF"/>
      <w:u w:val="single"/>
    </w:rPr>
  </w:style>
  <w:style w:type="character" w:styleId="Strong">
    <w:name w:val="Strong"/>
    <w:basedOn w:val="DefaultParagraphFont"/>
    <w:uiPriority w:val="22"/>
    <w:qFormat/>
    <w:rsid w:val="004A5321"/>
    <w:rPr>
      <w:b/>
      <w:bCs/>
    </w:rPr>
  </w:style>
  <w:style w:type="paragraph" w:styleId="PlainText">
    <w:name w:val="Plain Text"/>
    <w:basedOn w:val="Normal"/>
    <w:link w:val="a6"/>
    <w:uiPriority w:val="99"/>
    <w:semiHidden/>
    <w:unhideWhenUsed/>
    <w:rsid w:val="004A5321"/>
    <w:rPr>
      <w:rFonts w:hAnsi="Courier New" w:asciiTheme="minorEastAsia" w:cs="Courier New"/>
    </w:rPr>
  </w:style>
  <w:style w:type="character" w:customStyle="1" w:styleId="a6">
    <w:name w:val="纯文本 字符"/>
    <w:basedOn w:val="DefaultParagraphFont"/>
    <w:link w:val="PlainText"/>
    <w:uiPriority w:val="99"/>
    <w:semiHidden/>
    <w:rsid w:val="004A5321"/>
    <w:rPr>
      <w:rFonts w:hAnsi="Courier New" w:asciiTheme="minorEastAsia" w:eastAsiaTheme="minorEastAsia" w:cs="Courier New"/>
      <w:sz w:val="21"/>
      <w:szCs w:val="22"/>
    </w:rPr>
  </w:style>
  <w:style w:type="paragraph" w:styleId="NormalWeb">
    <w:name w:val="Normal (Web)"/>
    <w:basedOn w:val="Normal"/>
    <w:uiPriority w:val="99"/>
    <w:semiHidden/>
    <w:unhideWhenUsed/>
    <w:rsid w:val="004A5321"/>
    <w:rPr>
      <w:rFonts w:ascii="Times New Roman" w:hAnsi="Times New Roman" w:cs="宋体"/>
      <w:sz w:val="24"/>
      <w:szCs w:val="24"/>
    </w:rPr>
  </w:style>
  <w:style w:type="character" w:styleId="HTMLCode">
    <w:name w:val="HTML Code"/>
    <w:basedOn w:val="DefaultParagraphFont"/>
    <w:uiPriority w:val="99"/>
    <w:semiHidden/>
    <w:unhideWhenUsed/>
    <w:rsid w:val="004A5321"/>
    <w:rPr>
      <w:rFonts w:ascii="Courier New" w:hAnsi="Courier New" w:cs="Courier New"/>
      <w:sz w:val="20"/>
      <w:szCs w:val="20"/>
    </w:rPr>
  </w:style>
  <w:style w:type="paragraph" w:styleId="CommentSubject">
    <w:name w:val="annotation subject"/>
    <w:basedOn w:val="CommentText"/>
    <w:next w:val="CommentText"/>
    <w:link w:val="a7"/>
    <w:uiPriority w:val="99"/>
    <w:semiHidden/>
    <w:unhideWhenUsed/>
    <w:rsid w:val="004A5321"/>
    <w:rPr>
      <w:b/>
      <w:bCs/>
    </w:rPr>
  </w:style>
  <w:style w:type="character" w:customStyle="1" w:styleId="a7">
    <w:name w:val="批注主题 字符"/>
    <w:basedOn w:val="a1"/>
    <w:link w:val="CommentSubject"/>
    <w:uiPriority w:val="99"/>
    <w:semiHidden/>
    <w:rsid w:val="004A5321"/>
    <w:rPr>
      <w:rFonts w:asciiTheme="minorHAnsi" w:eastAsiaTheme="minorEastAsia" w:hAnsiTheme="minorHAnsi" w:cstheme="minorBidi"/>
      <w:b/>
      <w:bCs/>
      <w:sz w:val="21"/>
      <w:szCs w:val="22"/>
    </w:rPr>
  </w:style>
  <w:style w:type="paragraph" w:styleId="BalloonText">
    <w:name w:val="Balloon Text"/>
    <w:basedOn w:val="Normal"/>
    <w:link w:val="a8"/>
    <w:uiPriority w:val="99"/>
    <w:semiHidden/>
    <w:unhideWhenUsed/>
    <w:rsid w:val="004A5321"/>
    <w:rPr>
      <w:sz w:val="18"/>
      <w:szCs w:val="18"/>
    </w:rPr>
  </w:style>
  <w:style w:type="character" w:customStyle="1" w:styleId="a8">
    <w:name w:val="批注框文本 字符"/>
    <w:basedOn w:val="DefaultParagraphFont"/>
    <w:link w:val="BalloonText"/>
    <w:uiPriority w:val="99"/>
    <w:semiHidden/>
    <w:rsid w:val="004A5321"/>
    <w:rPr>
      <w:rFonts w:asciiTheme="minorHAnsi" w:eastAsiaTheme="minorEastAsia" w:hAnsiTheme="minorHAnsi" w:cstheme="minorBidi"/>
      <w:sz w:val="18"/>
      <w:szCs w:val="18"/>
    </w:rPr>
  </w:style>
  <w:style w:type="table" w:styleId="TableGrid">
    <w:name w:val="Table Grid"/>
    <w:basedOn w:val="TableNormal"/>
    <w:uiPriority w:val="39"/>
    <w:rsid w:val="004A5321"/>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semiHidden/>
    <w:unhideWhenUsed/>
    <w:rsid w:val="004A5321"/>
    <w:rPr>
      <w:rFonts w:ascii="Times New Roman" w:eastAsia="宋体" w:hAnsi="Times New Roman" w:cs="Times New Roman"/>
      <w:kern w:val="0"/>
      <w:sz w:val="20"/>
      <w:szCs w:val="20"/>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styleId="ListParagraph">
    <w:name w:val="List Paragraph"/>
    <w:basedOn w:val="Normal"/>
    <w:uiPriority w:val="34"/>
    <w:qFormat/>
    <w:rsid w:val="004A5321"/>
    <w:pPr>
      <w:ind w:firstLine="420" w:firstLineChars="200"/>
    </w:pPr>
  </w:style>
  <w:style w:type="paragraph" w:styleId="Title">
    <w:name w:val="Title"/>
    <w:basedOn w:val="Normal"/>
    <w:next w:val="Normal"/>
    <w:link w:val="a9"/>
    <w:uiPriority w:val="10"/>
    <w:qFormat/>
    <w:rsid w:val="004A5321"/>
    <w:pPr>
      <w:spacing w:before="240" w:after="60"/>
      <w:jc w:val="center"/>
      <w:outlineLvl w:val="0"/>
    </w:pPr>
    <w:rPr>
      <w:rFonts w:asciiTheme="majorHAnsi" w:eastAsiaTheme="majorEastAsia" w:hAnsiTheme="majorHAnsi" w:cstheme="majorBidi"/>
      <w:b/>
      <w:bCs/>
      <w:sz w:val="32"/>
      <w:szCs w:val="32"/>
    </w:rPr>
  </w:style>
  <w:style w:type="character" w:customStyle="1" w:styleId="a9">
    <w:name w:val="标题 字符"/>
    <w:basedOn w:val="DefaultParagraphFont"/>
    <w:link w:val="Title"/>
    <w:uiPriority w:val="10"/>
    <w:rsid w:val="004A5321"/>
    <w:rPr>
      <w:rFonts w:asciiTheme="majorHAnsi" w:eastAsiaTheme="majorEastAsia" w:hAnsiTheme="majorHAnsi" w:cstheme="majorBidi"/>
      <w:b/>
      <w:bCs/>
      <w:sz w:val="32"/>
      <w:szCs w:val="32"/>
    </w:rPr>
  </w:style>
  <w:style w:type="paragraph" w:customStyle="1" w:styleId="biaogeleft">
    <w:name w:val="biaoge_left"/>
    <w:basedOn w:val="Normal"/>
    <w:rsid w:val="005C5A2D"/>
    <w:pPr>
      <w:widowControl/>
      <w:autoSpaceDE w:val="0"/>
      <w:autoSpaceDN w:val="0"/>
      <w:adjustRightInd w:val="0"/>
      <w:spacing w:before="29"/>
      <w:ind w:left="15"/>
      <w:jc w:val="left"/>
    </w:pPr>
    <w:rPr>
      <w:rFonts w:ascii="宋体" w:hAnsi="宋体" w:cs="宋体"/>
      <w:kern w:val="0"/>
      <w:szCs w:val="24"/>
    </w:rPr>
  </w:style>
  <w:style w:type="paragraph" w:customStyle="1" w:styleId="biaogecenter">
    <w:name w:val="biaoge_center"/>
    <w:basedOn w:val="Normal"/>
    <w:rsid w:val="005C5A2D"/>
    <w:pPr>
      <w:widowControl/>
      <w:autoSpaceDE w:val="0"/>
      <w:autoSpaceDN w:val="0"/>
      <w:adjustRightInd w:val="0"/>
      <w:spacing w:before="29"/>
      <w:ind w:left="15"/>
      <w:jc w:val="center"/>
    </w:pPr>
    <w:rPr>
      <w:rFonts w:ascii="宋体" w:hAnsi="宋体" w:cs="宋体"/>
      <w:kern w:val="0"/>
      <w:szCs w:val="24"/>
    </w:rPr>
  </w:style>
  <w:style w:type="paragraph" w:customStyle="1" w:styleId="biaogeright">
    <w:name w:val="biaoge_right"/>
    <w:basedOn w:val="Normal"/>
    <w:rsid w:val="005C5A2D"/>
    <w:pPr>
      <w:widowControl/>
      <w:autoSpaceDE w:val="0"/>
      <w:autoSpaceDN w:val="0"/>
      <w:adjustRightInd w:val="0"/>
      <w:spacing w:before="29"/>
      <w:ind w:left="15"/>
      <w:jc w:val="right"/>
    </w:pPr>
    <w:rPr>
      <w:rFonts w:ascii="宋体" w:hAnsi="宋体" w:cs="宋体"/>
      <w:kern w:val="0"/>
      <w:szCs w:val="24"/>
    </w:rPr>
  </w:style>
  <w:style w:type="character" w:customStyle="1" w:styleId="zw">
    <w:name w:val="zw"/>
    <w:basedOn w:val="DefaultParagraphFont"/>
    <w:uiPriority w:val="1"/>
    <w:qFormat/>
    <w:rsid w:val="00EA2BBA"/>
    <w:rPr>
      <w:rFonts w:ascii="宋体" w:eastAsia="宋体" w:hAnsi="宋体"/>
      <w:color w:val="000000" w:themeColor="text1"/>
      <w:sz w:val="21"/>
    </w:rPr>
  </w:style>
  <w:style w:type="paragraph" w:styleId="TOCHeading">
    <w:name w:val="TOC Heading"/>
    <w:basedOn w:val="Heading1"/>
    <w:next w:val="Normal"/>
    <w:uiPriority w:val="39"/>
    <w:unhideWhenUsed/>
    <w:qFormat/>
    <w:rsid w:val="006907AF"/>
    <w:pPr>
      <w:keepNext/>
      <w:keepLines/>
      <w:widowControl/>
      <w:spacing w:before="24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TOC4">
    <w:name w:val="toc 4"/>
    <w:basedOn w:val="Normal"/>
    <w:next w:val="Normal"/>
    <w:autoRedefine/>
    <w:uiPriority w:val="39"/>
    <w:unhideWhenUsed/>
    <w:rsid w:val="001A4FE5"/>
    <w:pPr>
      <w:ind w:left="630"/>
      <w:jc w:val="left"/>
    </w:pPr>
    <w:rPr>
      <w:sz w:val="18"/>
      <w:szCs w:val="18"/>
    </w:rPr>
  </w:style>
  <w:style w:type="paragraph" w:styleId="TOC5">
    <w:name w:val="toc 5"/>
    <w:basedOn w:val="Normal"/>
    <w:next w:val="Normal"/>
    <w:autoRedefine/>
    <w:uiPriority w:val="39"/>
    <w:unhideWhenUsed/>
    <w:rsid w:val="001A4FE5"/>
    <w:pPr>
      <w:ind w:left="840"/>
      <w:jc w:val="left"/>
    </w:pPr>
    <w:rPr>
      <w:sz w:val="18"/>
      <w:szCs w:val="18"/>
    </w:rPr>
  </w:style>
  <w:style w:type="paragraph" w:styleId="TOC6">
    <w:name w:val="toc 6"/>
    <w:basedOn w:val="Normal"/>
    <w:next w:val="Normal"/>
    <w:autoRedefine/>
    <w:uiPriority w:val="39"/>
    <w:unhideWhenUsed/>
    <w:rsid w:val="001A4FE5"/>
    <w:pPr>
      <w:ind w:left="1050"/>
      <w:jc w:val="left"/>
    </w:pPr>
    <w:rPr>
      <w:sz w:val="18"/>
      <w:szCs w:val="18"/>
    </w:rPr>
  </w:style>
  <w:style w:type="paragraph" w:styleId="TOC7">
    <w:name w:val="toc 7"/>
    <w:basedOn w:val="Normal"/>
    <w:next w:val="Normal"/>
    <w:autoRedefine/>
    <w:uiPriority w:val="39"/>
    <w:unhideWhenUsed/>
    <w:rsid w:val="001A4FE5"/>
    <w:pPr>
      <w:ind w:left="1260"/>
      <w:jc w:val="left"/>
    </w:pPr>
    <w:rPr>
      <w:sz w:val="18"/>
      <w:szCs w:val="18"/>
    </w:rPr>
  </w:style>
  <w:style w:type="paragraph" w:styleId="TOC8">
    <w:name w:val="toc 8"/>
    <w:basedOn w:val="Normal"/>
    <w:next w:val="Normal"/>
    <w:autoRedefine/>
    <w:uiPriority w:val="39"/>
    <w:unhideWhenUsed/>
    <w:rsid w:val="000160C2"/>
    <w:pPr>
      <w:ind w:left="1470"/>
      <w:jc w:val="left"/>
    </w:pPr>
    <w:rPr>
      <w:rFonts w:eastAsiaTheme="minorHAnsi"/>
      <w:sz w:val="18"/>
      <w:szCs w:val="18"/>
    </w:rPr>
  </w:style>
  <w:style w:type="paragraph" w:styleId="TOC9">
    <w:name w:val="toc 9"/>
    <w:basedOn w:val="Normal"/>
    <w:next w:val="Normal"/>
    <w:autoRedefine/>
    <w:uiPriority w:val="39"/>
    <w:unhideWhenUsed/>
    <w:rsid w:val="000160C2"/>
    <w:pPr>
      <w:ind w:left="1680"/>
      <w:jc w:val="left"/>
    </w:pPr>
    <w:rPr>
      <w:rFonts w:eastAsiaTheme="minorHAnsi"/>
      <w:sz w:val="18"/>
      <w:szCs w:val="18"/>
    </w:rPr>
  </w:style>
  <w:style w:type="paragraph" w:styleId="DocumentMap">
    <w:name w:val="Document Map"/>
    <w:basedOn w:val="Normal"/>
    <w:link w:val="a10"/>
    <w:uiPriority w:val="99"/>
    <w:semiHidden/>
    <w:unhideWhenUsed/>
    <w:rsid w:val="001A4FE5"/>
    <w:rPr>
      <w:rFonts w:ascii="宋体"/>
      <w:sz w:val="18"/>
      <w:szCs w:val="18"/>
    </w:rPr>
  </w:style>
  <w:style w:type="character" w:customStyle="1" w:styleId="a10">
    <w:name w:val="文档结构图 字符"/>
    <w:basedOn w:val="DefaultParagraphFont"/>
    <w:link w:val="DocumentMap"/>
    <w:uiPriority w:val="99"/>
    <w:semiHidden/>
    <w:rsid w:val="001A4FE5"/>
    <w:rPr>
      <w:rFonts w:ascii="宋体" w:eastAsia="宋体"/>
      <w:sz w:val="18"/>
      <w:szCs w:val="18"/>
    </w:rPr>
  </w:style>
  <w:style w:type="paragraph" w:customStyle="1" w:styleId="zhangjiep2">
    <w:name w:val="zhangjie_p2"/>
    <w:basedOn w:val="Heading3"/>
    <w:next w:val="Normal"/>
    <w:autoRedefine/>
    <w:qFormat/>
    <w:rsid w:val="005A2F39"/>
    <w:pPr>
      <w:spacing w:line="240" w:lineRule="auto"/>
      <w:jc w:val="left"/>
    </w:pPr>
    <w:rPr>
      <w:bCs w:val="0"/>
      <w:iCs/>
      <w:cap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image" Target="media/image1.jpeg" /><Relationship Id="rId7" Type="http://schemas.openxmlformats.org/officeDocument/2006/relationships/image" Target="media/image2.jpeg"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090AC41-F1FC-4D08-9FC0-94272FA53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2</Pages>
  <Words>24</Words>
  <Characters>139</Characters>
  <Application>Microsoft Office Word</Application>
  <DocSecurity>0</DocSecurity>
  <Lines>1</Lines>
  <Paragraphs>1</Paragraphs>
  <ScaleCrop>false</ScaleCrop>
  <Company/>
  <LinksUpToDate>false</LinksUpToDate>
  <CharactersWithSpaces>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李思佳</cp:lastModifiedBy>
  <cp:revision>8</cp:revision>
  <dcterms:created xsi:type="dcterms:W3CDTF">2020-03-27T02:14:00Z</dcterms:created>
  <dcterms:modified xsi:type="dcterms:W3CDTF">2024-12-03T03:02:00Z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