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东方阿尔法增利债券型发起式证券投资基金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东方阿尔法增利债券发起</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027654</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2026年06月02日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11,018,722.80份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本基金在严格的风险控制的基础上,力争实现基金资产的稳健增值。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本基金的投资策略主要有以7个方面内容：</w:t>
              <w:br/>
            </w:r>
            <w:r>
              <w:rPr>
                <w:rFonts w:ascii="宋体" w:eastAsia="宋体" w:hAnsi="宋体" w:cs="宋体"/>
                <w:b w:val="0"/>
              </w:rPr>
              <w:t>1、资产配置策略</w:t>
              <w:br/>
            </w:r>
            <w:r>
              <w:rPr>
                <w:rFonts w:ascii="宋体" w:eastAsia="宋体" w:hAnsi="宋体" w:cs="宋体"/>
                <w:b w:val="0"/>
              </w:rPr>
              <w:t>本基金将根据国内外宏观经济、政策环境、利率走势、市场技术指标、市场资金构成及流动性情况不断调整权益类资产和其他资产之间的大类资产配置比例。</w:t>
              <w:br/>
            </w:r>
            <w:r>
              <w:rPr>
                <w:rFonts w:ascii="宋体" w:eastAsia="宋体" w:hAnsi="宋体" w:cs="宋体"/>
                <w:b w:val="0"/>
              </w:rPr>
              <w:t>2、债券投资策略</w:t>
              <w:br/>
            </w:r>
            <w:r>
              <w:rPr>
                <w:rFonts w:ascii="宋体" w:eastAsia="宋体" w:hAnsi="宋体" w:cs="宋体"/>
                <w:b w:val="0"/>
              </w:rPr>
              <w:t>本基金主要采用债券类属配置策略、久期管理策略、收益率曲线策略、信用策略（含资产支持证券）、可转换债券和可交换债券投资策略以及回购策略，对债券投资进行管理。</w:t>
              <w:br/>
            </w:r>
            <w:r>
              <w:rPr>
                <w:rFonts w:ascii="宋体" w:eastAsia="宋体" w:hAnsi="宋体" w:cs="宋体"/>
                <w:b w:val="0"/>
              </w:rPr>
              <w:t>3、股票投资策略</w:t>
              <w:br/>
            </w:r>
            <w:r>
              <w:rPr>
                <w:rFonts w:ascii="宋体" w:eastAsia="宋体" w:hAnsi="宋体" w:cs="宋体"/>
                <w:b w:val="0"/>
              </w:rPr>
              <w:t>采用“自下而上”的个股精选策略，基于公司内部研究团队对于个股的基本面的深入研究和细致的实地调研，有效挖掘价值低估及具有增长潜力的个股。</w:t>
              <w:br/>
            </w:r>
            <w:r>
              <w:rPr>
                <w:rFonts w:ascii="宋体" w:eastAsia="宋体" w:hAnsi="宋体" w:cs="宋体"/>
                <w:b w:val="0"/>
              </w:rPr>
              <w:t>4、存托凭证投资策略</w:t>
              <w:br/>
            </w:r>
            <w:r>
              <w:rPr>
                <w:rFonts w:ascii="宋体" w:eastAsia="宋体" w:hAnsi="宋体" w:cs="宋体"/>
                <w:b w:val="0"/>
              </w:rPr>
              <w:t>本基金将根据本基金的投资目标和股票投资策略，基于对基础证券投资价值的深入研究判断，进行存托凭证的投资。</w:t>
              <w:br/>
            </w:r>
            <w:r>
              <w:rPr>
                <w:rFonts w:ascii="宋体" w:eastAsia="宋体" w:hAnsi="宋体" w:cs="宋体"/>
                <w:b w:val="0"/>
              </w:rPr>
              <w:t>5、港股投资策略</w:t>
              <w:br/>
            </w:r>
            <w:r>
              <w:rPr>
                <w:rFonts w:ascii="宋体" w:eastAsia="宋体" w:hAnsi="宋体" w:cs="宋体"/>
                <w:b w:val="0"/>
              </w:rPr>
              <w:t>本基金通过港股通投资港股，结合宏观基本面与资金流向，依托产业趋势，从企业商业模式、竞争力、营收情况等多维度自下而上精选优质港股标的。</w:t>
              <w:br/>
            </w:r>
            <w:r>
              <w:rPr>
                <w:rFonts w:ascii="宋体" w:eastAsia="宋体" w:hAnsi="宋体" w:cs="宋体"/>
                <w:b w:val="0"/>
              </w:rPr>
              <w:t>6、基金投资策略</w:t>
              <w:br/>
            </w:r>
            <w:r>
              <w:rPr>
                <w:rFonts w:ascii="宋体" w:eastAsia="宋体" w:hAnsi="宋体" w:cs="宋体"/>
                <w:b w:val="0"/>
              </w:rPr>
              <w:t>本基金投资权益类基金采取分类施策策略，对主动管理型基金以定量与定性结合的自下而上方式精选业绩稳、风格明确的优质标的，对被动指数型基金结合宏观与政策研判，布局长期景气指数并捕捉各类指数阶段性机会增厚收益。</w:t>
              <w:br/>
            </w:r>
            <w:r>
              <w:rPr>
                <w:rFonts w:ascii="宋体" w:eastAsia="宋体" w:hAnsi="宋体" w:cs="宋体"/>
                <w:b w:val="0"/>
              </w:rPr>
              <w:t>7、国债期货投资策略</w:t>
              <w:br/>
            </w:r>
            <w:r>
              <w:rPr>
                <w:rFonts w:ascii="宋体" w:eastAsia="宋体" w:hAnsi="宋体" w:cs="宋体"/>
                <w:b w:val="0"/>
              </w:rPr>
              <w:t>本基金以套期保值为主要目的，参与国债期货的投资，以管理投资组合的系统性风险，改善组合的风险收益特性。</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中债-综合全价（总值）指数收益率×85%+沪深300指数收益率×10%+中证港股通综合指数（人民币）收益率*5%</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本基金为债券型基金，其预期风险与预期收益高于货币市场基金，低于混合型基金和股票型基金。本基金如果投资港股通标的股票，需承担汇率风险以及境外市场的风险。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东方阿尔法增利债券发起A</w:t>
            </w:r>
          </w:p>
        </w:tc>
        <w:tc>
          <w:tcPr>
            <w:tcW w:w="1500" w:type="pct"/>
            <w:vAlign w:val="center"/>
          </w:tcPr>
          <w:p>
            <w:pPr>
              <w:spacing w:line="240" w:lineRule="auto"/>
              <w:jc w:val="left"/>
            </w:pPr>
            <w:r>
              <w:rPr>
                <w:rFonts w:ascii="宋体" w:eastAsia="宋体" w:hAnsi="宋体" w:cs="宋体"/>
                <w:b w:val="0"/>
              </w:rPr>
              <w:t>东方阿尔法增利债券发起C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027654</w:t>
            </w:r>
          </w:p>
        </w:tc>
        <w:tc>
          <w:tcPr>
            <w:tcW w:w="1500" w:type="pct"/>
            <w:vAlign w:val="center"/>
          </w:tcPr>
          <w:p>
            <w:pPr>
              <w:spacing w:line="240" w:lineRule="auto"/>
              <w:jc w:val="left"/>
            </w:pPr>
            <w:r>
              <w:rPr>
                <w:rFonts w:ascii="宋体" w:eastAsia="宋体" w:hAnsi="宋体" w:cs="宋体"/>
                <w:b w:val="0"/>
              </w:rPr>
              <w:t>027655</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10,554,122.80份</w:t>
            </w:r>
          </w:p>
        </w:tc>
        <w:tc>
          <w:tcPr>
            <w:tcW w:w="1500" w:type="pct"/>
            <w:vAlign w:val="center"/>
          </w:tcPr>
          <w:p>
            <w:pPr>
              <w:spacing w:line="240" w:lineRule="auto"/>
              <w:jc w:val="left"/>
            </w:pPr>
            <w:r>
              <w:rPr>
                <w:rFonts w:ascii="宋体" w:eastAsia="宋体" w:hAnsi="宋体" w:cs="宋体"/>
                <w:b w:val="0"/>
              </w:rPr>
              <w:t>464,600.00份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东方阿尔法增利债券发起A</w:t>
            </w:r>
          </w:p>
        </w:tc>
        <w:tc>
          <w:tcPr>
            <w:tcW w:w="1500" w:type="pct"/>
            <w:shd w:val="clear" w:color="auto" w:fill="D9D9D9"/>
            <w:vAlign w:val="center"/>
          </w:tcPr>
          <w:p>
            <w:pPr>
              <w:spacing w:line="240" w:lineRule="auto"/>
              <w:jc w:val="center"/>
            </w:pPr>
            <w:r>
              <w:rPr>
                <w:rFonts w:ascii="宋体" w:eastAsia="宋体" w:hAnsi="宋体" w:cs="宋体"/>
                <w:b w:val="0"/>
              </w:rPr>
              <w:t>东方阿尔法增利债券发起C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-284,186.14</w:t>
            </w:r>
          </w:p>
        </w:tc>
        <w:tc>
          <w:tcPr>
            <w:tcW w:w="1500" w:type="pct"/>
            <w:vAlign w:val="center"/>
          </w:tcPr>
          <w:p>
            <w:pPr>
              <w:spacing w:line="240" w:lineRule="auto"/>
              <w:jc w:val="right"/>
            </w:pPr>
            <w:r>
              <w:rPr>
                <w:rFonts w:ascii="宋体" w:eastAsia="宋体" w:hAnsi="宋体" w:cs="宋体"/>
                <w:b w:val="0"/>
              </w:rPr>
              <w:t>-17,661.47</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-504,683.42</w:t>
            </w:r>
          </w:p>
        </w:tc>
        <w:tc>
          <w:tcPr>
            <w:tcW w:w="1500" w:type="pct"/>
            <w:vAlign w:val="center"/>
          </w:tcPr>
          <w:p>
            <w:pPr>
              <w:spacing w:line="240" w:lineRule="auto"/>
              <w:jc w:val="right"/>
            </w:pPr>
            <w:r>
              <w:rPr>
                <w:rFonts w:ascii="宋体" w:eastAsia="宋体" w:hAnsi="宋体" w:cs="宋体"/>
                <w:b w:val="0"/>
              </w:rPr>
              <w:t>-34,980.49</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-0.0477</w:t>
            </w:r>
          </w:p>
        </w:tc>
        <w:tc>
          <w:tcPr>
            <w:tcW w:w="1500" w:type="pct"/>
            <w:vAlign w:val="center"/>
          </w:tcPr>
          <w:p>
            <w:pPr>
              <w:spacing w:line="240" w:lineRule="auto"/>
              <w:jc w:val="right"/>
            </w:pPr>
            <w:r>
              <w:rPr>
                <w:rFonts w:ascii="宋体" w:eastAsia="宋体" w:hAnsi="宋体" w:cs="宋体"/>
                <w:b w:val="0"/>
              </w:rPr>
              <w:t>-0.0618</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10,190,629.90</w:t>
            </w:r>
          </w:p>
        </w:tc>
        <w:tc>
          <w:tcPr>
            <w:tcW w:w="1500" w:type="pct"/>
            <w:vAlign w:val="center"/>
          </w:tcPr>
          <w:p>
            <w:pPr>
              <w:spacing w:line="240" w:lineRule="auto"/>
              <w:jc w:val="right"/>
            </w:pPr>
            <w:r>
              <w:rPr>
                <w:rFonts w:ascii="宋体" w:eastAsia="宋体" w:hAnsi="宋体" w:cs="宋体"/>
                <w:b w:val="0"/>
              </w:rPr>
              <w:t>448,323.51</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0.9656</w:t>
            </w:r>
          </w:p>
        </w:tc>
        <w:tc>
          <w:tcPr>
            <w:tcW w:w="1500" w:type="pct"/>
            <w:vAlign w:val="center"/>
          </w:tcPr>
          <w:p>
            <w:pPr>
              <w:spacing w:line="240" w:lineRule="auto"/>
              <w:jc w:val="right"/>
            </w:pPr>
            <w:r>
              <w:rPr>
                <w:rFonts w:ascii="宋体" w:eastAsia="宋体" w:hAnsi="宋体" w:cs="宋体"/>
                <w:b w:val="0"/>
              </w:rPr>
              <w:t>0.9650</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东方阿尔法增利债券发起A净值表现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-4.73%</w:t>
            </w:r>
          </w:p>
        </w:tc>
        <w:tc>
          <w:tcPr>
            <w:tcW w:w="0" w:type="dxa"/>
            <w:vAlign w:val="center"/>
          </w:tcPr>
          <w:p>
            <w:pPr>
              <w:spacing w:line="240" w:lineRule="auto"/>
              <w:jc w:val="right"/>
            </w:pPr>
            <w:r>
              <w:rPr>
                <w:rFonts w:ascii="宋体" w:eastAsia="宋体" w:hAnsi="宋体" w:cs="宋体"/>
                <w:b w:val="0"/>
              </w:rPr>
              <w:t>0.67%</w:t>
            </w:r>
          </w:p>
        </w:tc>
        <w:tc>
          <w:tcPr>
            <w:tcW w:w="0" w:type="dxa"/>
            <w:vAlign w:val="center"/>
          </w:tcPr>
          <w:p>
            <w:pPr>
              <w:spacing w:line="240" w:lineRule="auto"/>
              <w:jc w:val="right"/>
            </w:pPr>
            <w:r>
              <w:rPr>
                <w:rFonts w:ascii="宋体" w:eastAsia="宋体" w:hAnsi="宋体" w:cs="宋体"/>
                <w:b w:val="0"/>
              </w:rPr>
              <w:t>-0.59%</w:t>
            </w:r>
          </w:p>
        </w:tc>
        <w:tc>
          <w:tcPr>
            <w:tcW w:w="0" w:type="dxa"/>
            <w:vAlign w:val="center"/>
          </w:tcPr>
          <w:p>
            <w:pPr>
              <w:spacing w:line="240" w:lineRule="auto"/>
              <w:jc w:val="right"/>
            </w:pPr>
            <w:r>
              <w:rPr>
                <w:rFonts w:ascii="宋体" w:eastAsia="宋体" w:hAnsi="宋体" w:cs="宋体"/>
                <w:b w:val="0"/>
              </w:rPr>
              <w:t>0.15%</w:t>
            </w:r>
          </w:p>
        </w:tc>
        <w:tc>
          <w:tcPr>
            <w:tcW w:w="0" w:type="dxa"/>
            <w:vAlign w:val="center"/>
          </w:tcPr>
          <w:p>
            <w:pPr>
              <w:spacing w:line="240" w:lineRule="auto"/>
              <w:jc w:val="right"/>
            </w:pPr>
            <w:r>
              <w:rPr>
                <w:rFonts w:ascii="宋体" w:eastAsia="宋体" w:hAnsi="宋体" w:cs="宋体"/>
                <w:b w:val="0"/>
              </w:rPr>
              <w:t>-4.14%</w:t>
            </w:r>
          </w:p>
        </w:tc>
        <w:tc>
          <w:tcPr>
            <w:tcW w:w="0" w:type="dxa"/>
            <w:vAlign w:val="center"/>
          </w:tcPr>
          <w:p>
            <w:pPr>
              <w:spacing w:line="240" w:lineRule="auto"/>
              <w:jc w:val="right"/>
            </w:pPr>
            <w:r>
              <w:rPr>
                <w:rFonts w:ascii="宋体" w:eastAsia="宋体" w:hAnsi="宋体" w:cs="宋体"/>
                <w:b w:val="0"/>
              </w:rPr>
              <w:t>0.52%</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-3.44%</w:t>
            </w:r>
          </w:p>
        </w:tc>
        <w:tc>
          <w:tcPr>
            <w:tcW w:w="0" w:type="dxa"/>
            <w:vAlign w:val="center"/>
          </w:tcPr>
          <w:p>
            <w:pPr>
              <w:spacing w:line="240" w:lineRule="auto"/>
              <w:jc w:val="right"/>
            </w:pPr>
            <w:r>
              <w:rPr>
                <w:rFonts w:ascii="宋体" w:eastAsia="宋体" w:hAnsi="宋体" w:cs="宋体"/>
                <w:b w:val="0"/>
              </w:rPr>
              <w:t>0.64%</w:t>
            </w:r>
          </w:p>
        </w:tc>
        <w:tc>
          <w:tcPr>
            <w:tcW w:w="0" w:type="dxa"/>
            <w:vAlign w:val="center"/>
          </w:tcPr>
          <w:p>
            <w:pPr>
              <w:spacing w:line="240" w:lineRule="auto"/>
              <w:jc w:val="right"/>
            </w:pPr>
            <w:r>
              <w:rPr>
                <w:rFonts w:ascii="宋体" w:eastAsia="宋体" w:hAnsi="宋体" w:cs="宋体"/>
                <w:b w:val="0"/>
              </w:rPr>
              <w:t>-0.85%</w:t>
            </w:r>
          </w:p>
        </w:tc>
        <w:tc>
          <w:tcPr>
            <w:tcW w:w="0" w:type="dxa"/>
            <w:vAlign w:val="center"/>
          </w:tcPr>
          <w:p>
            <w:pPr>
              <w:spacing w:line="240" w:lineRule="auto"/>
              <w:jc w:val="right"/>
            </w:pPr>
            <w:r>
              <w:rPr>
                <w:rFonts w:ascii="宋体" w:eastAsia="宋体" w:hAnsi="宋体" w:cs="宋体"/>
                <w:b w:val="0"/>
              </w:rPr>
              <w:t>0.17%</w:t>
            </w:r>
          </w:p>
        </w:tc>
        <w:tc>
          <w:tcPr>
            <w:tcW w:w="0" w:type="dxa"/>
            <w:vAlign w:val="center"/>
          </w:tcPr>
          <w:p>
            <w:pPr>
              <w:spacing w:line="240" w:lineRule="auto"/>
              <w:jc w:val="right"/>
            </w:pPr>
            <w:r>
              <w:rPr>
                <w:rFonts w:ascii="宋体" w:eastAsia="宋体" w:hAnsi="宋体" w:cs="宋体"/>
                <w:b w:val="0"/>
              </w:rPr>
              <w:t>-2.59%</w:t>
            </w:r>
          </w:p>
        </w:tc>
        <w:tc>
          <w:tcPr>
            <w:tcW w:w="0" w:type="dxa"/>
            <w:vAlign w:val="center"/>
          </w:tcPr>
          <w:p>
            <w:pPr>
              <w:spacing w:line="240" w:lineRule="auto"/>
              <w:jc w:val="right"/>
            </w:pPr>
            <w:r>
              <w:rPr>
                <w:rFonts w:ascii="宋体" w:eastAsia="宋体" w:hAnsi="宋体" w:cs="宋体"/>
                <w:b w:val="0"/>
              </w:rPr>
              <w:t>0.47%</w:t>
            </w:r>
          </w:p>
        </w:tc>
      </w:tr>
    </w:tbl>
    <w:p>
      <w:pPr>
        <w:jc w:val="left"/>
      </w:pPr>
      <w:r>
        <w:rPr>
          <w:rFonts w:ascii="宋体" w:eastAsia="宋体" w:hAnsi="宋体" w:cs="宋体"/>
          <w:b/>
        </w:rPr>
        <w:t>东方阿尔法增利债券发起C净值表现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-4.78%</w:t>
            </w:r>
          </w:p>
        </w:tc>
        <w:tc>
          <w:tcPr>
            <w:tcW w:w="0" w:type="dxa"/>
            <w:vAlign w:val="center"/>
          </w:tcPr>
          <w:p>
            <w:pPr>
              <w:spacing w:line="240" w:lineRule="auto"/>
              <w:jc w:val="right"/>
            </w:pPr>
            <w:r>
              <w:rPr>
                <w:rFonts w:ascii="宋体" w:eastAsia="宋体" w:hAnsi="宋体" w:cs="宋体"/>
                <w:b w:val="0"/>
              </w:rPr>
              <w:t>0.67%</w:t>
            </w:r>
          </w:p>
        </w:tc>
        <w:tc>
          <w:tcPr>
            <w:tcW w:w="0" w:type="dxa"/>
            <w:vAlign w:val="center"/>
          </w:tcPr>
          <w:p>
            <w:pPr>
              <w:spacing w:line="240" w:lineRule="auto"/>
              <w:jc w:val="right"/>
            </w:pPr>
            <w:r>
              <w:rPr>
                <w:rFonts w:ascii="宋体" w:eastAsia="宋体" w:hAnsi="宋体" w:cs="宋体"/>
                <w:b w:val="0"/>
              </w:rPr>
              <w:t>-0.59%</w:t>
            </w:r>
          </w:p>
        </w:tc>
        <w:tc>
          <w:tcPr>
            <w:tcW w:w="0" w:type="dxa"/>
            <w:vAlign w:val="center"/>
          </w:tcPr>
          <w:p>
            <w:pPr>
              <w:spacing w:line="240" w:lineRule="auto"/>
              <w:jc w:val="right"/>
            </w:pPr>
            <w:r>
              <w:rPr>
                <w:rFonts w:ascii="宋体" w:eastAsia="宋体" w:hAnsi="宋体" w:cs="宋体"/>
                <w:b w:val="0"/>
              </w:rPr>
              <w:t>0.15%</w:t>
            </w:r>
          </w:p>
        </w:tc>
        <w:tc>
          <w:tcPr>
            <w:tcW w:w="0" w:type="dxa"/>
            <w:vAlign w:val="center"/>
          </w:tcPr>
          <w:p>
            <w:pPr>
              <w:spacing w:line="240" w:lineRule="auto"/>
              <w:jc w:val="right"/>
            </w:pPr>
            <w:r>
              <w:rPr>
                <w:rFonts w:ascii="宋体" w:eastAsia="宋体" w:hAnsi="宋体" w:cs="宋体"/>
                <w:b w:val="0"/>
              </w:rPr>
              <w:t>-4.19%</w:t>
            </w:r>
          </w:p>
        </w:tc>
        <w:tc>
          <w:tcPr>
            <w:tcW w:w="0" w:type="dxa"/>
            <w:vAlign w:val="center"/>
          </w:tcPr>
          <w:p>
            <w:pPr>
              <w:spacing w:line="240" w:lineRule="auto"/>
              <w:jc w:val="right"/>
            </w:pPr>
            <w:r>
              <w:rPr>
                <w:rFonts w:ascii="宋体" w:eastAsia="宋体" w:hAnsi="宋体" w:cs="宋体"/>
                <w:b w:val="0"/>
              </w:rPr>
              <w:t>0.52%</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-3.50%</w:t>
            </w:r>
          </w:p>
        </w:tc>
        <w:tc>
          <w:tcPr>
            <w:tcW w:w="0" w:type="dxa"/>
            <w:vAlign w:val="center"/>
          </w:tcPr>
          <w:p>
            <w:pPr>
              <w:spacing w:line="240" w:lineRule="auto"/>
              <w:jc w:val="right"/>
            </w:pPr>
            <w:r>
              <w:rPr>
                <w:rFonts w:ascii="宋体" w:eastAsia="宋体" w:hAnsi="宋体" w:cs="宋体"/>
                <w:b w:val="0"/>
              </w:rPr>
              <w:t>0.64%</w:t>
            </w:r>
          </w:p>
        </w:tc>
        <w:tc>
          <w:tcPr>
            <w:tcW w:w="0" w:type="dxa"/>
            <w:vAlign w:val="center"/>
          </w:tcPr>
          <w:p>
            <w:pPr>
              <w:spacing w:line="240" w:lineRule="auto"/>
              <w:jc w:val="right"/>
            </w:pPr>
            <w:r>
              <w:rPr>
                <w:rFonts w:ascii="宋体" w:eastAsia="宋体" w:hAnsi="宋体" w:cs="宋体"/>
                <w:b w:val="0"/>
              </w:rPr>
              <w:t>-0.85%</w:t>
            </w:r>
          </w:p>
        </w:tc>
        <w:tc>
          <w:tcPr>
            <w:tcW w:w="0" w:type="dxa"/>
            <w:vAlign w:val="center"/>
          </w:tcPr>
          <w:p>
            <w:pPr>
              <w:spacing w:line="240" w:lineRule="auto"/>
              <w:jc w:val="right"/>
            </w:pPr>
            <w:r>
              <w:rPr>
                <w:rFonts w:ascii="宋体" w:eastAsia="宋体" w:hAnsi="宋体" w:cs="宋体"/>
                <w:b w:val="0"/>
              </w:rPr>
              <w:t>0.17%</w:t>
            </w:r>
          </w:p>
        </w:tc>
        <w:tc>
          <w:tcPr>
            <w:tcW w:w="0" w:type="dxa"/>
            <w:vAlign w:val="center"/>
          </w:tcPr>
          <w:p>
            <w:pPr>
              <w:spacing w:line="240" w:lineRule="auto"/>
              <w:jc w:val="right"/>
            </w:pPr>
            <w:r>
              <w:rPr>
                <w:rFonts w:ascii="宋体" w:eastAsia="宋体" w:hAnsi="宋体" w:cs="宋体"/>
                <w:b w:val="0"/>
              </w:rPr>
              <w:t>-2.65%</w:t>
            </w:r>
          </w:p>
        </w:tc>
        <w:tc>
          <w:tcPr>
            <w:tcW w:w="0" w:type="dxa"/>
            <w:vAlign w:val="center"/>
          </w:tcPr>
          <w:p>
            <w:pPr>
              <w:spacing w:line="240" w:lineRule="auto"/>
              <w:jc w:val="right"/>
            </w:pPr>
            <w:r>
              <w:rPr>
                <w:rFonts w:ascii="宋体" w:eastAsia="宋体" w:hAnsi="宋体" w:cs="宋体"/>
                <w:b w:val="0"/>
              </w:rPr>
              <w:t>0.47%</w:t>
            </w:r>
          </w:p>
        </w:tc>
      </w:tr>
    </w:tbl>
    <w:p>
      <w:r>
        <w:rPr>
          <w:rFonts w:ascii="宋体" w:eastAsia="宋体" w:hAnsi="宋体" w:cs="宋体"/>
          <w:b w:val="0"/>
        </w:rPr>
        <w:t>注：本基金业绩比较基准为：中债-综合全价（总值）指数收益率×85%+沪深300指数收益率×10%+中证港股通综合指数（人民币）收益率*5%</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吴秋松</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2026-06-02</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10年</w:t>
            </w:r>
          </w:p>
        </w:tc>
        <w:tc>
          <w:tcPr>
            <w:tcW w:w="0" w:type="dxa"/>
            <w:vAlign w:val="center"/>
          </w:tcPr>
          <w:p>
            <w:pPr>
              <w:spacing w:line="240" w:lineRule="auto"/>
              <w:jc w:val="left"/>
            </w:pPr>
            <w:r>
              <w:rPr>
                <w:rFonts w:ascii="宋体" w:eastAsia="宋体" w:hAnsi="宋体" w:cs="宋体"/>
                <w:b w:val="0"/>
              </w:rPr>
              <w:t>吴秋松先生，哈尔滨工业大学工学学士， 复旦大学管理学硕士。多年证券行业投研经验，曾任职于君证资本管理有限公司、银泰证券有限责任公司。2017年10月至2024年9月，在红塔红土基金管理有限公司工作，历任研究部研究员 、投资部基金经理助理、基金经理。现担任东方阿尔法基金管理有限公司基金经理。</w:t>
            </w:r>
          </w:p>
        </w:tc>
      </w:tr>
      <w:tr>
        <w:tblPrEx>
          <w:tblW w:w="5000" w:type="pct"/>
        </w:tblPrEx>
        <w:tc>
          <w:tcPr>
            <w:tcW w:w="0" w:type="dxa"/>
            <w:vAlign w:val="center"/>
          </w:tcPr>
          <w:p>
            <w:pPr>
              <w:spacing w:line="240" w:lineRule="auto"/>
              <w:jc w:val="left"/>
            </w:pPr>
            <w:r>
              <w:rPr>
                <w:rFonts w:ascii="宋体" w:eastAsia="宋体" w:hAnsi="宋体" w:cs="宋体"/>
                <w:b w:val="0"/>
              </w:rPr>
              <w:t>吴谢彬</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2026-09-02</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11年</w:t>
            </w:r>
          </w:p>
        </w:tc>
        <w:tc>
          <w:tcPr>
            <w:tcW w:w="0" w:type="dxa"/>
            <w:vAlign w:val="center"/>
          </w:tcPr>
          <w:p>
            <w:pPr>
              <w:spacing w:line="240" w:lineRule="auto"/>
              <w:jc w:val="left"/>
            </w:pPr>
            <w:r>
              <w:rPr>
                <w:rFonts w:ascii="宋体" w:eastAsia="宋体" w:hAnsi="宋体" w:cs="宋体"/>
                <w:b w:val="0"/>
              </w:rPr>
              <w:t>吴谢彬先生，美国加州大学伯克利分校数学、经济学学士，北京大学汇丰商学院工商管理硕士，2015年7月至2020年8月，就职于金信基金管理有限公司工作，历任交易员、交易主管、交易副总监；2020年8月至2026年5月，就职于同泰基金管理有限公司工作，历任交易主管、交易副总监、交易总监、信息技术部总监；2026年5月至今，任东方阿尔法基金管理有限公司固定收益部总监、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年第三季度，国内7-9月制造业PMI分别为49.2%、49.8%、50.1%，大致符合季节性特征。2026年7、8月国内规模以上工业增加值分别同比增长4.5%、5.2%，同比增速较2026年第二季度保持稳定。2026年7、8月固定资产投资分别同比下滑12.9%、11.0%，社会消费品零售总额分别同比增长0.6%、0.4%，而出口（以美元计价）分别同比增长23.9%、25.0%，仍是拉动国内制造业增长的主要贡献项。</w:t>
        <w:br/>
      </w:r>
      <w:r>
        <w:rPr>
          <w:rFonts w:ascii="宋体" w:eastAsia="宋体" w:hAnsi="宋体" w:cs="宋体"/>
          <w:b w:val="0"/>
        </w:rPr>
        <w:t xml:space="preserve">    经济基本面仍呈K型分化，A股市场主要宽基指数在2026年第三季度整体呈现震荡回调的走势，结构性特征较第二季度有明显变化，其中上证指数下跌6.16%、沪深300下跌12.49%、中证500下跌17.67%、创业板指下跌27.80%、科创50下跌30.70%。具体申万一级行业方面，行业指数表现差异明显，煤炭、石油石化、农林牧渔行业指数涨幅领先，涨幅都超过了15%，而电子、通信行业指数跌幅靠前，跌幅均在30%左右。报告期内，我们根据对宏观经济、货币流动性与市场风险偏好等因素的判断，来配置权益资产的投资比例；行业配置方面，我们相对看好AI产业链等科技产业升级方向，也是本报告期内主要配置方向。</w:t>
        <w:br/>
      </w:r>
      <w:r>
        <w:rPr>
          <w:rFonts w:ascii="宋体" w:eastAsia="宋体" w:hAnsi="宋体" w:cs="宋体"/>
          <w:b w:val="0"/>
        </w:rPr>
        <w:t xml:space="preserve">    报告期内，债券市场延续较强表现，10年期国债收益率从1.73%下行至1.68%，收益率曲线进一步平坦化，1、5、10年信用利差压缩至历史极低区间；可转债受权益市场走弱与估值压缩的双重影响表现偏弱，中证转债指数下跌7.00%。在此背景下，我们在延续纯利率债策略的基础上，将博弈重心进一步向长端倾斜，以长端利率债仓位参与收益率下行行情，增厚组合收益。</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增利债券发起A基金份额净值为0.9656元，本报告期内，该类基金份额净值增长率为-4.73%，同期业绩比较基准收益率为-0.59%；截至报告期末东方阿尔法增利债券发起C基金份额净值为0.9650元，本报告期内，该类基金份额净值增长率为-4.78%，同期业绩比较基准收益率为-0.59%。</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本基金为发起式基金，且截至本报告期末，本基金基金合同生效未满3年，暂不适用《公开募集证券投资基金运作管理办法》第四十一条第一款的规定。</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1,662,117.48</w:t>
            </w:r>
          </w:p>
        </w:tc>
        <w:tc>
          <w:tcPr>
            <w:tcW w:w="0" w:type="dxa"/>
            <w:vAlign w:val="center"/>
          </w:tcPr>
          <w:p>
            <w:pPr>
              <w:spacing w:line="240" w:lineRule="auto"/>
              <w:jc w:val="right"/>
            </w:pPr>
            <w:r>
              <w:rPr>
                <w:rFonts w:ascii="宋体" w:eastAsia="宋体" w:hAnsi="宋体" w:cs="宋体"/>
                <w:b w:val="0"/>
              </w:rPr>
              <w:t>15.27</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1,662,117.48</w:t>
            </w:r>
          </w:p>
        </w:tc>
        <w:tc>
          <w:tcPr>
            <w:tcW w:w="0" w:type="dxa"/>
            <w:vAlign w:val="center"/>
          </w:tcPr>
          <w:p>
            <w:pPr>
              <w:spacing w:line="240" w:lineRule="auto"/>
              <w:jc w:val="right"/>
            </w:pPr>
            <w:r>
              <w:rPr>
                <w:rFonts w:ascii="宋体" w:eastAsia="宋体" w:hAnsi="宋体" w:cs="宋体"/>
                <w:b w:val="0"/>
              </w:rPr>
              <w:t>15.27</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8,054,782.35</w:t>
            </w:r>
          </w:p>
        </w:tc>
        <w:tc>
          <w:tcPr>
            <w:tcW w:w="0" w:type="dxa"/>
            <w:vAlign w:val="center"/>
          </w:tcPr>
          <w:p>
            <w:pPr>
              <w:spacing w:line="240" w:lineRule="auto"/>
              <w:jc w:val="right"/>
            </w:pPr>
            <w:r>
              <w:rPr>
                <w:rFonts w:ascii="宋体" w:eastAsia="宋体" w:hAnsi="宋体" w:cs="宋体"/>
                <w:b w:val="0"/>
              </w:rPr>
              <w:t>74.00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8,054,782.35</w:t>
            </w:r>
          </w:p>
        </w:tc>
        <w:tc>
          <w:tcPr>
            <w:tcW w:w="0" w:type="dxa"/>
            <w:vAlign w:val="center"/>
          </w:tcPr>
          <w:p>
            <w:pPr>
              <w:spacing w:line="240" w:lineRule="auto"/>
              <w:jc w:val="right"/>
            </w:pPr>
            <w:r>
              <w:rPr>
                <w:rFonts w:ascii="宋体" w:eastAsia="宋体" w:hAnsi="宋体" w:cs="宋体"/>
                <w:b w:val="0"/>
              </w:rPr>
              <w:t>74.00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799,838.90</w:t>
            </w:r>
          </w:p>
        </w:tc>
        <w:tc>
          <w:tcPr>
            <w:tcW w:w="0" w:type="dxa"/>
            <w:vAlign w:val="center"/>
          </w:tcPr>
          <w:p>
            <w:pPr>
              <w:spacing w:line="240" w:lineRule="auto"/>
              <w:jc w:val="right"/>
            </w:pPr>
            <w:r>
              <w:rPr>
                <w:rFonts w:ascii="宋体" w:eastAsia="宋体" w:hAnsi="宋体" w:cs="宋体"/>
                <w:b w:val="0"/>
              </w:rPr>
              <w:t>7.35</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367,585.78</w:t>
            </w:r>
          </w:p>
        </w:tc>
        <w:tc>
          <w:tcPr>
            <w:tcW w:w="0" w:type="dxa"/>
            <w:vAlign w:val="center"/>
          </w:tcPr>
          <w:p>
            <w:pPr>
              <w:spacing w:line="240" w:lineRule="auto"/>
              <w:jc w:val="right"/>
            </w:pPr>
            <w:r>
              <w:rPr>
                <w:rFonts w:ascii="宋体" w:eastAsia="宋体" w:hAnsi="宋体" w:cs="宋体"/>
                <w:b w:val="0"/>
              </w:rPr>
              <w:t>3.38</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40.00</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10,884,364.51</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注：报告期末本基金通过港股通交易机制投资的港股公允价值合计197,908.73元，占基金资产净值的比例为1.86%。</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1,464,208.75</w:t>
            </w:r>
          </w:p>
        </w:tc>
        <w:tc>
          <w:tcPr>
            <w:tcW w:w="0" w:type="dxa"/>
            <w:vAlign w:val="center"/>
          </w:tcPr>
          <w:p>
            <w:pPr>
              <w:spacing w:line="240" w:lineRule="auto"/>
              <w:jc w:val="right"/>
            </w:pPr>
            <w:r>
              <w:rPr>
                <w:rFonts w:ascii="宋体" w:eastAsia="宋体" w:hAnsi="宋体" w:cs="宋体"/>
                <w:b w:val="0"/>
              </w:rPr>
              <w:t>13.76</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1,464,208.75</w:t>
            </w:r>
          </w:p>
        </w:tc>
        <w:tc>
          <w:tcPr>
            <w:tcW w:w="0" w:type="dxa"/>
            <w:vAlign w:val="center"/>
          </w:tcPr>
          <w:p>
            <w:pPr>
              <w:spacing w:line="240" w:lineRule="auto"/>
              <w:jc w:val="right"/>
            </w:pPr>
            <w:r>
              <w:rPr>
                <w:rFonts w:ascii="宋体" w:eastAsia="宋体" w:hAnsi="宋体" w:cs="宋体"/>
                <w:b w:val="0"/>
              </w:rPr>
              <w:t>13.76</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信息技术</w:t>
            </w:r>
          </w:p>
        </w:tc>
        <w:tc>
          <w:tcPr>
            <w:tcW w:w="0" w:type="dxa"/>
            <w:vAlign w:val="center"/>
          </w:tcPr>
          <w:p>
            <w:pPr>
              <w:spacing w:line="240" w:lineRule="auto"/>
              <w:jc w:val="right"/>
            </w:pPr>
            <w:r>
              <w:rPr>
                <w:rFonts w:ascii="宋体" w:eastAsia="宋体" w:hAnsi="宋体" w:cs="宋体"/>
                <w:b w:val="0"/>
              </w:rPr>
              <w:t>197,908.73</w:t>
            </w:r>
          </w:p>
        </w:tc>
        <w:tc>
          <w:tcPr>
            <w:tcW w:w="0" w:type="dxa"/>
            <w:vAlign w:val="center"/>
          </w:tcPr>
          <w:p>
            <w:pPr>
              <w:spacing w:line="240" w:lineRule="auto"/>
              <w:jc w:val="right"/>
            </w:pPr>
            <w:r>
              <w:rPr>
                <w:rFonts w:ascii="宋体" w:eastAsia="宋体" w:hAnsi="宋体" w:cs="宋体"/>
                <w:b w:val="0"/>
              </w:rPr>
              <w:t>1.86</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197,908.73</w:t>
            </w:r>
          </w:p>
        </w:tc>
        <w:tc>
          <w:tcPr>
            <w:tcW w:w="0" w:type="dxa"/>
            <w:vAlign w:val="center"/>
          </w:tcPr>
          <w:p>
            <w:pPr>
              <w:spacing w:line="240" w:lineRule="auto"/>
              <w:jc w:val="right"/>
            </w:pPr>
            <w:r>
              <w:rPr>
                <w:rFonts w:ascii="宋体" w:eastAsia="宋体" w:hAnsi="宋体" w:cs="宋体"/>
                <w:b w:val="0"/>
              </w:rPr>
              <w:t>1.86</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002436</w:t>
            </w:r>
          </w:p>
        </w:tc>
        <w:tc>
          <w:tcPr>
            <w:tcW w:w="0" w:type="dxa"/>
            <w:vAlign w:val="center"/>
          </w:tcPr>
          <w:p>
            <w:pPr>
              <w:spacing w:line="240" w:lineRule="auto"/>
              <w:jc w:val="left"/>
            </w:pPr>
            <w:r>
              <w:rPr>
                <w:rFonts w:ascii="宋体" w:eastAsia="宋体" w:hAnsi="宋体" w:cs="宋体"/>
                <w:b w:val="0"/>
              </w:rPr>
              <w:t>兴森科技</w:t>
            </w:r>
          </w:p>
        </w:tc>
        <w:tc>
          <w:tcPr>
            <w:tcW w:w="0" w:type="dxa"/>
            <w:vAlign w:val="center"/>
          </w:tcPr>
          <w:p>
            <w:pPr>
              <w:spacing w:line="240" w:lineRule="auto"/>
              <w:jc w:val="right"/>
            </w:pPr>
            <w:r>
              <w:rPr>
                <w:rFonts w:ascii="宋体" w:eastAsia="宋体" w:hAnsi="宋体" w:cs="宋体"/>
                <w:b w:val="0"/>
              </w:rPr>
              <w:t>7,600</w:t>
            </w:r>
          </w:p>
        </w:tc>
        <w:tc>
          <w:tcPr>
            <w:tcW w:w="0" w:type="dxa"/>
            <w:vAlign w:val="center"/>
          </w:tcPr>
          <w:p>
            <w:pPr>
              <w:spacing w:line="240" w:lineRule="auto"/>
              <w:jc w:val="right"/>
            </w:pPr>
            <w:r>
              <w:rPr>
                <w:rFonts w:ascii="宋体" w:eastAsia="宋体" w:hAnsi="宋体" w:cs="宋体"/>
                <w:b w:val="0"/>
              </w:rPr>
              <w:t>311,144.00</w:t>
            </w:r>
          </w:p>
        </w:tc>
        <w:tc>
          <w:tcPr>
            <w:tcW w:w="0" w:type="dxa"/>
            <w:vAlign w:val="center"/>
          </w:tcPr>
          <w:p>
            <w:pPr>
              <w:spacing w:line="240" w:lineRule="auto"/>
              <w:jc w:val="right"/>
            </w:pPr>
            <w:r>
              <w:rPr>
                <w:rFonts w:ascii="宋体" w:eastAsia="宋体" w:hAnsi="宋体" w:cs="宋体"/>
                <w:b w:val="0"/>
              </w:rPr>
              <w:t>2.92</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688025</w:t>
            </w:r>
          </w:p>
        </w:tc>
        <w:tc>
          <w:tcPr>
            <w:tcW w:w="0" w:type="dxa"/>
            <w:vAlign w:val="center"/>
          </w:tcPr>
          <w:p>
            <w:pPr>
              <w:spacing w:line="240" w:lineRule="auto"/>
              <w:jc w:val="left"/>
            </w:pPr>
            <w:r>
              <w:rPr>
                <w:rFonts w:ascii="宋体" w:eastAsia="宋体" w:hAnsi="宋体" w:cs="宋体"/>
                <w:b w:val="0"/>
              </w:rPr>
              <w:t>杰普特</w:t>
            </w:r>
          </w:p>
        </w:tc>
        <w:tc>
          <w:tcPr>
            <w:tcW w:w="0" w:type="dxa"/>
            <w:vAlign w:val="center"/>
          </w:tcPr>
          <w:p>
            <w:pPr>
              <w:spacing w:line="240" w:lineRule="auto"/>
              <w:jc w:val="right"/>
            </w:pPr>
            <w:r>
              <w:rPr>
                <w:rFonts w:ascii="宋体" w:eastAsia="宋体" w:hAnsi="宋体" w:cs="宋体"/>
                <w:b w:val="0"/>
              </w:rPr>
              <w:t>675</w:t>
            </w:r>
          </w:p>
        </w:tc>
        <w:tc>
          <w:tcPr>
            <w:tcW w:w="0" w:type="dxa"/>
            <w:vAlign w:val="center"/>
          </w:tcPr>
          <w:p>
            <w:pPr>
              <w:spacing w:line="240" w:lineRule="auto"/>
              <w:jc w:val="right"/>
            </w:pPr>
            <w:r>
              <w:rPr>
                <w:rFonts w:ascii="宋体" w:eastAsia="宋体" w:hAnsi="宋体" w:cs="宋体"/>
                <w:b w:val="0"/>
              </w:rPr>
              <w:t>283,128.75</w:t>
            </w:r>
          </w:p>
        </w:tc>
        <w:tc>
          <w:tcPr>
            <w:tcW w:w="0" w:type="dxa"/>
            <w:vAlign w:val="center"/>
          </w:tcPr>
          <w:p>
            <w:pPr>
              <w:spacing w:line="240" w:lineRule="auto"/>
              <w:jc w:val="right"/>
            </w:pPr>
            <w:r>
              <w:rPr>
                <w:rFonts w:ascii="宋体" w:eastAsia="宋体" w:hAnsi="宋体" w:cs="宋体"/>
                <w:b w:val="0"/>
              </w:rPr>
              <w:t>2.66</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03228</w:t>
            </w:r>
          </w:p>
        </w:tc>
        <w:tc>
          <w:tcPr>
            <w:tcW w:w="0" w:type="dxa"/>
            <w:vAlign w:val="center"/>
          </w:tcPr>
          <w:p>
            <w:pPr>
              <w:spacing w:line="240" w:lineRule="auto"/>
              <w:jc w:val="left"/>
            </w:pPr>
            <w:r>
              <w:rPr>
                <w:rFonts w:ascii="宋体" w:eastAsia="宋体" w:hAnsi="宋体" w:cs="宋体"/>
                <w:b w:val="0"/>
              </w:rPr>
              <w:t>景旺电子</w:t>
            </w:r>
          </w:p>
        </w:tc>
        <w:tc>
          <w:tcPr>
            <w:tcW w:w="0" w:type="dxa"/>
            <w:vAlign w:val="center"/>
          </w:tcPr>
          <w:p>
            <w:pPr>
              <w:spacing w:line="240" w:lineRule="auto"/>
              <w:jc w:val="right"/>
            </w:pPr>
            <w:r>
              <w:rPr>
                <w:rFonts w:ascii="宋体" w:eastAsia="宋体" w:hAnsi="宋体" w:cs="宋体"/>
                <w:b w:val="0"/>
              </w:rPr>
              <w:t>3,000</w:t>
            </w:r>
          </w:p>
        </w:tc>
        <w:tc>
          <w:tcPr>
            <w:tcW w:w="0" w:type="dxa"/>
            <w:vAlign w:val="center"/>
          </w:tcPr>
          <w:p>
            <w:pPr>
              <w:spacing w:line="240" w:lineRule="auto"/>
              <w:jc w:val="right"/>
            </w:pPr>
            <w:r>
              <w:rPr>
                <w:rFonts w:ascii="宋体" w:eastAsia="宋体" w:hAnsi="宋体" w:cs="宋体"/>
                <w:b w:val="0"/>
              </w:rPr>
              <w:t>197,908.73</w:t>
            </w:r>
          </w:p>
        </w:tc>
        <w:tc>
          <w:tcPr>
            <w:tcW w:w="0" w:type="dxa"/>
            <w:vAlign w:val="center"/>
          </w:tcPr>
          <w:p>
            <w:pPr>
              <w:spacing w:line="240" w:lineRule="auto"/>
              <w:jc w:val="right"/>
            </w:pPr>
            <w:r>
              <w:rPr>
                <w:rFonts w:ascii="宋体" w:eastAsia="宋体" w:hAnsi="宋体" w:cs="宋体"/>
                <w:b w:val="0"/>
              </w:rPr>
              <w:t>1.86</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688183</w:t>
            </w:r>
          </w:p>
        </w:tc>
        <w:tc>
          <w:tcPr>
            <w:tcW w:w="0" w:type="dxa"/>
            <w:vAlign w:val="center"/>
          </w:tcPr>
          <w:p>
            <w:pPr>
              <w:spacing w:line="240" w:lineRule="auto"/>
              <w:jc w:val="left"/>
            </w:pPr>
            <w:r>
              <w:rPr>
                <w:rFonts w:ascii="宋体" w:eastAsia="宋体" w:hAnsi="宋体" w:cs="宋体"/>
                <w:b w:val="0"/>
              </w:rPr>
              <w:t>生益电子</w:t>
            </w:r>
          </w:p>
        </w:tc>
        <w:tc>
          <w:tcPr>
            <w:tcW w:w="0" w:type="dxa"/>
            <w:vAlign w:val="center"/>
          </w:tcPr>
          <w:p>
            <w:pPr>
              <w:spacing w:line="240" w:lineRule="auto"/>
              <w:jc w:val="right"/>
            </w:pPr>
            <w:r>
              <w:rPr>
                <w:rFonts w:ascii="宋体" w:eastAsia="宋体" w:hAnsi="宋体" w:cs="宋体"/>
                <w:b w:val="0"/>
              </w:rPr>
              <w:t>1,800</w:t>
            </w:r>
          </w:p>
        </w:tc>
        <w:tc>
          <w:tcPr>
            <w:tcW w:w="0" w:type="dxa"/>
            <w:vAlign w:val="center"/>
          </w:tcPr>
          <w:p>
            <w:pPr>
              <w:spacing w:line="240" w:lineRule="auto"/>
              <w:jc w:val="right"/>
            </w:pPr>
            <w:r>
              <w:rPr>
                <w:rFonts w:ascii="宋体" w:eastAsia="宋体" w:hAnsi="宋体" w:cs="宋体"/>
                <w:b w:val="0"/>
              </w:rPr>
              <w:t>194,400.00</w:t>
            </w:r>
          </w:p>
        </w:tc>
        <w:tc>
          <w:tcPr>
            <w:tcW w:w="0" w:type="dxa"/>
            <w:vAlign w:val="center"/>
          </w:tcPr>
          <w:p>
            <w:pPr>
              <w:spacing w:line="240" w:lineRule="auto"/>
              <w:jc w:val="right"/>
            </w:pPr>
            <w:r>
              <w:rPr>
                <w:rFonts w:ascii="宋体" w:eastAsia="宋体" w:hAnsi="宋体" w:cs="宋体"/>
                <w:b w:val="0"/>
              </w:rPr>
              <w:t>1.83</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300400</w:t>
            </w:r>
          </w:p>
        </w:tc>
        <w:tc>
          <w:tcPr>
            <w:tcW w:w="0" w:type="dxa"/>
            <w:vAlign w:val="center"/>
          </w:tcPr>
          <w:p>
            <w:pPr>
              <w:spacing w:line="240" w:lineRule="auto"/>
              <w:jc w:val="left"/>
            </w:pPr>
            <w:r>
              <w:rPr>
                <w:rFonts w:ascii="宋体" w:eastAsia="宋体" w:hAnsi="宋体" w:cs="宋体"/>
                <w:b w:val="0"/>
              </w:rPr>
              <w:t>劲拓股份</w:t>
            </w:r>
          </w:p>
        </w:tc>
        <w:tc>
          <w:tcPr>
            <w:tcW w:w="0" w:type="dxa"/>
            <w:vAlign w:val="center"/>
          </w:tcPr>
          <w:p>
            <w:pPr>
              <w:spacing w:line="240" w:lineRule="auto"/>
              <w:jc w:val="right"/>
            </w:pPr>
            <w:r>
              <w:rPr>
                <w:rFonts w:ascii="宋体" w:eastAsia="宋体" w:hAnsi="宋体" w:cs="宋体"/>
                <w:b w:val="0"/>
              </w:rPr>
              <w:t>5,800</w:t>
            </w:r>
          </w:p>
        </w:tc>
        <w:tc>
          <w:tcPr>
            <w:tcW w:w="0" w:type="dxa"/>
            <w:vAlign w:val="center"/>
          </w:tcPr>
          <w:p>
            <w:pPr>
              <w:spacing w:line="240" w:lineRule="auto"/>
              <w:jc w:val="right"/>
            </w:pPr>
            <w:r>
              <w:rPr>
                <w:rFonts w:ascii="宋体" w:eastAsia="宋体" w:hAnsi="宋体" w:cs="宋体"/>
                <w:b w:val="0"/>
              </w:rPr>
              <w:t>186,760.00</w:t>
            </w:r>
          </w:p>
        </w:tc>
        <w:tc>
          <w:tcPr>
            <w:tcW w:w="0" w:type="dxa"/>
            <w:vAlign w:val="center"/>
          </w:tcPr>
          <w:p>
            <w:pPr>
              <w:spacing w:line="240" w:lineRule="auto"/>
              <w:jc w:val="right"/>
            </w:pPr>
            <w:r>
              <w:rPr>
                <w:rFonts w:ascii="宋体" w:eastAsia="宋体" w:hAnsi="宋体" w:cs="宋体"/>
                <w:b w:val="0"/>
              </w:rPr>
              <w:t>1.76</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300814</w:t>
            </w:r>
          </w:p>
        </w:tc>
        <w:tc>
          <w:tcPr>
            <w:tcW w:w="0" w:type="dxa"/>
            <w:vAlign w:val="center"/>
          </w:tcPr>
          <w:p>
            <w:pPr>
              <w:spacing w:line="240" w:lineRule="auto"/>
              <w:jc w:val="left"/>
            </w:pPr>
            <w:r>
              <w:rPr>
                <w:rFonts w:ascii="宋体" w:eastAsia="宋体" w:hAnsi="宋体" w:cs="宋体"/>
                <w:b w:val="0"/>
              </w:rPr>
              <w:t>中富电路</w:t>
            </w:r>
          </w:p>
        </w:tc>
        <w:tc>
          <w:tcPr>
            <w:tcW w:w="0" w:type="dxa"/>
            <w:vAlign w:val="center"/>
          </w:tcPr>
          <w:p>
            <w:pPr>
              <w:spacing w:line="240" w:lineRule="auto"/>
              <w:jc w:val="right"/>
            </w:pPr>
            <w:r>
              <w:rPr>
                <w:rFonts w:ascii="宋体" w:eastAsia="宋体" w:hAnsi="宋体" w:cs="宋体"/>
                <w:b w:val="0"/>
              </w:rPr>
              <w:t>1,500</w:t>
            </w:r>
          </w:p>
        </w:tc>
        <w:tc>
          <w:tcPr>
            <w:tcW w:w="0" w:type="dxa"/>
            <w:vAlign w:val="center"/>
          </w:tcPr>
          <w:p>
            <w:pPr>
              <w:spacing w:line="240" w:lineRule="auto"/>
              <w:jc w:val="right"/>
            </w:pPr>
            <w:r>
              <w:rPr>
                <w:rFonts w:ascii="宋体" w:eastAsia="宋体" w:hAnsi="宋体" w:cs="宋体"/>
                <w:b w:val="0"/>
              </w:rPr>
              <w:t>182,790.00</w:t>
            </w:r>
          </w:p>
        </w:tc>
        <w:tc>
          <w:tcPr>
            <w:tcW w:w="0" w:type="dxa"/>
            <w:vAlign w:val="center"/>
          </w:tcPr>
          <w:p>
            <w:pPr>
              <w:spacing w:line="240" w:lineRule="auto"/>
              <w:jc w:val="right"/>
            </w:pPr>
            <w:r>
              <w:rPr>
                <w:rFonts w:ascii="宋体" w:eastAsia="宋体" w:hAnsi="宋体" w:cs="宋体"/>
                <w:b w:val="0"/>
              </w:rPr>
              <w:t>1.72</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301132</w:t>
            </w:r>
          </w:p>
        </w:tc>
        <w:tc>
          <w:tcPr>
            <w:tcW w:w="0" w:type="dxa"/>
            <w:vAlign w:val="center"/>
          </w:tcPr>
          <w:p>
            <w:pPr>
              <w:spacing w:line="240" w:lineRule="auto"/>
              <w:jc w:val="left"/>
            </w:pPr>
            <w:r>
              <w:rPr>
                <w:rFonts w:ascii="宋体" w:eastAsia="宋体" w:hAnsi="宋体" w:cs="宋体"/>
                <w:b w:val="0"/>
              </w:rPr>
              <w:t>满坤科技</w:t>
            </w:r>
          </w:p>
        </w:tc>
        <w:tc>
          <w:tcPr>
            <w:tcW w:w="0" w:type="dxa"/>
            <w:vAlign w:val="center"/>
          </w:tcPr>
          <w:p>
            <w:pPr>
              <w:spacing w:line="240" w:lineRule="auto"/>
              <w:jc w:val="right"/>
            </w:pPr>
            <w:r>
              <w:rPr>
                <w:rFonts w:ascii="宋体" w:eastAsia="宋体" w:hAnsi="宋体" w:cs="宋体"/>
                <w:b w:val="0"/>
              </w:rPr>
              <w:t>2,300</w:t>
            </w:r>
          </w:p>
        </w:tc>
        <w:tc>
          <w:tcPr>
            <w:tcW w:w="0" w:type="dxa"/>
            <w:vAlign w:val="center"/>
          </w:tcPr>
          <w:p>
            <w:pPr>
              <w:spacing w:line="240" w:lineRule="auto"/>
              <w:jc w:val="right"/>
            </w:pPr>
            <w:r>
              <w:rPr>
                <w:rFonts w:ascii="宋体" w:eastAsia="宋体" w:hAnsi="宋体" w:cs="宋体"/>
                <w:b w:val="0"/>
              </w:rPr>
              <w:t>153,226.00</w:t>
            </w:r>
          </w:p>
        </w:tc>
        <w:tc>
          <w:tcPr>
            <w:tcW w:w="0" w:type="dxa"/>
            <w:vAlign w:val="center"/>
          </w:tcPr>
          <w:p>
            <w:pPr>
              <w:spacing w:line="240" w:lineRule="auto"/>
              <w:jc w:val="right"/>
            </w:pPr>
            <w:r>
              <w:rPr>
                <w:rFonts w:ascii="宋体" w:eastAsia="宋体" w:hAnsi="宋体" w:cs="宋体"/>
                <w:b w:val="0"/>
              </w:rPr>
              <w:t>1.44</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301021</w:t>
            </w:r>
          </w:p>
        </w:tc>
        <w:tc>
          <w:tcPr>
            <w:tcW w:w="0" w:type="dxa"/>
            <w:vAlign w:val="center"/>
          </w:tcPr>
          <w:p>
            <w:pPr>
              <w:spacing w:line="240" w:lineRule="auto"/>
              <w:jc w:val="left"/>
            </w:pPr>
            <w:r>
              <w:rPr>
                <w:rFonts w:ascii="宋体" w:eastAsia="宋体" w:hAnsi="宋体" w:cs="宋体"/>
                <w:b w:val="0"/>
              </w:rPr>
              <w:t>英诺激光</w:t>
            </w:r>
          </w:p>
        </w:tc>
        <w:tc>
          <w:tcPr>
            <w:tcW w:w="0" w:type="dxa"/>
            <w:vAlign w:val="center"/>
          </w:tcPr>
          <w:p>
            <w:pPr>
              <w:spacing w:line="240" w:lineRule="auto"/>
              <w:jc w:val="right"/>
            </w:pPr>
            <w:r>
              <w:rPr>
                <w:rFonts w:ascii="宋体" w:eastAsia="宋体" w:hAnsi="宋体" w:cs="宋体"/>
                <w:b w:val="0"/>
              </w:rPr>
              <w:t>2,000</w:t>
            </w:r>
          </w:p>
        </w:tc>
        <w:tc>
          <w:tcPr>
            <w:tcW w:w="0" w:type="dxa"/>
            <w:vAlign w:val="center"/>
          </w:tcPr>
          <w:p>
            <w:pPr>
              <w:spacing w:line="240" w:lineRule="auto"/>
              <w:jc w:val="right"/>
            </w:pPr>
            <w:r>
              <w:rPr>
                <w:rFonts w:ascii="宋体" w:eastAsia="宋体" w:hAnsi="宋体" w:cs="宋体"/>
                <w:b w:val="0"/>
              </w:rPr>
              <w:t>152,760.00</w:t>
            </w:r>
          </w:p>
        </w:tc>
        <w:tc>
          <w:tcPr>
            <w:tcW w:w="0" w:type="dxa"/>
            <w:vAlign w:val="center"/>
          </w:tcPr>
          <w:p>
            <w:pPr>
              <w:spacing w:line="240" w:lineRule="auto"/>
              <w:jc w:val="right"/>
            </w:pPr>
            <w:r>
              <w:rPr>
                <w:rFonts w:ascii="宋体" w:eastAsia="宋体" w:hAnsi="宋体" w:cs="宋体"/>
                <w:b w:val="0"/>
              </w:rPr>
              <w:t>1.44</w:t>
            </w:r>
          </w:p>
        </w:tc>
      </w:tr>
    </w:tbl>
    <w:p>
      <w:r>
        <w:rPr>
          <w:rFonts w:ascii="宋体" w:eastAsia="宋体" w:hAnsi="宋体" w:cs="宋体"/>
          <w:b w:val="0"/>
        </w:rPr>
        <w:t>注：本基金本报告期末仅持有上述股票。</w:t>
      </w:r>
    </w:p>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4,645,923.45</w:t>
            </w:r>
          </w:p>
        </w:tc>
        <w:tc>
          <w:tcPr>
            <w:tcW w:w="0" w:type="dxa"/>
            <w:vAlign w:val="center"/>
          </w:tcPr>
          <w:p>
            <w:pPr>
              <w:spacing w:line="240" w:lineRule="auto"/>
              <w:jc w:val="right"/>
            </w:pPr>
            <w:r>
              <w:rPr>
                <w:rFonts w:ascii="宋体" w:eastAsia="宋体" w:hAnsi="宋体" w:cs="宋体"/>
                <w:b w:val="0"/>
              </w:rPr>
              <w:t>43.67</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3,408,858.90</w:t>
            </w:r>
          </w:p>
        </w:tc>
        <w:tc>
          <w:tcPr>
            <w:tcW w:w="0" w:type="dxa"/>
            <w:vAlign w:val="center"/>
          </w:tcPr>
          <w:p>
            <w:pPr>
              <w:spacing w:line="240" w:lineRule="auto"/>
              <w:jc w:val="right"/>
            </w:pPr>
            <w:r>
              <w:rPr>
                <w:rFonts w:ascii="宋体" w:eastAsia="宋体" w:hAnsi="宋体" w:cs="宋体"/>
                <w:b w:val="0"/>
              </w:rPr>
              <w:t>32.04</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3,408,858.90</w:t>
            </w:r>
          </w:p>
        </w:tc>
        <w:tc>
          <w:tcPr>
            <w:tcW w:w="0" w:type="dxa"/>
            <w:vAlign w:val="center"/>
          </w:tcPr>
          <w:p>
            <w:pPr>
              <w:spacing w:line="240" w:lineRule="auto"/>
              <w:jc w:val="right"/>
            </w:pPr>
            <w:r>
              <w:rPr>
                <w:rFonts w:ascii="宋体" w:eastAsia="宋体" w:hAnsi="宋体" w:cs="宋体"/>
                <w:b w:val="0"/>
              </w:rPr>
              <w:t>32.04</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8,054,782.35</w:t>
            </w:r>
          </w:p>
        </w:tc>
        <w:tc>
          <w:tcPr>
            <w:tcW w:w="0" w:type="dxa"/>
            <w:vAlign w:val="center"/>
          </w:tcPr>
          <w:p>
            <w:pPr>
              <w:spacing w:line="240" w:lineRule="auto"/>
              <w:jc w:val="right"/>
            </w:pPr>
            <w:r>
              <w:rPr>
                <w:rFonts w:ascii="宋体" w:eastAsia="宋体" w:hAnsi="宋体" w:cs="宋体"/>
                <w:b w:val="0"/>
              </w:rPr>
              <w:t>75.71</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018003</w:t>
            </w:r>
          </w:p>
        </w:tc>
        <w:tc>
          <w:tcPr>
            <w:tcW w:w="0" w:type="dxa"/>
            <w:vAlign w:val="center"/>
          </w:tcPr>
          <w:p>
            <w:pPr>
              <w:spacing w:line="240" w:lineRule="auto"/>
              <w:jc w:val="left"/>
            </w:pPr>
            <w:r>
              <w:rPr>
                <w:rFonts w:ascii="宋体" w:eastAsia="宋体" w:hAnsi="宋体" w:cs="宋体"/>
                <w:b w:val="0"/>
              </w:rPr>
              <w:t>国开1401</w:t>
            </w:r>
          </w:p>
        </w:tc>
        <w:tc>
          <w:tcPr>
            <w:tcW w:w="0" w:type="dxa"/>
            <w:vAlign w:val="center"/>
          </w:tcPr>
          <w:p>
            <w:pPr>
              <w:spacing w:line="240" w:lineRule="auto"/>
              <w:jc w:val="right"/>
            </w:pPr>
            <w:r>
              <w:rPr>
                <w:rFonts w:ascii="宋体" w:eastAsia="宋体" w:hAnsi="宋体" w:cs="宋体"/>
                <w:b w:val="0"/>
              </w:rPr>
              <w:t>30,000</w:t>
            </w:r>
          </w:p>
        </w:tc>
        <w:tc>
          <w:tcPr>
            <w:tcW w:w="0" w:type="dxa"/>
            <w:vAlign w:val="center"/>
          </w:tcPr>
          <w:p>
            <w:pPr>
              <w:spacing w:line="240" w:lineRule="auto"/>
              <w:jc w:val="right"/>
            </w:pPr>
            <w:r>
              <w:rPr>
                <w:rFonts w:ascii="宋体" w:eastAsia="宋体" w:hAnsi="宋体" w:cs="宋体"/>
                <w:b w:val="0"/>
              </w:rPr>
              <w:t>3,408,858.90</w:t>
            </w:r>
          </w:p>
        </w:tc>
        <w:tc>
          <w:tcPr>
            <w:tcW w:w="0" w:type="dxa"/>
            <w:vAlign w:val="center"/>
          </w:tcPr>
          <w:p>
            <w:pPr>
              <w:spacing w:line="240" w:lineRule="auto"/>
              <w:jc w:val="right"/>
            </w:pPr>
            <w:r>
              <w:rPr>
                <w:rFonts w:ascii="宋体" w:eastAsia="宋体" w:hAnsi="宋体" w:cs="宋体"/>
                <w:b w:val="0"/>
              </w:rPr>
              <w:t>32.04</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019850</w:t>
            </w:r>
          </w:p>
        </w:tc>
        <w:tc>
          <w:tcPr>
            <w:tcW w:w="0" w:type="dxa"/>
            <w:vAlign w:val="center"/>
          </w:tcPr>
          <w:p>
            <w:pPr>
              <w:spacing w:line="240" w:lineRule="auto"/>
              <w:jc w:val="left"/>
            </w:pPr>
            <w:r>
              <w:rPr>
                <w:rFonts w:ascii="宋体" w:eastAsia="宋体" w:hAnsi="宋体" w:cs="宋体"/>
                <w:b w:val="0"/>
              </w:rPr>
              <w:t>26特国06</w:t>
            </w:r>
          </w:p>
        </w:tc>
        <w:tc>
          <w:tcPr>
            <w:tcW w:w="0" w:type="dxa"/>
            <w:vAlign w:val="center"/>
          </w:tcPr>
          <w:p>
            <w:pPr>
              <w:spacing w:line="240" w:lineRule="auto"/>
              <w:jc w:val="right"/>
            </w:pPr>
            <w:r>
              <w:rPr>
                <w:rFonts w:ascii="宋体" w:eastAsia="宋体" w:hAnsi="宋体" w:cs="宋体"/>
                <w:b w:val="0"/>
              </w:rPr>
              <w:t>20,000</w:t>
            </w:r>
          </w:p>
        </w:tc>
        <w:tc>
          <w:tcPr>
            <w:tcW w:w="0" w:type="dxa"/>
            <w:vAlign w:val="center"/>
          </w:tcPr>
          <w:p>
            <w:pPr>
              <w:spacing w:line="240" w:lineRule="auto"/>
              <w:jc w:val="right"/>
            </w:pPr>
            <w:r>
              <w:rPr>
                <w:rFonts w:ascii="宋体" w:eastAsia="宋体" w:hAnsi="宋体" w:cs="宋体"/>
                <w:b w:val="0"/>
              </w:rPr>
              <w:t>2,024,711.23</w:t>
            </w:r>
          </w:p>
        </w:tc>
        <w:tc>
          <w:tcPr>
            <w:tcW w:w="0" w:type="dxa"/>
            <w:vAlign w:val="center"/>
          </w:tcPr>
          <w:p>
            <w:pPr>
              <w:spacing w:line="240" w:lineRule="auto"/>
              <w:jc w:val="right"/>
            </w:pPr>
            <w:r>
              <w:rPr>
                <w:rFonts w:ascii="宋体" w:eastAsia="宋体" w:hAnsi="宋体" w:cs="宋体"/>
                <w:b w:val="0"/>
              </w:rPr>
              <w:t>19.03</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019839</w:t>
            </w:r>
          </w:p>
        </w:tc>
        <w:tc>
          <w:tcPr>
            <w:tcW w:w="0" w:type="dxa"/>
            <w:vAlign w:val="center"/>
          </w:tcPr>
          <w:p>
            <w:pPr>
              <w:spacing w:line="240" w:lineRule="auto"/>
              <w:jc w:val="left"/>
            </w:pPr>
            <w:r>
              <w:rPr>
                <w:rFonts w:ascii="宋体" w:eastAsia="宋体" w:hAnsi="宋体" w:cs="宋体"/>
                <w:b w:val="0"/>
              </w:rPr>
              <w:t>26国债10</w:t>
            </w:r>
          </w:p>
        </w:tc>
        <w:tc>
          <w:tcPr>
            <w:tcW w:w="0" w:type="dxa"/>
            <w:vAlign w:val="center"/>
          </w:tcPr>
          <w:p>
            <w:pPr>
              <w:spacing w:line="240" w:lineRule="auto"/>
              <w:jc w:val="right"/>
            </w:pPr>
            <w:r>
              <w:rPr>
                <w:rFonts w:ascii="宋体" w:eastAsia="宋体" w:hAnsi="宋体" w:cs="宋体"/>
                <w:b w:val="0"/>
              </w:rPr>
              <w:t>20,000</w:t>
            </w:r>
          </w:p>
        </w:tc>
        <w:tc>
          <w:tcPr>
            <w:tcW w:w="0" w:type="dxa"/>
            <w:vAlign w:val="center"/>
          </w:tcPr>
          <w:p>
            <w:pPr>
              <w:spacing w:line="240" w:lineRule="auto"/>
              <w:jc w:val="right"/>
            </w:pPr>
            <w:r>
              <w:rPr>
                <w:rFonts w:ascii="宋体" w:eastAsia="宋体" w:hAnsi="宋体" w:cs="宋体"/>
                <w:b w:val="0"/>
              </w:rPr>
              <w:t>2,020,500.27</w:t>
            </w:r>
          </w:p>
        </w:tc>
        <w:tc>
          <w:tcPr>
            <w:tcW w:w="0" w:type="dxa"/>
            <w:vAlign w:val="center"/>
          </w:tcPr>
          <w:p>
            <w:pPr>
              <w:spacing w:line="240" w:lineRule="auto"/>
              <w:jc w:val="right"/>
            </w:pPr>
            <w:r>
              <w:rPr>
                <w:rFonts w:ascii="宋体" w:eastAsia="宋体" w:hAnsi="宋体" w:cs="宋体"/>
                <w:b w:val="0"/>
              </w:rPr>
              <w:t>18.99</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019846</w:t>
            </w:r>
          </w:p>
        </w:tc>
        <w:tc>
          <w:tcPr>
            <w:tcW w:w="0" w:type="dxa"/>
            <w:vAlign w:val="center"/>
          </w:tcPr>
          <w:p>
            <w:pPr>
              <w:spacing w:line="240" w:lineRule="auto"/>
              <w:jc w:val="left"/>
            </w:pPr>
            <w:r>
              <w:rPr>
                <w:rFonts w:ascii="宋体" w:eastAsia="宋体" w:hAnsi="宋体" w:cs="宋体"/>
                <w:b w:val="0"/>
              </w:rPr>
              <w:t>26国债14</w:t>
            </w:r>
          </w:p>
        </w:tc>
        <w:tc>
          <w:tcPr>
            <w:tcW w:w="0" w:type="dxa"/>
            <w:vAlign w:val="center"/>
          </w:tcPr>
          <w:p>
            <w:pPr>
              <w:spacing w:line="240" w:lineRule="auto"/>
              <w:jc w:val="right"/>
            </w:pPr>
            <w:r>
              <w:rPr>
                <w:rFonts w:ascii="宋体" w:eastAsia="宋体" w:hAnsi="宋体" w:cs="宋体"/>
                <w:b w:val="0"/>
              </w:rPr>
              <w:t>6,000</w:t>
            </w:r>
          </w:p>
        </w:tc>
        <w:tc>
          <w:tcPr>
            <w:tcW w:w="0" w:type="dxa"/>
            <w:vAlign w:val="center"/>
          </w:tcPr>
          <w:p>
            <w:pPr>
              <w:spacing w:line="240" w:lineRule="auto"/>
              <w:jc w:val="right"/>
            </w:pPr>
            <w:r>
              <w:rPr>
                <w:rFonts w:ascii="宋体" w:eastAsia="宋体" w:hAnsi="宋体" w:cs="宋体"/>
                <w:b w:val="0"/>
              </w:rPr>
              <w:t>600,711.95</w:t>
            </w:r>
          </w:p>
        </w:tc>
        <w:tc>
          <w:tcPr>
            <w:tcW w:w="0" w:type="dxa"/>
            <w:vAlign w:val="center"/>
          </w:tcPr>
          <w:p>
            <w:pPr>
              <w:spacing w:line="240" w:lineRule="auto"/>
              <w:jc w:val="right"/>
            </w:pPr>
            <w:r>
              <w:rPr>
                <w:rFonts w:ascii="宋体" w:eastAsia="宋体" w:hAnsi="宋体" w:cs="宋体"/>
                <w:b w:val="0"/>
              </w:rPr>
              <w:t>5.65</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中，深圳市劲拓自动化设备股份有限公司在报告编制日前一年内因违反《上市公司信息披露管理办法》被中国证券监督管理委员会深圳监管局要求责令改正。本基金对上述证券的投资决策程序符合相关法规及公司制度要求。</w:t>
        <w:br/>
      </w:r>
      <w:r>
        <w:rPr>
          <w:rFonts w:ascii="宋体" w:eastAsia="宋体" w:hAnsi="宋体" w:cs="宋体"/>
          <w:b w:val="0"/>
        </w:rPr>
        <w:t xml:space="preserve">    本基金投资前十名的其余证券的发行主体本期未出现被监管部门立案调查，或在报告编制日前一年内受到公开谴责、处罚的情形。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40.00</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40.00</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东方阿尔法增利债券发起A</w:t>
            </w:r>
          </w:p>
        </w:tc>
        <w:tc>
          <w:tcPr>
            <w:tcW w:w="1300" w:type="pct"/>
            <w:vAlign w:val="center"/>
          </w:tcPr>
          <w:p>
            <w:pPr>
              <w:spacing w:line="240" w:lineRule="auto"/>
              <w:jc w:val="center"/>
            </w:pPr>
            <w:r>
              <w:rPr>
                <w:rFonts w:ascii="宋体" w:eastAsia="宋体" w:hAnsi="宋体" w:cs="宋体"/>
                <w:b w:val="0"/>
              </w:rPr>
              <w:t>东方阿尔法增利债券发起C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10,410,237.96</w:t>
            </w:r>
          </w:p>
        </w:tc>
        <w:tc>
          <w:tcPr>
            <w:tcW w:w="1300" w:type="pct"/>
            <w:vAlign w:val="center"/>
          </w:tcPr>
          <w:p>
            <w:pPr>
              <w:spacing w:line="240" w:lineRule="auto"/>
              <w:jc w:val="right"/>
            </w:pPr>
            <w:r>
              <w:rPr>
                <w:rFonts w:ascii="宋体" w:eastAsia="宋体" w:hAnsi="宋体" w:cs="宋体"/>
                <w:b w:val="0"/>
              </w:rPr>
              <w:t>501,487.77</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597,091.57</w:t>
            </w:r>
          </w:p>
        </w:tc>
        <w:tc>
          <w:tcPr>
            <w:tcW w:w="1300" w:type="pct"/>
            <w:vAlign w:val="center"/>
          </w:tcPr>
          <w:p>
            <w:pPr>
              <w:spacing w:line="240" w:lineRule="auto"/>
              <w:jc w:val="right"/>
            </w:pPr>
            <w:r>
              <w:rPr>
                <w:rFonts w:ascii="宋体" w:eastAsia="宋体" w:hAnsi="宋体" w:cs="宋体"/>
                <w:b w:val="0"/>
              </w:rPr>
              <w:t>553,204.27</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453,206.73</w:t>
            </w:r>
          </w:p>
        </w:tc>
        <w:tc>
          <w:tcPr>
            <w:tcW w:w="1300" w:type="pct"/>
            <w:vAlign w:val="center"/>
          </w:tcPr>
          <w:p>
            <w:pPr>
              <w:spacing w:line="240" w:lineRule="auto"/>
              <w:jc w:val="right"/>
            </w:pPr>
            <w:r>
              <w:rPr>
                <w:rFonts w:ascii="宋体" w:eastAsia="宋体" w:hAnsi="宋体" w:cs="宋体"/>
                <w:b w:val="0"/>
              </w:rPr>
              <w:t>590,092.04</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10,554,122.80</w:t>
            </w:r>
          </w:p>
        </w:tc>
        <w:tc>
          <w:tcPr>
            <w:tcW w:w="1300" w:type="pct"/>
            <w:vAlign w:val="center"/>
          </w:tcPr>
          <w:p>
            <w:pPr>
              <w:spacing w:line="240" w:lineRule="auto"/>
              <w:jc w:val="right"/>
            </w:pPr>
            <w:r>
              <w:rPr>
                <w:rFonts w:ascii="宋体" w:eastAsia="宋体" w:hAnsi="宋体" w:cs="宋体"/>
                <w:b w:val="0"/>
              </w:rPr>
              <w:t>464,600.00</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5602"/>
        <w:gridCol w:w="1729"/>
        <w:gridCol w:w="172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3077" w:type="pct"/>
            <w:vAlign w:val="center"/>
          </w:tcPr>
          <w:p>
            <w:pPr>
              <w:spacing w:line="240" w:lineRule="auto"/>
              <w:jc w:val="center"/>
            </w:pPr>
          </w:p>
        </w:tc>
        <w:tc>
          <w:tcPr>
            <w:tcW w:w="950" w:type="pct"/>
            <w:vAlign w:val="center"/>
          </w:tcPr>
          <w:p>
            <w:pPr>
              <w:spacing w:line="240" w:lineRule="auto"/>
              <w:jc w:val="center"/>
            </w:pPr>
            <w:r>
              <w:rPr>
                <w:rFonts w:ascii="宋体" w:eastAsia="宋体" w:hAnsi="宋体" w:cs="宋体"/>
                <w:b w:val="0"/>
              </w:rPr>
              <w:t>东方阿尔法增利债券发起A</w:t>
            </w:r>
          </w:p>
        </w:tc>
        <w:tc>
          <w:tcPr>
            <w:tcW w:w="950" w:type="pct"/>
            <w:vAlign w:val="center"/>
          </w:tcPr>
          <w:p>
            <w:pPr>
              <w:spacing w:line="240" w:lineRule="auto"/>
              <w:jc w:val="center"/>
            </w:pPr>
            <w:r>
              <w:rPr>
                <w:rFonts w:ascii="宋体" w:eastAsia="宋体" w:hAnsi="宋体" w:cs="宋体"/>
                <w:b w:val="0"/>
              </w:rPr>
              <w:t>东方阿尔法增利债券发起C</w:t>
            </w:r>
          </w:p>
        </w:tc>
      </w:tr>
      <w:tr>
        <w:tblPrEx>
          <w:tblW w:w="5000" w:type="pct"/>
          <w:tblLayout w:type="fixed"/>
        </w:tblPrEx>
        <w:tc>
          <w:tcPr>
            <w:tcW w:w="3077" w:type="pct"/>
            <w:vAlign w:val="center"/>
          </w:tcPr>
          <w:p>
            <w:pPr>
              <w:spacing w:line="240" w:lineRule="auto"/>
              <w:jc w:val="left"/>
            </w:pPr>
            <w:r>
              <w:rPr>
                <w:rFonts w:ascii="宋体" w:eastAsia="宋体" w:hAnsi="宋体" w:cs="宋体"/>
                <w:b w:val="0"/>
              </w:rPr>
              <w:t>报告期期初管理人持有的本基金份额</w:t>
            </w:r>
          </w:p>
        </w:tc>
        <w:tc>
          <w:tcPr>
            <w:tcW w:w="950" w:type="pct"/>
            <w:vAlign w:val="center"/>
          </w:tcPr>
          <w:p>
            <w:pPr>
              <w:spacing w:line="240" w:lineRule="auto"/>
              <w:jc w:val="right"/>
            </w:pPr>
            <w:r>
              <w:rPr>
                <w:rFonts w:ascii="宋体" w:eastAsia="宋体" w:hAnsi="宋体" w:cs="宋体"/>
                <w:b w:val="0"/>
              </w:rPr>
              <w:t>5,000,194.44</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报告期期间买入/申购总份额</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报告期期间卖出/赎回总份额</w:t>
            </w:r>
          </w:p>
        </w:tc>
        <w:tc>
          <w:tcPr>
            <w:tcW w:w="950" w:type="pct"/>
            <w:vAlign w:val="center"/>
          </w:tcPr>
          <w:p>
            <w:pPr>
              <w:spacing w:line="240" w:lineRule="auto"/>
              <w:jc w:val="right"/>
            </w:pPr>
            <w:r>
              <w:rPr>
                <w:rFonts w:ascii="宋体" w:eastAsia="宋体" w:hAnsi="宋体" w:cs="宋体"/>
                <w:b w:val="0"/>
              </w:rPr>
              <w:t>-</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报告期期末管理人持有的本基金份额</w:t>
            </w:r>
          </w:p>
        </w:tc>
        <w:tc>
          <w:tcPr>
            <w:tcW w:w="950" w:type="pct"/>
            <w:vAlign w:val="center"/>
          </w:tcPr>
          <w:p>
            <w:pPr>
              <w:spacing w:line="240" w:lineRule="auto"/>
              <w:jc w:val="right"/>
            </w:pPr>
            <w:r>
              <w:rPr>
                <w:rFonts w:ascii="宋体" w:eastAsia="宋体" w:hAnsi="宋体" w:cs="宋体"/>
                <w:b w:val="0"/>
              </w:rPr>
              <w:t>5,000,194.44</w:t>
            </w:r>
          </w:p>
        </w:tc>
        <w:tc>
          <w:tcPr>
            <w:tcW w:w="95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报告期期末持有的本基金份额占基金总份额比例（%）</w:t>
            </w:r>
          </w:p>
        </w:tc>
        <w:tc>
          <w:tcPr>
            <w:tcW w:w="950" w:type="pct"/>
            <w:vAlign w:val="center"/>
          </w:tcPr>
          <w:p>
            <w:pPr>
              <w:spacing w:line="240" w:lineRule="auto"/>
              <w:jc w:val="right"/>
            </w:pPr>
            <w:r>
              <w:rPr>
                <w:rFonts w:ascii="宋体" w:eastAsia="宋体" w:hAnsi="宋体" w:cs="宋体"/>
                <w:b w:val="0"/>
              </w:rPr>
              <w:t>45.38</w:t>
            </w:r>
          </w:p>
        </w:tc>
        <w:tc>
          <w:tcPr>
            <w:tcW w:w="950" w:type="pct"/>
            <w:vAlign w:val="center"/>
          </w:tcPr>
          <w:p>
            <w:pPr>
              <w:spacing w:line="240" w:lineRule="auto"/>
              <w:jc w:val="right"/>
            </w:pPr>
            <w:r>
              <w:rPr>
                <w:rFonts w:ascii="宋体" w:eastAsia="宋体" w:hAnsi="宋体" w:cs="宋体"/>
                <w:b w:val="0"/>
              </w:rPr>
              <w:t>-</w:t>
            </w:r>
          </w:p>
        </w:tc>
      </w:tr>
    </w:tbl>
    <w:p>
      <w:r>
        <w:rPr>
          <w:rFonts w:ascii="宋体" w:eastAsia="宋体" w:hAnsi="宋体" w:cs="宋体"/>
          <w:b w:val="0"/>
        </w:rPr>
        <w:t>注：报告期期末持有的本基金份额占基金总份额比例的分母采用期末基金份额总额，不区分下属不同类别基金。</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项目</w:t>
            </w:r>
          </w:p>
        </w:tc>
        <w:tc>
          <w:tcPr>
            <w:tcW w:w="692" w:type="pct"/>
            <w:shd w:val="clear" w:color="auto" w:fill="D9D9D9"/>
            <w:vAlign w:val="center"/>
          </w:tcPr>
          <w:p>
            <w:pPr>
              <w:spacing w:line="240" w:lineRule="auto"/>
              <w:jc w:val="center"/>
            </w:pPr>
            <w:r>
              <w:rPr>
                <w:rFonts w:ascii="宋体" w:eastAsia="宋体" w:hAnsi="宋体" w:cs="宋体"/>
                <w:b w:val="0"/>
              </w:rPr>
              <w:t>持有份额总数</w:t>
            </w:r>
          </w:p>
        </w:tc>
        <w:tc>
          <w:tcPr>
            <w:tcW w:w="692" w:type="pct"/>
            <w:shd w:val="clear" w:color="auto" w:fill="D9D9D9"/>
            <w:vAlign w:val="center"/>
          </w:tcPr>
          <w:p>
            <w:pPr>
              <w:spacing w:line="240" w:lineRule="auto"/>
              <w:jc w:val="center"/>
            </w:pPr>
            <w:r>
              <w:rPr>
                <w:rFonts w:ascii="宋体" w:eastAsia="宋体" w:hAnsi="宋体" w:cs="宋体"/>
                <w:b w:val="0"/>
              </w:rPr>
              <w:t>持有份额占基金总份额比例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发起份额总数</w:t>
            </w:r>
          </w:p>
        </w:tc>
        <w:tc>
          <w:tcPr>
            <w:tcW w:w="692" w:type="pct"/>
            <w:shd w:val="clear" w:color="auto" w:fill="D9D9D9"/>
            <w:vAlign w:val="center"/>
          </w:tcPr>
          <w:p>
            <w:pPr>
              <w:spacing w:line="240" w:lineRule="auto"/>
              <w:jc w:val="center"/>
            </w:pPr>
            <w:r>
              <w:rPr>
                <w:rFonts w:ascii="宋体" w:eastAsia="宋体" w:hAnsi="宋体" w:cs="宋体"/>
                <w:b w:val="0"/>
              </w:rPr>
              <w:t>发起份额占基金总份额比例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发起份额承诺持有期限</w:t>
            </w:r>
          </w:p>
        </w:tc>
      </w:tr>
      <w:tr>
        <w:tblPrEx>
          <w:tblW w:w="5000" w:type="pct"/>
        </w:tblPrEx>
        <w:tc>
          <w:tcPr>
            <w:tcW w:w="0" w:type="dxa"/>
            <w:vAlign w:val="center"/>
          </w:tcPr>
          <w:p>
            <w:pPr>
              <w:spacing w:line="240" w:lineRule="auto"/>
              <w:jc w:val="left"/>
            </w:pPr>
            <w:r>
              <w:rPr>
                <w:rFonts w:ascii="宋体" w:eastAsia="宋体" w:hAnsi="宋体" w:cs="宋体"/>
                <w:b w:val="0"/>
              </w:rPr>
              <w:t>基金管理人固有资金</w:t>
            </w:r>
          </w:p>
        </w:tc>
        <w:tc>
          <w:tcPr>
            <w:tcW w:w="0" w:type="dxa"/>
            <w:vAlign w:val="center"/>
          </w:tcPr>
          <w:p>
            <w:pPr>
              <w:spacing w:line="240" w:lineRule="auto"/>
              <w:jc w:val="right"/>
            </w:pPr>
            <w:r>
              <w:rPr>
                <w:rFonts w:ascii="宋体" w:eastAsia="宋体" w:hAnsi="宋体" w:cs="宋体"/>
                <w:b w:val="0"/>
              </w:rPr>
              <w:t>5,000,194.44</w:t>
            </w:r>
          </w:p>
        </w:tc>
        <w:tc>
          <w:tcPr>
            <w:tcW w:w="0" w:type="dxa"/>
            <w:vAlign w:val="center"/>
          </w:tcPr>
          <w:p>
            <w:pPr>
              <w:spacing w:line="240" w:lineRule="auto"/>
              <w:jc w:val="right"/>
            </w:pPr>
            <w:r>
              <w:rPr>
                <w:rFonts w:ascii="宋体" w:eastAsia="宋体" w:hAnsi="宋体" w:cs="宋体"/>
                <w:b w:val="0"/>
              </w:rPr>
              <w:t>45.38%</w:t>
            </w:r>
          </w:p>
        </w:tc>
        <w:tc>
          <w:tcPr>
            <w:tcW w:w="0" w:type="dxa"/>
            <w:vAlign w:val="center"/>
          </w:tcPr>
          <w:p>
            <w:pPr>
              <w:spacing w:line="240" w:lineRule="auto"/>
              <w:jc w:val="right"/>
            </w:pPr>
            <w:r>
              <w:rPr>
                <w:rFonts w:ascii="宋体" w:eastAsia="宋体" w:hAnsi="宋体" w:cs="宋体"/>
                <w:b w:val="0"/>
              </w:rPr>
              <w:t>5,000,194.44</w:t>
            </w:r>
          </w:p>
        </w:tc>
        <w:tc>
          <w:tcPr>
            <w:tcW w:w="0" w:type="dxa"/>
            <w:vAlign w:val="center"/>
          </w:tcPr>
          <w:p>
            <w:pPr>
              <w:spacing w:line="240" w:lineRule="auto"/>
              <w:jc w:val="right"/>
            </w:pPr>
            <w:r>
              <w:rPr>
                <w:rFonts w:ascii="宋体" w:eastAsia="宋体" w:hAnsi="宋体" w:cs="宋体"/>
                <w:b w:val="0"/>
              </w:rPr>
              <w:t>45.38%</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基金管理人高级管理人员</w:t>
            </w:r>
          </w:p>
        </w:tc>
        <w:tc>
          <w:tcPr>
            <w:tcW w:w="0" w:type="dxa"/>
            <w:vAlign w:val="center"/>
          </w:tcPr>
          <w:p>
            <w:pPr>
              <w:spacing w:line="240" w:lineRule="auto"/>
              <w:jc w:val="right"/>
            </w:pPr>
            <w:r>
              <w:rPr>
                <w:rFonts w:ascii="宋体" w:eastAsia="宋体" w:hAnsi="宋体" w:cs="宋体"/>
                <w:b w:val="0"/>
              </w:rPr>
              <w:t>5,010,194.80</w:t>
            </w:r>
          </w:p>
        </w:tc>
        <w:tc>
          <w:tcPr>
            <w:tcW w:w="0" w:type="dxa"/>
            <w:vAlign w:val="center"/>
          </w:tcPr>
          <w:p>
            <w:pPr>
              <w:spacing w:line="240" w:lineRule="auto"/>
              <w:jc w:val="right"/>
            </w:pPr>
            <w:r>
              <w:rPr>
                <w:rFonts w:ascii="宋体" w:eastAsia="宋体" w:hAnsi="宋体" w:cs="宋体"/>
                <w:b w:val="0"/>
              </w:rPr>
              <w:t>45.47%</w:t>
            </w:r>
          </w:p>
        </w:tc>
        <w:tc>
          <w:tcPr>
            <w:tcW w:w="0" w:type="dxa"/>
            <w:vAlign w:val="center"/>
          </w:tcPr>
          <w:p>
            <w:pPr>
              <w:spacing w:line="240" w:lineRule="auto"/>
              <w:jc w:val="right"/>
            </w:pPr>
            <w:r>
              <w:rPr>
                <w:rFonts w:ascii="宋体" w:eastAsia="宋体" w:hAnsi="宋体" w:cs="宋体"/>
                <w:b w:val="0"/>
              </w:rPr>
              <w:t>5,010,194.80</w:t>
            </w:r>
          </w:p>
        </w:tc>
        <w:tc>
          <w:tcPr>
            <w:tcW w:w="0" w:type="dxa"/>
            <w:vAlign w:val="center"/>
          </w:tcPr>
          <w:p>
            <w:pPr>
              <w:spacing w:line="240" w:lineRule="auto"/>
              <w:jc w:val="right"/>
            </w:pPr>
            <w:r>
              <w:rPr>
                <w:rFonts w:ascii="宋体" w:eastAsia="宋体" w:hAnsi="宋体" w:cs="宋体"/>
                <w:b w:val="0"/>
              </w:rPr>
              <w:t>45.47%</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基金经理等人员</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基金管理人股东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10,010,389.24</w:t>
            </w:r>
          </w:p>
        </w:tc>
        <w:tc>
          <w:tcPr>
            <w:tcW w:w="0" w:type="dxa"/>
            <w:vAlign w:val="center"/>
          </w:tcPr>
          <w:p>
            <w:pPr>
              <w:spacing w:line="240" w:lineRule="auto"/>
              <w:jc w:val="right"/>
            </w:pPr>
            <w:r>
              <w:rPr>
                <w:rFonts w:ascii="宋体" w:eastAsia="宋体" w:hAnsi="宋体" w:cs="宋体"/>
                <w:b w:val="0"/>
              </w:rPr>
              <w:t>90.85%</w:t>
            </w:r>
          </w:p>
        </w:tc>
        <w:tc>
          <w:tcPr>
            <w:tcW w:w="0" w:type="dxa"/>
            <w:vAlign w:val="center"/>
          </w:tcPr>
          <w:p>
            <w:pPr>
              <w:spacing w:line="240" w:lineRule="auto"/>
              <w:jc w:val="right"/>
            </w:pPr>
            <w:r>
              <w:rPr>
                <w:rFonts w:ascii="宋体" w:eastAsia="宋体" w:hAnsi="宋体" w:cs="宋体"/>
                <w:b w:val="0"/>
              </w:rPr>
              <w:t>10,010,389.24</w:t>
            </w:r>
          </w:p>
        </w:tc>
        <w:tc>
          <w:tcPr>
            <w:tcW w:w="0" w:type="dxa"/>
            <w:vAlign w:val="center"/>
          </w:tcPr>
          <w:p>
            <w:pPr>
              <w:spacing w:line="240" w:lineRule="auto"/>
              <w:jc w:val="right"/>
            </w:pPr>
            <w:r>
              <w:rPr>
                <w:rFonts w:ascii="宋体" w:eastAsia="宋体" w:hAnsi="宋体" w:cs="宋体"/>
                <w:b w:val="0"/>
              </w:rPr>
              <w:t>90.85%</w:t>
            </w:r>
          </w:p>
        </w:tc>
        <w:tc>
          <w:tcPr>
            <w:tcW w:w="0" w:type="dxa"/>
            <w:vAlign w:val="center"/>
          </w:tcPr>
          <w:p>
            <w:pPr>
              <w:spacing w:line="240" w:lineRule="auto"/>
              <w:jc w:val="left"/>
            </w:pPr>
            <w:r>
              <w:rPr>
                <w:rFonts w:ascii="宋体" w:eastAsia="宋体" w:hAnsi="宋体" w:cs="宋体"/>
                <w:b w:val="0"/>
              </w:rPr>
              <w:t>-</w:t>
            </w:r>
          </w:p>
        </w:tc>
      </w:tr>
    </w:tbl>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133"/>
        <w:gridCol w:w="1133"/>
        <w:gridCol w:w="1133"/>
        <w:gridCol w:w="1133"/>
        <w:gridCol w:w="1133"/>
        <w:gridCol w:w="1133"/>
        <w:gridCol w:w="1133"/>
        <w:gridCol w:w="113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 w:type="pct"/>
            <w:vMerge w:val="restart"/>
            <w:shd w:val="clear" w:color="auto" w:fill="D9D9D9"/>
            <w:vAlign w:val="center"/>
          </w:tcPr>
          <w:p>
            <w:pPr>
              <w:spacing w:line="240" w:lineRule="auto"/>
              <w:jc w:val="center"/>
            </w:pPr>
            <w:r>
              <w:rPr>
                <w:rFonts w:ascii="宋体" w:eastAsia="宋体" w:hAnsi="宋体" w:cs="宋体"/>
                <w:b w:val="0"/>
              </w:rPr>
              <w:t>投资者类别</w:t>
            </w:r>
          </w:p>
        </w:tc>
        <w:tc>
          <w:tcPr>
            <w:tcW w:w="3192" w:type="pct"/>
            <w:gridSpan w:val="5"/>
            <w:shd w:val="clear" w:color="auto" w:fill="D9D9D9"/>
            <w:vAlign w:val="center"/>
          </w:tcPr>
          <w:p>
            <w:pPr>
              <w:spacing w:line="240" w:lineRule="auto"/>
              <w:jc w:val="center"/>
            </w:pPr>
            <w:r>
              <w:rPr>
                <w:rFonts w:ascii="宋体" w:eastAsia="宋体" w:hAnsi="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eastAsia="宋体" w:hAnsi="宋体" w:cs="宋体"/>
                <w:b w:val="0"/>
              </w:rPr>
              <w:t>报告期末持有基金情况</w:t>
            </w:r>
          </w:p>
        </w:tc>
      </w:tr>
      <w:tr>
        <w:tblPrEx>
          <w:tblW w:w="5000" w:type="pct"/>
        </w:tblPrEx>
        <w:tc>
          <w:tcPr>
            <w:vMerge/>
          </w:tcPr>
          <w:p/>
        </w:tc>
        <w:tc>
          <w:tcPr>
            <w:tcW w:w="269" w:type="pct"/>
            <w:shd w:val="clear" w:color="auto" w:fill="D9D9D9"/>
            <w:vAlign w:val="center"/>
          </w:tcPr>
          <w:p>
            <w:pPr>
              <w:spacing w:line="240" w:lineRule="auto"/>
              <w:jc w:val="center"/>
            </w:pPr>
            <w:r>
              <w:rPr>
                <w:rFonts w:ascii="宋体" w:eastAsia="宋体" w:hAnsi="宋体" w:cs="宋体"/>
                <w:b w:val="0"/>
              </w:rPr>
              <w:t>序号</w:t>
            </w:r>
          </w:p>
        </w:tc>
        <w:tc>
          <w:tcPr>
            <w:tcW w:w="1346" w:type="pct"/>
            <w:shd w:val="clear" w:color="auto" w:fill="D9D9D9"/>
            <w:vAlign w:val="center"/>
          </w:tcPr>
          <w:p>
            <w:pPr>
              <w:spacing w:line="240" w:lineRule="auto"/>
              <w:jc w:val="center"/>
            </w:pPr>
            <w:r>
              <w:rPr>
                <w:rFonts w:ascii="宋体" w:eastAsia="宋体" w:hAnsi="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eastAsia="宋体" w:hAnsi="宋体" w:cs="宋体"/>
                <w:b w:val="0"/>
              </w:rPr>
              <w:t>期初份额</w:t>
            </w:r>
          </w:p>
        </w:tc>
        <w:tc>
          <w:tcPr>
            <w:tcW w:w="615" w:type="pct"/>
            <w:shd w:val="clear" w:color="auto" w:fill="D9D9D9"/>
            <w:vAlign w:val="center"/>
          </w:tcPr>
          <w:p>
            <w:pPr>
              <w:spacing w:line="240" w:lineRule="auto"/>
              <w:jc w:val="center"/>
            </w:pPr>
            <w:r>
              <w:rPr>
                <w:rFonts w:ascii="宋体" w:eastAsia="宋体" w:hAnsi="宋体" w:cs="宋体"/>
                <w:b w:val="0"/>
              </w:rPr>
              <w:t>申购份额</w:t>
            </w:r>
          </w:p>
        </w:tc>
        <w:tc>
          <w:tcPr>
            <w:tcW w:w="615" w:type="pct"/>
            <w:shd w:val="clear" w:color="auto" w:fill="D9D9D9"/>
            <w:vAlign w:val="center"/>
          </w:tcPr>
          <w:p>
            <w:pPr>
              <w:spacing w:line="240" w:lineRule="auto"/>
              <w:jc w:val="center"/>
            </w:pPr>
            <w:r>
              <w:rPr>
                <w:rFonts w:ascii="宋体" w:eastAsia="宋体" w:hAnsi="宋体" w:cs="宋体"/>
                <w:b w:val="0"/>
              </w:rPr>
              <w:t>赎回份额</w:t>
            </w:r>
          </w:p>
        </w:tc>
        <w:tc>
          <w:tcPr>
            <w:tcW w:w="615" w:type="pct"/>
            <w:shd w:val="clear" w:color="auto" w:fill="D9D9D9"/>
            <w:vAlign w:val="center"/>
          </w:tcPr>
          <w:p>
            <w:pPr>
              <w:spacing w:line="240" w:lineRule="auto"/>
              <w:jc w:val="center"/>
            </w:pPr>
            <w:r>
              <w:rPr>
                <w:rFonts w:ascii="宋体" w:eastAsia="宋体" w:hAnsi="宋体" w:cs="宋体"/>
                <w:b w:val="0"/>
              </w:rPr>
              <w:t>持有份额</w:t>
            </w:r>
          </w:p>
        </w:tc>
        <w:tc>
          <w:tcPr>
            <w:tcW w:w="538" w:type="pct"/>
            <w:shd w:val="clear" w:color="auto" w:fill="D9D9D9"/>
            <w:vAlign w:val="center"/>
          </w:tcPr>
          <w:p>
            <w:pPr>
              <w:spacing w:line="240" w:lineRule="auto"/>
              <w:jc w:val="center"/>
            </w:pPr>
            <w:r>
              <w:rPr>
                <w:rFonts w:ascii="宋体" w:eastAsia="宋体" w:hAnsi="宋体" w:cs="宋体"/>
                <w:b w:val="0"/>
              </w:rPr>
              <w:t>份额占比</w:t>
            </w:r>
          </w:p>
        </w:tc>
      </w:tr>
      <w:tr>
        <w:tblPrEx>
          <w:tblW w:w="5000" w:type="pct"/>
        </w:tblPrEx>
        <w:tc>
          <w:tcPr>
            <w:tcW w:w="0" w:type="dxa"/>
            <w:vAlign w:val="center"/>
          </w:tcPr>
          <w:p>
            <w:pPr>
              <w:spacing w:line="240" w:lineRule="auto"/>
              <w:jc w:val="center"/>
            </w:pPr>
            <w:r>
              <w:rPr>
                <w:rFonts w:ascii="宋体" w:eastAsia="宋体" w:hAnsi="宋体" w:cs="宋体"/>
                <w:b w:val="0"/>
              </w:rPr>
              <w:t>机构</w:t>
            </w:r>
          </w:p>
        </w:tc>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center"/>
            </w:pPr>
            <w:r>
              <w:rPr>
                <w:rFonts w:ascii="宋体" w:eastAsia="宋体" w:hAnsi="宋体" w:cs="宋体"/>
                <w:b w:val="0"/>
              </w:rPr>
              <w:t>2026年07月01日-2026年09月30日</w:t>
            </w:r>
          </w:p>
        </w:tc>
        <w:tc>
          <w:tcPr>
            <w:tcW w:w="0" w:type="dxa"/>
            <w:vAlign w:val="center"/>
          </w:tcPr>
          <w:p>
            <w:pPr>
              <w:spacing w:line="240" w:lineRule="auto"/>
              <w:jc w:val="right"/>
            </w:pPr>
            <w:r>
              <w:rPr>
                <w:rFonts w:ascii="宋体" w:eastAsia="宋体" w:hAnsi="宋体" w:cs="宋体"/>
                <w:b w:val="0"/>
              </w:rPr>
              <w:t>5,000,194.44</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5,000,194.44</w:t>
            </w:r>
          </w:p>
        </w:tc>
        <w:tc>
          <w:tcPr>
            <w:tcW w:w="0" w:type="dxa"/>
            <w:vAlign w:val="center"/>
          </w:tcPr>
          <w:p>
            <w:pPr>
              <w:spacing w:line="240" w:lineRule="auto"/>
              <w:jc w:val="right"/>
            </w:pPr>
            <w:r>
              <w:rPr>
                <w:rFonts w:ascii="宋体" w:eastAsia="宋体" w:hAnsi="宋体" w:cs="宋体"/>
                <w:b w:val="0"/>
              </w:rPr>
              <w:t>45.38%</w:t>
            </w:r>
          </w:p>
        </w:tc>
      </w:tr>
      <w:tr>
        <w:tblPrEx>
          <w:tblW w:w="5000" w:type="pct"/>
        </w:tblPrEx>
        <w:tc>
          <w:tcPr>
            <w:tcW w:w="0" w:type="dxa"/>
            <w:gridSpan w:val="8"/>
            <w:vAlign w:val="center"/>
          </w:tcPr>
          <w:p>
            <w:pPr>
              <w:spacing w:line="240" w:lineRule="auto"/>
              <w:jc w:val="center"/>
            </w:pPr>
            <w:r>
              <w:rPr>
                <w:rFonts w:ascii="宋体" w:eastAsia="宋体" w:hAnsi="宋体" w:cs="宋体"/>
                <w:b w:val="0"/>
              </w:rPr>
              <w:t>产品特有风险</w:t>
            </w:r>
          </w:p>
        </w:tc>
      </w:tr>
      <w:tr>
        <w:tblPrEx>
          <w:tblW w:w="5000" w:type="pct"/>
        </w:tblPrEx>
        <w:tc>
          <w:tcPr>
            <w:tcW w:w="0" w:type="dxa"/>
            <w:gridSpan w:val="8"/>
            <w:vAlign w:val="center"/>
          </w:tcPr>
          <w:p>
            <w:pPr>
              <w:spacing w:line="240" w:lineRule="auto"/>
              <w:jc w:val="left"/>
            </w:pPr>
            <w:r>
              <w:rPr>
                <w:rFonts w:ascii="宋体" w:eastAsia="宋体" w:hAnsi="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br/>
            </w:r>
            <w:r>
              <w:rPr>
                <w:rFonts w:ascii="宋体" w:eastAsia="宋体" w:hAnsi="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br/>
            </w:r>
            <w:r>
              <w:rPr>
                <w:rFonts w:ascii="宋体" w:eastAsia="宋体" w:hAnsi="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br/>
            </w:r>
            <w:r>
              <w:rPr>
                <w:rFonts w:ascii="宋体" w:eastAsia="宋体" w:hAnsi="宋体" w:cs="宋体"/>
                <w:b w:val="0"/>
              </w:rPr>
              <w:t xml:space="preserve">    3、单一投资者巨额赎回可能导致本基金在短时间内无法变现足够的资产予以应对，可能会导致基金仓位调整困难，发生流动性风险。</w:t>
              <w:br/>
            </w:r>
            <w:r>
              <w:rPr>
                <w:rFonts w:ascii="宋体" w:eastAsia="宋体" w:hAnsi="宋体" w:cs="宋体"/>
                <w:b w:val="0"/>
              </w:rPr>
              <w:t xml:space="preserve">    4、持有基金份额占比较高的投资者在召开基金份额持有人大会并对重大事项进行投票表决时，可能拥有较大话语权。</w:t>
              <w:br/>
            </w:r>
            <w:r>
              <w:rPr>
                <w:rFonts w:ascii="宋体" w:eastAsia="宋体" w:hAnsi="宋体" w:cs="宋体"/>
                <w:b w:val="0"/>
              </w:rPr>
              <w:t xml:space="preserve">    5、超出基金管理人允许的单一投资者持有基金份额比例的申购申请不被确认的风险。</w:t>
            </w:r>
          </w:p>
        </w:tc>
      </w:tr>
    </w:tbl>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1、中国证券监督管理委员会批准的东方阿尔法增利债券型发起式证券投资基金设立的文件；</w:t>
        <w:br/>
      </w:r>
      <w:r>
        <w:rPr>
          <w:rFonts w:ascii="宋体" w:eastAsia="宋体" w:hAnsi="宋体" w:cs="宋体"/>
          <w:b w:val="0"/>
        </w:rPr>
        <w:t xml:space="preserve">    2、《东方阿尔法增利债券型发起式证券投资基金基金合同》；</w:t>
        <w:br/>
      </w:r>
      <w:r>
        <w:rPr>
          <w:rFonts w:ascii="宋体" w:eastAsia="宋体" w:hAnsi="宋体" w:cs="宋体"/>
          <w:b w:val="0"/>
        </w:rPr>
        <w:t xml:space="preserve">    3、《东方阿尔法增利债券型发起式证券投资基金托管协议》；</w:t>
        <w:br/>
      </w:r>
      <w:r>
        <w:rPr>
          <w:rFonts w:ascii="宋体" w:eastAsia="宋体" w:hAnsi="宋体" w:cs="宋体"/>
          <w:b w:val="0"/>
        </w:rPr>
        <w:t xml:space="preserve">    4、《东方阿尔法增利债券型发起式证券投资基金招募说明书》（含更新）；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东方阿尔法增利债券型发起式证券投资基金2026年第3季度报告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