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rsidR="00033BEA" w:rsidP="00A76644" w14:paraId="1326CD91" w14:textId="77777777">
      <w:pPr>
        <w:pStyle w:val="TOC1"/>
        <w:tabs>
          <w:tab w:val="right" w:leader="dot" w:pos="9080"/>
        </w:tabs>
        <w:spacing w:before="72" w:after="120"/>
        <w:jc w:val="center"/>
        <w:rPr>
          <w:rFonts w:ascii="宋体" w:hAnsi="宋体"/>
          <w:b/>
          <w:bCs/>
          <w:sz w:val="24"/>
        </w:rPr>
      </w:pPr>
    </w:p>
    <w:p w:rsidR="00033BEA" w:rsidP="00A76644" w14:paraId="52A90100" w14:textId="77777777">
      <w:pPr>
        <w:pStyle w:val="TOC1"/>
        <w:tabs>
          <w:tab w:val="right" w:leader="dot" w:pos="9080"/>
        </w:tabs>
        <w:spacing w:before="72" w:after="120"/>
        <w:jc w:val="center"/>
        <w:rPr>
          <w:rFonts w:ascii="宋体" w:hAnsi="宋体"/>
          <w:b/>
          <w:bCs/>
          <w:sz w:val="24"/>
        </w:rPr>
      </w:pPr>
    </w:p>
    <w:p w:rsidR="00396EB6" w:rsidRPr="00421707" w:rsidP="001663E4" w14:paraId="38984839"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东方阿尔法产业先锋混合型发起式证券投资基金</w:t>
      </w:r>
    </w:p>
    <w:p w:rsidR="00396EB6" w:rsidRPr="00421707" w:rsidP="001663E4" w14:paraId="451789C6"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2026年第3季度报告</w:t>
      </w:r>
    </w:p>
    <w:p w:rsidR="00695511" w:rsidRPr="00A76644" w:rsidP="00421707" w14:paraId="330D4D51" w14:textId="77777777">
      <w:pPr>
        <w:pStyle w:val="TOC1"/>
        <w:tabs>
          <w:tab w:val="right" w:leader="dot" w:pos="9080"/>
        </w:tabs>
        <w:spacing w:line="480" w:lineRule="auto"/>
        <w:jc w:val="center"/>
        <w:rPr>
          <w:rFonts w:ascii="宋体" w:eastAsia="宋体" w:hAnsi="宋体" w:cs="宋体"/>
          <w:b/>
          <w:bCs/>
          <w:sz w:val="24"/>
        </w:rPr>
      </w:pPr>
      <w:r>
        <w:rPr>
          <w:rFonts w:ascii="宋体" w:eastAsia="宋体" w:hAnsi="宋体" w:cs="宋体" w:hint="eastAsia"/>
          <w:b/>
          <w:bCs/>
          <w:sz w:val="24"/>
        </w:rPr>
        <w:t>2026年09月30日</w:t>
      </w:r>
    </w:p>
    <w:p w:rsidR="00514F66" w:rsidRPr="00514F66" w:rsidP="00514F66" w14:paraId="205BF4D8" w14:textId="77777777">
      <w:pPr>
        <w:pStyle w:val="TOC1"/>
        <w:tabs>
          <w:tab w:val="right" w:leader="dot" w:pos="9080"/>
        </w:tabs>
        <w:spacing w:before="72" w:after="120"/>
        <w:jc w:val="center"/>
        <w:rPr>
          <w:rFonts w:ascii="宋体" w:hAnsi="宋体"/>
          <w:b/>
          <w:bCs/>
          <w:sz w:val="24"/>
        </w:rPr>
      </w:pPr>
    </w:p>
    <w:p w:rsidR="00514F66" w:rsidRPr="00514F66" w:rsidP="00514F66" w14:paraId="02CCC2D6" w14:textId="77777777">
      <w:pPr>
        <w:pStyle w:val="TOC1"/>
        <w:tabs>
          <w:tab w:val="right" w:leader="dot" w:pos="9080"/>
        </w:tabs>
        <w:spacing w:before="72" w:after="120"/>
        <w:jc w:val="center"/>
        <w:rPr>
          <w:rFonts w:ascii="宋体" w:hAnsi="宋体"/>
          <w:b/>
          <w:bCs/>
          <w:sz w:val="24"/>
        </w:rPr>
      </w:pPr>
    </w:p>
    <w:p w:rsidR="00514F66" w:rsidRPr="00514F66" w:rsidP="00514F66" w14:paraId="045B4059" w14:textId="77777777">
      <w:pPr>
        <w:pStyle w:val="TOC1"/>
        <w:tabs>
          <w:tab w:val="right" w:leader="dot" w:pos="9080"/>
        </w:tabs>
        <w:spacing w:before="72" w:after="120"/>
        <w:jc w:val="center"/>
        <w:rPr>
          <w:rFonts w:ascii="宋体" w:hAnsi="宋体"/>
          <w:b/>
          <w:bCs/>
          <w:sz w:val="24"/>
        </w:rPr>
      </w:pPr>
    </w:p>
    <w:p w:rsidR="00514F66" w:rsidRPr="00514F66" w:rsidP="00514F66" w14:paraId="3BC03714" w14:textId="77777777">
      <w:pPr>
        <w:pStyle w:val="TOC1"/>
        <w:tabs>
          <w:tab w:val="right" w:leader="dot" w:pos="9080"/>
        </w:tabs>
        <w:spacing w:before="72" w:after="120"/>
        <w:jc w:val="center"/>
        <w:rPr>
          <w:rFonts w:ascii="宋体" w:hAnsi="宋体"/>
          <w:b/>
          <w:bCs/>
          <w:sz w:val="24"/>
        </w:rPr>
      </w:pPr>
    </w:p>
    <w:p w:rsidR="00514F66" w:rsidRPr="00514F66" w:rsidP="00514F66" w14:paraId="580DD332" w14:textId="77777777">
      <w:pPr>
        <w:pStyle w:val="TOC1"/>
        <w:tabs>
          <w:tab w:val="right" w:leader="dot" w:pos="9080"/>
        </w:tabs>
        <w:spacing w:before="72" w:after="120"/>
        <w:jc w:val="center"/>
        <w:rPr>
          <w:rFonts w:ascii="宋体" w:hAnsi="宋体"/>
          <w:b/>
          <w:bCs/>
          <w:sz w:val="24"/>
        </w:rPr>
      </w:pPr>
    </w:p>
    <w:p w:rsidR="00514F66" w:rsidRPr="00514F66" w:rsidP="00514F66" w14:paraId="256C0706" w14:textId="77777777">
      <w:pPr>
        <w:pStyle w:val="TOC1"/>
        <w:tabs>
          <w:tab w:val="right" w:leader="dot" w:pos="9080"/>
        </w:tabs>
        <w:spacing w:before="72" w:after="120"/>
        <w:jc w:val="center"/>
        <w:rPr>
          <w:rFonts w:ascii="宋体" w:hAnsi="宋体"/>
          <w:b/>
          <w:bCs/>
          <w:sz w:val="24"/>
        </w:rPr>
      </w:pPr>
    </w:p>
    <w:p w:rsidR="00514F66" w:rsidRPr="00514F66" w:rsidP="00514F66" w14:paraId="3C562D33" w14:textId="77777777">
      <w:pPr>
        <w:pStyle w:val="TOC1"/>
        <w:tabs>
          <w:tab w:val="right" w:leader="dot" w:pos="9080"/>
        </w:tabs>
        <w:spacing w:before="72" w:after="120"/>
        <w:jc w:val="center"/>
        <w:rPr>
          <w:rFonts w:ascii="宋体" w:hAnsi="宋体"/>
          <w:b/>
          <w:bCs/>
          <w:sz w:val="24"/>
        </w:rPr>
      </w:pPr>
    </w:p>
    <w:p w:rsidR="00514F66" w:rsidRPr="00514F66" w:rsidP="00514F66" w14:paraId="5110C3F6" w14:textId="77777777">
      <w:pPr>
        <w:pStyle w:val="TOC1"/>
        <w:tabs>
          <w:tab w:val="right" w:leader="dot" w:pos="9080"/>
        </w:tabs>
        <w:spacing w:before="72" w:after="120"/>
        <w:jc w:val="center"/>
        <w:rPr>
          <w:rFonts w:ascii="宋体" w:hAnsi="宋体"/>
          <w:b/>
          <w:bCs/>
          <w:sz w:val="24"/>
        </w:rPr>
      </w:pPr>
    </w:p>
    <w:p w:rsidR="00514F66" w:rsidRPr="00514F66" w:rsidP="00514F66" w14:paraId="0B3A8452" w14:textId="77777777">
      <w:pPr>
        <w:pStyle w:val="TOC1"/>
        <w:tabs>
          <w:tab w:val="right" w:leader="dot" w:pos="9080"/>
        </w:tabs>
        <w:spacing w:before="72" w:after="120"/>
        <w:jc w:val="center"/>
        <w:rPr>
          <w:rFonts w:ascii="宋体" w:hAnsi="宋体"/>
          <w:b/>
          <w:bCs/>
          <w:sz w:val="24"/>
        </w:rPr>
      </w:pPr>
    </w:p>
    <w:p w:rsidR="00514F66" w:rsidRPr="00514F66" w:rsidP="00514F66" w14:paraId="5EF2E9FF" w14:textId="77777777">
      <w:pPr>
        <w:pStyle w:val="TOC1"/>
        <w:tabs>
          <w:tab w:val="right" w:leader="dot" w:pos="9080"/>
        </w:tabs>
        <w:spacing w:before="72" w:after="120"/>
        <w:jc w:val="center"/>
        <w:rPr>
          <w:rFonts w:ascii="宋体" w:hAnsi="宋体"/>
          <w:b/>
          <w:bCs/>
          <w:sz w:val="24"/>
        </w:rPr>
      </w:pPr>
    </w:p>
    <w:p w:rsidR="00514F66" w:rsidRPr="00514F66" w:rsidP="00514F66" w14:paraId="2807BBEC" w14:textId="77777777">
      <w:pPr>
        <w:pStyle w:val="TOC1"/>
        <w:tabs>
          <w:tab w:val="right" w:leader="dot" w:pos="9080"/>
        </w:tabs>
        <w:spacing w:before="72" w:after="120"/>
        <w:jc w:val="center"/>
        <w:rPr>
          <w:rFonts w:ascii="宋体" w:hAnsi="宋体"/>
          <w:b/>
          <w:bCs/>
          <w:sz w:val="24"/>
        </w:rPr>
      </w:pPr>
    </w:p>
    <w:p w:rsidR="00514F66" w:rsidRPr="00514F66" w:rsidP="00514F66" w14:paraId="4BC10FDF" w14:textId="77777777">
      <w:pPr>
        <w:pStyle w:val="TOC1"/>
        <w:tabs>
          <w:tab w:val="right" w:leader="dot" w:pos="9080"/>
        </w:tabs>
        <w:spacing w:before="72" w:after="120"/>
        <w:jc w:val="center"/>
        <w:rPr>
          <w:rFonts w:ascii="宋体" w:hAnsi="宋体"/>
          <w:b/>
          <w:bCs/>
          <w:sz w:val="24"/>
        </w:rPr>
      </w:pPr>
    </w:p>
    <w:p w:rsidR="00514F66" w:rsidRPr="00514F66" w:rsidP="00514F66" w14:paraId="488AAE42" w14:textId="77777777">
      <w:pPr>
        <w:pStyle w:val="TOC1"/>
        <w:tabs>
          <w:tab w:val="right" w:leader="dot" w:pos="9080"/>
        </w:tabs>
        <w:spacing w:before="72" w:after="120"/>
        <w:jc w:val="center"/>
        <w:rPr>
          <w:rFonts w:ascii="宋体" w:hAnsi="宋体"/>
          <w:b/>
          <w:bCs/>
          <w:sz w:val="24"/>
        </w:rPr>
      </w:pPr>
    </w:p>
    <w:p w:rsidR="00514F66" w:rsidRPr="00514F66" w:rsidP="00514F66" w14:paraId="0B4C086D" w14:textId="77777777">
      <w:pPr>
        <w:pStyle w:val="TOC1"/>
        <w:tabs>
          <w:tab w:val="right" w:leader="dot" w:pos="9080"/>
        </w:tabs>
        <w:spacing w:before="72" w:after="120"/>
        <w:jc w:val="center"/>
        <w:rPr>
          <w:rFonts w:ascii="宋体" w:hAnsi="宋体"/>
          <w:b/>
          <w:bCs/>
          <w:sz w:val="24"/>
        </w:rPr>
      </w:pPr>
    </w:p>
    <w:p w:rsidR="00514F66" w:rsidRPr="00514F66" w:rsidP="00514F66" w14:paraId="7EEBE708" w14:textId="77777777">
      <w:pPr>
        <w:pStyle w:val="TOC1"/>
        <w:tabs>
          <w:tab w:val="right" w:leader="dot" w:pos="9080"/>
        </w:tabs>
        <w:spacing w:before="72" w:after="120"/>
        <w:jc w:val="center"/>
        <w:rPr>
          <w:rFonts w:ascii="宋体" w:hAnsi="宋体"/>
          <w:b/>
          <w:bCs/>
          <w:sz w:val="24"/>
        </w:rPr>
      </w:pPr>
    </w:p>
    <w:p w:rsidR="00396EB6" w:rsidP="00421707" w14:paraId="3B0B08E8"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基金管理人:</w:t>
      </w:r>
      <w:r>
        <w:rPr>
          <w:rFonts w:ascii="宋体" w:eastAsia="宋体" w:hAnsi="宋体" w:cs="宋体"/>
          <w:b/>
          <w:color w:val="auto"/>
          <w:sz w:val="24"/>
          <w:u w:val="none"/>
        </w:rPr>
        <w:t>东方阿尔法基金管理有限公司</w:t>
      </w:r>
    </w:p>
    <w:p w:rsidR="00396EB6" w:rsidP="00421707" w14:paraId="31616E72"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基金托管人:</w:t>
      </w:r>
      <w:r>
        <w:rPr>
          <w:rFonts w:ascii="宋体" w:eastAsia="宋体" w:hAnsi="宋体" w:cs="宋体"/>
          <w:b/>
          <w:color w:val="auto"/>
          <w:sz w:val="24"/>
          <w:u w:val="none"/>
        </w:rPr>
        <w:t>招商银行股份有限公司</w:t>
      </w:r>
    </w:p>
    <w:p w:rsidR="00396EB6" w:rsidP="00421707" w14:paraId="01D6CDCE"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报告送出日期:</w:t>
      </w:r>
      <w:r>
        <w:rPr>
          <w:rFonts w:ascii="宋体" w:eastAsia="宋体" w:hAnsi="宋体" w:cs="宋体"/>
          <w:b/>
          <w:color w:val="auto"/>
          <w:sz w:val="24"/>
          <w:u w:val="none"/>
        </w:rPr>
        <w:t>2026年10月26日</w:t>
      </w:r>
    </w:p>
    <w:p w:rsidR="00396EB6" w:rsidP="00A76644" w14:paraId="28A208C4" w14:textId="77777777">
      <w:pPr>
        <w:jc w:val="center"/>
      </w:pPr>
      <w:r>
        <w:br w:type="page"/>
      </w:r>
    </w:p>
    <w:p w:rsidR="00C370BD" w:rsidRPr="00C370BD" w:rsidP="00801225" w14:paraId="6B371222" w14:textId="77777777">
      <w:pPr>
        <w:pStyle w:val="Heading1"/>
        <w:spacing w:line="576" w:lineRule="auto"/>
        <w:jc w:val="center"/>
        <w:rPr>
          <w:rFonts w:ascii="宋体" w:eastAsia="宋体" w:hAnsi="宋体"/>
          <w:sz w:val="24"/>
          <w:szCs w:val="24"/>
        </w:rPr>
      </w:pPr>
      <w:bookmarkStart w:id="0" w:name="_Toc73379713"/>
      <w:r w:rsidRPr="00C370BD">
        <w:rPr>
          <w:rFonts w:ascii="宋体" w:eastAsia="宋体" w:hAnsi="宋体" w:hint="eastAsia"/>
          <w:bCs w:val="0"/>
          <w:sz w:val="24"/>
          <w:szCs w:val="24"/>
        </w:rPr>
        <w:t>§1 重要提示</w:t>
      </w:r>
      <w:bookmarkEnd w:id="0"/>
    </w:p>
    <w:p w:rsidR="00F07C93" w:rsidP="00E67AEA" w14:paraId="7F352D6E" w14:textId="35951F40">
      <w:pPr>
        <w:widowControl/>
        <w:rPr>
          <w:rFonts w:ascii="宋体" w:eastAsia="宋体" w:hAnsi="宋体"/>
        </w:rPr>
      </w:pPr>
      <w:r>
        <w:t xml:space="preserve">    基金管理人的董事会及董事保证本报告所载资料不存在虚假记载、误导性陈述或重大遗漏，并对其内容的真实性、准确性和完整性承担个别及连带责任。</w:t>
        <w:cr/>
        <w:t xml:space="preserve">    基金托管人招商银行股份有限公司根据本基金合同规定，于2026年10月23日复核了本报告中的财务指标、净值表现和投资组合报告等内容，保证复核内容不存在虚假记载、误导性陈述或者重大遗漏。</w:t>
        <w:cr/>
        <w:t xml:space="preserve">    基金管理人承诺以诚实信用、勤勉尽责的原则管理和运用基金资产，但不保证基金一定盈利。</w:t>
        <w:cr/>
        <w:t xml:space="preserve">    基金的过往业绩并不代表其未来表现。投资有风险，投资者在做出投资决策前应仔细阅读本基金的招募说明书。</w:t>
        <w:cr/>
        <w:t xml:space="preserve">    本报告中财务资料未经审计。</w:t>
        <w:cr/>
        <w:t xml:space="preserve">    本报告期自2026年07月01日起至2026年09月30日止。</w:t>
      </w:r>
    </w:p>
    <w:p/>
    <w:p>
      <w:pPr>
        <w:pStyle w:val="Heading1"/>
        <w:jc w:val="center"/>
      </w:pPr>
      <w:r>
        <w:rPr>
          <w:rFonts w:ascii="宋体" w:eastAsia="宋体" w:hAnsi="宋体" w:cs="宋体"/>
        </w:rPr>
        <w:t>§2 基金产品概况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Align w:val="center"/>
          </w:tcPr>
          <w:p>
            <w:pPr>
              <w:spacing w:line="240" w:lineRule="auto"/>
              <w:jc w:val="left"/>
            </w:pPr>
            <w:r>
              <w:rPr>
                <w:rFonts w:ascii="宋体" w:eastAsia="宋体" w:hAnsi="宋体" w:cs="宋体"/>
                <w:b w:val="0"/>
              </w:rPr>
              <w:t>基金简称</w:t>
            </w:r>
          </w:p>
        </w:tc>
        <w:tc>
          <w:tcPr>
            <w:tcW w:w="3077" w:type="pct"/>
            <w:gridSpan w:val="2"/>
            <w:vAlign w:val="center"/>
          </w:tcPr>
          <w:p>
            <w:pPr>
              <w:spacing w:line="240" w:lineRule="auto"/>
              <w:jc w:val="left"/>
            </w:pPr>
            <w:r>
              <w:rPr>
                <w:rFonts w:ascii="宋体" w:eastAsia="宋体" w:hAnsi="宋体" w:cs="宋体"/>
                <w:b w:val="0"/>
              </w:rPr>
              <w:t>东方阿尔法产业先锋混合</w:t>
            </w:r>
          </w:p>
        </w:tc>
      </w:tr>
      <w:tr>
        <w:tblPrEx>
          <w:tblW w:w="5000" w:type="pct"/>
        </w:tblPrEx>
        <w:tc>
          <w:tcPr>
            <w:tcW w:w="1923" w:type="pct"/>
            <w:vAlign w:val="center"/>
          </w:tcPr>
          <w:p>
            <w:pPr>
              <w:spacing w:line="240" w:lineRule="auto"/>
              <w:jc w:val="left"/>
            </w:pPr>
            <w:r>
              <w:rPr>
                <w:rFonts w:ascii="宋体" w:eastAsia="宋体" w:hAnsi="宋体" w:cs="宋体"/>
                <w:b w:val="0"/>
              </w:rPr>
              <w:t>基金主代码</w:t>
            </w:r>
          </w:p>
        </w:tc>
        <w:tc>
          <w:tcPr>
            <w:tcW w:w="0" w:type="dxa"/>
            <w:gridSpan w:val="2"/>
            <w:vAlign w:val="center"/>
          </w:tcPr>
          <w:p>
            <w:pPr>
              <w:spacing w:line="240" w:lineRule="auto"/>
              <w:jc w:val="left"/>
            </w:pPr>
            <w:r>
              <w:rPr>
                <w:rFonts w:ascii="宋体" w:eastAsia="宋体" w:hAnsi="宋体" w:cs="宋体"/>
                <w:b w:val="0"/>
              </w:rPr>
              <w:t>011704</w:t>
            </w:r>
          </w:p>
        </w:tc>
      </w:tr>
      <w:tr>
        <w:tblPrEx>
          <w:tblW w:w="5000" w:type="pct"/>
        </w:tblPrEx>
        <w:tc>
          <w:tcPr>
            <w:tcW w:w="1923" w:type="pct"/>
            <w:vAlign w:val="center"/>
          </w:tcPr>
          <w:p>
            <w:pPr>
              <w:spacing w:line="240" w:lineRule="auto"/>
              <w:jc w:val="left"/>
            </w:pPr>
            <w:r>
              <w:rPr>
                <w:rFonts w:ascii="宋体" w:eastAsia="宋体" w:hAnsi="宋体" w:cs="宋体"/>
                <w:b w:val="0"/>
              </w:rPr>
              <w:t>基金运作方式</w:t>
            </w:r>
          </w:p>
        </w:tc>
        <w:tc>
          <w:tcPr>
            <w:tcW w:w="0" w:type="dxa"/>
            <w:gridSpan w:val="2"/>
            <w:vAlign w:val="center"/>
          </w:tcPr>
          <w:p>
            <w:pPr>
              <w:spacing w:line="240" w:lineRule="auto"/>
              <w:jc w:val="left"/>
            </w:pPr>
            <w:r>
              <w:rPr>
                <w:rFonts w:ascii="宋体" w:eastAsia="宋体" w:hAnsi="宋体" w:cs="宋体"/>
                <w:b w:val="0"/>
              </w:rPr>
              <w:t>契约型开放式</w:t>
            </w:r>
          </w:p>
        </w:tc>
      </w:tr>
      <w:tr>
        <w:tblPrEx>
          <w:tblW w:w="5000" w:type="pct"/>
        </w:tblPrEx>
        <w:tc>
          <w:tcPr>
            <w:tcW w:w="1923" w:type="pct"/>
            <w:vAlign w:val="center"/>
          </w:tcPr>
          <w:p>
            <w:pPr>
              <w:spacing w:line="240" w:lineRule="auto"/>
              <w:jc w:val="left"/>
            </w:pPr>
            <w:r>
              <w:rPr>
                <w:rFonts w:ascii="宋体" w:eastAsia="宋体" w:hAnsi="宋体" w:cs="宋体"/>
                <w:b w:val="0"/>
              </w:rPr>
              <w:t>基金合同生效日</w:t>
            </w:r>
          </w:p>
        </w:tc>
        <w:tc>
          <w:tcPr>
            <w:tcW w:w="0" w:type="dxa"/>
            <w:gridSpan w:val="2"/>
            <w:vAlign w:val="center"/>
          </w:tcPr>
          <w:p>
            <w:pPr>
              <w:spacing w:line="240" w:lineRule="auto"/>
              <w:jc w:val="left"/>
            </w:pPr>
            <w:r>
              <w:rPr>
                <w:rFonts w:ascii="宋体" w:eastAsia="宋体" w:hAnsi="宋体" w:cs="宋体"/>
                <w:b w:val="0"/>
              </w:rPr>
              <w:t>2021年07月21日</w:t>
            </w:r>
          </w:p>
        </w:tc>
      </w:tr>
      <w:tr>
        <w:tblPrEx>
          <w:tblW w:w="5000" w:type="pct"/>
        </w:tblPrEx>
        <w:tc>
          <w:tcPr>
            <w:tcW w:w="1923" w:type="pct"/>
            <w:vAlign w:val="center"/>
          </w:tcPr>
          <w:p>
            <w:pPr>
              <w:spacing w:line="240" w:lineRule="auto"/>
              <w:jc w:val="left"/>
            </w:pPr>
            <w:r>
              <w:rPr>
                <w:rFonts w:ascii="宋体" w:eastAsia="宋体" w:hAnsi="宋体" w:cs="宋体"/>
                <w:b w:val="0"/>
              </w:rPr>
              <w:t>报告期末基金份额总额</w:t>
            </w:r>
          </w:p>
        </w:tc>
        <w:tc>
          <w:tcPr>
            <w:tcW w:w="0" w:type="dxa"/>
            <w:gridSpan w:val="2"/>
            <w:vAlign w:val="center"/>
          </w:tcPr>
          <w:p>
            <w:pPr>
              <w:spacing w:line="240" w:lineRule="auto"/>
              <w:jc w:val="left"/>
            </w:pPr>
            <w:r>
              <w:rPr>
                <w:rFonts w:ascii="宋体" w:eastAsia="宋体" w:hAnsi="宋体" w:cs="宋体"/>
                <w:b w:val="0"/>
              </w:rPr>
              <w:t>1,331,275,288.39份</w:t>
            </w:r>
          </w:p>
        </w:tc>
      </w:tr>
      <w:tr>
        <w:tblPrEx>
          <w:tblW w:w="5000" w:type="pct"/>
        </w:tblPrEx>
        <w:tc>
          <w:tcPr>
            <w:tcW w:w="1923" w:type="pct"/>
            <w:vAlign w:val="center"/>
          </w:tcPr>
          <w:p>
            <w:pPr>
              <w:spacing w:line="240" w:lineRule="auto"/>
              <w:jc w:val="left"/>
            </w:pPr>
            <w:r>
              <w:rPr>
                <w:rFonts w:ascii="宋体" w:eastAsia="宋体" w:hAnsi="宋体" w:cs="宋体"/>
                <w:b w:val="0"/>
              </w:rPr>
              <w:t>投资目标</w:t>
            </w:r>
          </w:p>
        </w:tc>
        <w:tc>
          <w:tcPr>
            <w:tcW w:w="2592" w:type="pct"/>
            <w:gridSpan w:val="2"/>
            <w:vAlign w:val="center"/>
          </w:tcPr>
          <w:p>
            <w:pPr>
              <w:spacing w:line="240" w:lineRule="auto"/>
              <w:jc w:val="left"/>
            </w:pPr>
            <w:r>
              <w:rPr>
                <w:rFonts w:ascii="宋体" w:eastAsia="宋体" w:hAnsi="宋体" w:cs="宋体"/>
                <w:b w:val="0"/>
              </w:rPr>
              <w:t>本基金在严格控制风险的前提下，通过产业精选和个股研究，力求选择景气度上行产业中具有先锋优势的优质个股，力争实现基金资产的持续稳定增值。</w:t>
            </w:r>
          </w:p>
        </w:tc>
      </w:tr>
      <w:tr>
        <w:tblPrEx>
          <w:tblW w:w="5000" w:type="pct"/>
        </w:tblPrEx>
        <w:tc>
          <w:tcPr>
            <w:tcW w:w="1923" w:type="pct"/>
            <w:vAlign w:val="center"/>
          </w:tcPr>
          <w:p>
            <w:pPr>
              <w:spacing w:line="240" w:lineRule="auto"/>
              <w:jc w:val="left"/>
            </w:pPr>
            <w:r>
              <w:rPr>
                <w:rFonts w:ascii="宋体" w:eastAsia="宋体" w:hAnsi="宋体" w:cs="宋体"/>
                <w:b w:val="0"/>
              </w:rPr>
              <w:t>投资策略</w:t>
            </w:r>
          </w:p>
        </w:tc>
        <w:tc>
          <w:tcPr>
            <w:tcW w:w="0" w:type="dxa"/>
            <w:gridSpan w:val="2"/>
            <w:vAlign w:val="center"/>
          </w:tcPr>
          <w:p>
            <w:pPr>
              <w:spacing w:line="240" w:lineRule="auto"/>
              <w:jc w:val="left"/>
            </w:pPr>
            <w:r>
              <w:rPr>
                <w:rFonts w:ascii="宋体" w:eastAsia="宋体" w:hAnsi="宋体" w:cs="宋体"/>
                <w:b w:val="0"/>
              </w:rPr>
              <w:t>本基金的投资策略主要有以下10个方面内容：</w:t>
              <w:br/>
            </w:r>
            <w:r>
              <w:rPr>
                <w:rFonts w:ascii="宋体" w:eastAsia="宋体" w:hAnsi="宋体" w:cs="宋体"/>
                <w:b w:val="0"/>
              </w:rPr>
              <w:t>1、大类资产配置策略</w:t>
              <w:br/>
            </w:r>
            <w:r>
              <w:rPr>
                <w:rFonts w:ascii="宋体" w:eastAsia="宋体" w:hAnsi="宋体" w:cs="宋体"/>
                <w:b w:val="0"/>
              </w:rPr>
              <w:t>本基金根据对宏观经济周期的分析研究，结合基本面、市面场、政策面等多种因素的综合考量，研判所处经济周期的位置及未来发展方向，以确定组合中股票、债券、货币市场工具及其他金融工具的比例。</w:t>
              <w:br/>
            </w:r>
            <w:r>
              <w:rPr>
                <w:rFonts w:ascii="宋体" w:eastAsia="宋体" w:hAnsi="宋体" w:cs="宋体"/>
                <w:b w:val="0"/>
              </w:rPr>
              <w:t>2、股票投资策略</w:t>
              <w:br/>
            </w:r>
            <w:r>
              <w:rPr>
                <w:rFonts w:ascii="宋体" w:eastAsia="宋体" w:hAnsi="宋体" w:cs="宋体"/>
                <w:b w:val="0"/>
              </w:rPr>
              <w:t>本基金通过产业精选和个股研究相结合，一方面通过产业精选分析产业景气周期的变化和产业格局的变化，筛选具备投资机会的产业；另一方面，通过对公司定性分析、经营分析和估值探讨，判断公司投资价值。选择在景气度上行产业内具有先锋优势的优质上市公司，构成本基金的投资组合。</w:t>
              <w:br/>
            </w:r>
            <w:r>
              <w:rPr>
                <w:rFonts w:ascii="宋体" w:eastAsia="宋体" w:hAnsi="宋体" w:cs="宋体"/>
                <w:b w:val="0"/>
              </w:rPr>
              <w:t>3、存托凭证投资策略</w:t>
              <w:br/>
            </w:r>
            <w:r>
              <w:rPr>
                <w:rFonts w:ascii="宋体" w:eastAsia="宋体" w:hAnsi="宋体" w:cs="宋体"/>
                <w:b w:val="0"/>
              </w:rPr>
              <w:t>本基金可投资存托凭证，本基金将在深入研究的基础上，通过定性分析和定量分析相结合的方式，选择投资价值高的存托凭证进行投资。</w:t>
              <w:br/>
            </w:r>
            <w:r>
              <w:rPr>
                <w:rFonts w:ascii="宋体" w:eastAsia="宋体" w:hAnsi="宋体" w:cs="宋体"/>
                <w:b w:val="0"/>
              </w:rPr>
              <w:t>4、债券类资产投资策略</w:t>
              <w:br/>
            </w:r>
            <w:r>
              <w:rPr>
                <w:rFonts w:ascii="宋体" w:eastAsia="宋体" w:hAnsi="宋体" w:cs="宋体"/>
                <w:b w:val="0"/>
              </w:rPr>
              <w:t>本基金的债券投资将采取较为积极的策略，通过利率预测分析、收益率曲线变动分析、债券信用分析、收益率利差分析等，研判各类属固定收益类资产的风险趋势与收益预期，精选个券进行投资。</w:t>
              <w:br/>
            </w:r>
            <w:r>
              <w:rPr>
                <w:rFonts w:ascii="宋体" w:eastAsia="宋体" w:hAnsi="宋体" w:cs="宋体"/>
                <w:b w:val="0"/>
              </w:rPr>
              <w:t>5、可转债（含分离交易可转债）及可交换债券投资策略</w:t>
              <w:br/>
            </w:r>
            <w:r>
              <w:rPr>
                <w:rFonts w:ascii="宋体" w:eastAsia="宋体" w:hAnsi="宋体" w:cs="宋体"/>
                <w:b w:val="0"/>
              </w:rPr>
              <w:t>对于可转换债券的投资，本基金将在评估其偿债能力的同时兼顾公司的成长性，以期通过转换条款分享因股价上升带来的高收益。</w:t>
              <w:br/>
            </w:r>
            <w:r>
              <w:rPr>
                <w:rFonts w:ascii="宋体" w:eastAsia="宋体" w:hAnsi="宋体" w:cs="宋体"/>
                <w:b w:val="0"/>
              </w:rPr>
              <w:t>6、股指期货投资策略</w:t>
              <w:br/>
            </w:r>
            <w:r>
              <w:rPr>
                <w:rFonts w:ascii="宋体" w:eastAsia="宋体" w:hAnsi="宋体" w:cs="宋体"/>
                <w:b w:val="0"/>
              </w:rPr>
              <w:t>本基金投资股指期货将以投资组合避险和有效管理为目的，通过套期保值策略，对冲系统性风险，应对组合构建与调整中的流动性风险，力求风险收益的优化。</w:t>
              <w:br/>
            </w:r>
            <w:r>
              <w:rPr>
                <w:rFonts w:ascii="宋体" w:eastAsia="宋体" w:hAnsi="宋体" w:cs="宋体"/>
                <w:b w:val="0"/>
              </w:rPr>
              <w:t>7、融资业务的投资策略</w:t>
              <w:br/>
            </w:r>
            <w:r>
              <w:rPr>
                <w:rFonts w:ascii="宋体" w:eastAsia="宋体" w:hAnsi="宋体" w:cs="宋体"/>
                <w:b w:val="0"/>
              </w:rPr>
              <w:t>本基金将根据相关法律法规的规定参与融资业务。本基金参与融资业务，将综合考虑融资成本、保证金比例、冲抵保证金证券折算率、信用资质等条选择合适的交易对手方。同时，在保障基金投资组合充足流动性以及有效控制融资杠杆风险的前提下，确定融资比例。</w:t>
              <w:br/>
            </w:r>
            <w:r>
              <w:rPr>
                <w:rFonts w:ascii="宋体" w:eastAsia="宋体" w:hAnsi="宋体" w:cs="宋体"/>
                <w:b w:val="0"/>
              </w:rPr>
              <w:t>8、国债期货的投资策略</w:t>
              <w:br/>
            </w:r>
            <w:r>
              <w:rPr>
                <w:rFonts w:ascii="宋体" w:eastAsia="宋体" w:hAnsi="宋体" w:cs="宋体"/>
                <w:b w:val="0"/>
              </w:rPr>
              <w:t>基金管理人将结合对宏观经济形势和政策趋势的判断、对债券市场进行定性和定量分析，构建量化分析体系，在最大限度保证基金资产安全的基础上，力求实现所资产的长期稳定增值。</w:t>
              <w:br/>
            </w:r>
            <w:r>
              <w:rPr>
                <w:rFonts w:ascii="宋体" w:eastAsia="宋体" w:hAnsi="宋体" w:cs="宋体"/>
                <w:b w:val="0"/>
              </w:rPr>
              <w:t>9、股票期权的投资策略</w:t>
              <w:br/>
            </w:r>
            <w:r>
              <w:rPr>
                <w:rFonts w:ascii="宋体" w:eastAsia="宋体" w:hAnsi="宋体" w:cs="宋体"/>
                <w:b w:val="0"/>
              </w:rPr>
              <w:t>本基金投资股票期权将以套期保值为主要目的，结合投资目标、比例限制、风险收益特征以及法律法规的相关限定和要求，确定参与股票期权交易的投资时机和投资比例。</w:t>
              <w:br/>
            </w:r>
            <w:r>
              <w:rPr>
                <w:rFonts w:ascii="宋体" w:eastAsia="宋体" w:hAnsi="宋体" w:cs="宋体"/>
                <w:b w:val="0"/>
              </w:rPr>
              <w:t>10、资产支持证券投资策略</w:t>
              <w:br/>
            </w:r>
            <w:r>
              <w:rPr>
                <w:rFonts w:ascii="宋体" w:eastAsia="宋体" w:hAnsi="宋体" w:cs="宋体"/>
                <w:b w:val="0"/>
              </w:rPr>
              <w:t>本基金可以投资包括资产抵押贷款支持证券(ABS)、住房抵押贷款支持证券(MBS)等在内的资产支持证券。</w:t>
            </w:r>
          </w:p>
        </w:tc>
      </w:tr>
      <w:tr>
        <w:tblPrEx>
          <w:tblW w:w="5000" w:type="pct"/>
        </w:tblPrEx>
        <w:tc>
          <w:tcPr>
            <w:tcW w:w="1923" w:type="pct"/>
            <w:vAlign w:val="center"/>
          </w:tcPr>
          <w:p>
            <w:pPr>
              <w:spacing w:line="240" w:lineRule="auto"/>
              <w:jc w:val="left"/>
            </w:pPr>
            <w:r>
              <w:rPr>
                <w:rFonts w:ascii="宋体" w:eastAsia="宋体" w:hAnsi="宋体" w:cs="宋体"/>
                <w:b w:val="0"/>
              </w:rPr>
              <w:t>业绩比较基准</w:t>
            </w:r>
          </w:p>
        </w:tc>
        <w:tc>
          <w:tcPr>
            <w:tcW w:w="0" w:type="dxa"/>
            <w:gridSpan w:val="2"/>
            <w:vAlign w:val="center"/>
          </w:tcPr>
          <w:p>
            <w:pPr>
              <w:spacing w:line="240" w:lineRule="auto"/>
              <w:jc w:val="left"/>
            </w:pPr>
            <w:r>
              <w:rPr>
                <w:rFonts w:ascii="宋体" w:eastAsia="宋体" w:hAnsi="宋体" w:cs="宋体"/>
                <w:b w:val="0"/>
              </w:rPr>
              <w:t>中证800指数收益率×80%+中证综合债券指数收益率×20%</w:t>
            </w:r>
          </w:p>
        </w:tc>
      </w:tr>
      <w:tr>
        <w:tblPrEx>
          <w:tblW w:w="5000" w:type="pct"/>
        </w:tblPrEx>
        <w:tc>
          <w:tcPr>
            <w:tcW w:w="1923" w:type="pct"/>
            <w:vAlign w:val="center"/>
          </w:tcPr>
          <w:p>
            <w:pPr>
              <w:spacing w:line="240" w:lineRule="auto"/>
              <w:jc w:val="left"/>
            </w:pPr>
            <w:r>
              <w:rPr>
                <w:rFonts w:ascii="宋体" w:eastAsia="宋体" w:hAnsi="宋体" w:cs="宋体"/>
                <w:b w:val="0"/>
              </w:rPr>
              <w:t>风险收益特征</w:t>
            </w:r>
          </w:p>
        </w:tc>
        <w:tc>
          <w:tcPr>
            <w:tcW w:w="2592" w:type="pct"/>
            <w:gridSpan w:val="2"/>
            <w:vAlign w:val="center"/>
          </w:tcPr>
          <w:p>
            <w:pPr>
              <w:spacing w:line="240" w:lineRule="auto"/>
              <w:jc w:val="left"/>
            </w:pPr>
            <w:r>
              <w:rPr>
                <w:rFonts w:ascii="宋体" w:eastAsia="宋体" w:hAnsi="宋体" w:cs="宋体"/>
                <w:b w:val="0"/>
              </w:rPr>
              <w:t>本基金为混合型基金，其预期收益和风险高于货币型基金、债券型基金。</w:t>
            </w:r>
          </w:p>
        </w:tc>
      </w:tr>
      <w:tr>
        <w:tblPrEx>
          <w:tblW w:w="5000" w:type="pct"/>
        </w:tblPrEx>
        <w:tc>
          <w:tcPr>
            <w:tcW w:w="1923" w:type="pct"/>
            <w:vAlign w:val="center"/>
          </w:tcPr>
          <w:p>
            <w:pPr>
              <w:spacing w:line="240" w:lineRule="auto"/>
              <w:jc w:val="left"/>
            </w:pPr>
            <w:r>
              <w:rPr>
                <w:rFonts w:ascii="宋体" w:eastAsia="宋体" w:hAnsi="宋体" w:cs="宋体"/>
                <w:b w:val="0"/>
              </w:rPr>
              <w:t>基金管理人</w:t>
            </w:r>
          </w:p>
        </w:tc>
        <w:tc>
          <w:tcPr>
            <w:tcW w:w="0" w:type="dxa"/>
            <w:gridSpan w:val="2"/>
            <w:vAlign w:val="center"/>
          </w:tcPr>
          <w:p>
            <w:pPr>
              <w:spacing w:line="240" w:lineRule="auto"/>
              <w:jc w:val="left"/>
            </w:pPr>
            <w:r>
              <w:rPr>
                <w:rFonts w:ascii="宋体" w:eastAsia="宋体" w:hAnsi="宋体" w:cs="宋体"/>
                <w:b w:val="0"/>
              </w:rPr>
              <w:t>东方阿尔法基金管理有限公司</w:t>
            </w:r>
          </w:p>
        </w:tc>
      </w:tr>
      <w:tr>
        <w:tblPrEx>
          <w:tblW w:w="5000" w:type="pct"/>
        </w:tblPrEx>
        <w:tc>
          <w:tcPr>
            <w:tcW w:w="1923" w:type="pct"/>
            <w:vAlign w:val="center"/>
          </w:tcPr>
          <w:p>
            <w:pPr>
              <w:spacing w:line="240" w:lineRule="auto"/>
              <w:jc w:val="left"/>
            </w:pPr>
            <w:r>
              <w:rPr>
                <w:rFonts w:ascii="宋体" w:eastAsia="宋体" w:hAnsi="宋体" w:cs="宋体"/>
                <w:b w:val="0"/>
              </w:rPr>
              <w:t>基金托管人</w:t>
            </w:r>
          </w:p>
        </w:tc>
        <w:tc>
          <w:tcPr>
            <w:tcW w:w="0" w:type="dxa"/>
            <w:gridSpan w:val="2"/>
            <w:vAlign w:val="center"/>
          </w:tcPr>
          <w:p>
            <w:pPr>
              <w:spacing w:line="240" w:lineRule="auto"/>
              <w:jc w:val="left"/>
            </w:pPr>
            <w:r>
              <w:rPr>
                <w:rFonts w:ascii="宋体" w:eastAsia="宋体" w:hAnsi="宋体" w:cs="宋体"/>
                <w:b w:val="0"/>
              </w:rPr>
              <w:t>招商银行股份有限公司</w:t>
            </w:r>
          </w:p>
        </w:tc>
      </w:tr>
      <w:tr>
        <w:tblPrEx>
          <w:tblW w:w="5000" w:type="pct"/>
        </w:tblPrEx>
        <w:tc>
          <w:tcPr>
            <w:tcW w:w="0" w:type="dxa"/>
            <w:vAlign w:val="center"/>
          </w:tcPr>
          <w:p>
            <w:pPr>
              <w:spacing w:line="240" w:lineRule="auto"/>
              <w:jc w:val="left"/>
            </w:pPr>
            <w:r>
              <w:rPr>
                <w:rFonts w:ascii="宋体" w:eastAsia="宋体" w:hAnsi="宋体" w:cs="宋体"/>
                <w:b w:val="0"/>
              </w:rPr>
              <w:t>下属分级基金的基金简称</w:t>
            </w:r>
          </w:p>
        </w:tc>
        <w:tc>
          <w:tcPr>
            <w:tcW w:w="1500" w:type="pct"/>
            <w:vAlign w:val="center"/>
          </w:tcPr>
          <w:p>
            <w:pPr>
              <w:spacing w:line="240" w:lineRule="auto"/>
              <w:jc w:val="left"/>
            </w:pPr>
            <w:r>
              <w:rPr>
                <w:rFonts w:ascii="宋体" w:eastAsia="宋体" w:hAnsi="宋体" w:cs="宋体"/>
                <w:b w:val="0"/>
              </w:rPr>
              <w:t>东方阿尔法产业先锋混合A</w:t>
            </w:r>
          </w:p>
        </w:tc>
        <w:tc>
          <w:tcPr>
            <w:tcW w:w="1500" w:type="pct"/>
            <w:vAlign w:val="center"/>
          </w:tcPr>
          <w:p>
            <w:pPr>
              <w:spacing w:line="240" w:lineRule="auto"/>
              <w:jc w:val="left"/>
            </w:pPr>
            <w:r>
              <w:rPr>
                <w:rFonts w:ascii="宋体" w:eastAsia="宋体" w:hAnsi="宋体" w:cs="宋体"/>
                <w:b w:val="0"/>
              </w:rPr>
              <w:t>东方阿尔法产业先锋混合C</w:t>
            </w:r>
          </w:p>
        </w:tc>
      </w:tr>
      <w:tr>
        <w:tblPrEx>
          <w:tblW w:w="5000" w:type="pct"/>
        </w:tblPrEx>
        <w:tc>
          <w:tcPr>
            <w:tcW w:w="0" w:type="dxa"/>
            <w:vAlign w:val="center"/>
          </w:tcPr>
          <w:p>
            <w:pPr>
              <w:spacing w:line="240" w:lineRule="auto"/>
              <w:jc w:val="left"/>
            </w:pPr>
            <w:r>
              <w:rPr>
                <w:rFonts w:ascii="宋体" w:eastAsia="宋体" w:hAnsi="宋体" w:cs="宋体"/>
                <w:b w:val="0"/>
              </w:rPr>
              <w:t>下属分级基金的交易代码</w:t>
            </w:r>
          </w:p>
        </w:tc>
        <w:tc>
          <w:tcPr>
            <w:tcW w:w="1500" w:type="pct"/>
            <w:vAlign w:val="center"/>
          </w:tcPr>
          <w:p>
            <w:pPr>
              <w:spacing w:line="240" w:lineRule="auto"/>
              <w:jc w:val="left"/>
            </w:pPr>
            <w:r>
              <w:rPr>
                <w:rFonts w:ascii="宋体" w:eastAsia="宋体" w:hAnsi="宋体" w:cs="宋体"/>
                <w:b w:val="0"/>
              </w:rPr>
              <w:t>011704</w:t>
            </w:r>
          </w:p>
        </w:tc>
        <w:tc>
          <w:tcPr>
            <w:tcW w:w="1500" w:type="pct"/>
            <w:vAlign w:val="center"/>
          </w:tcPr>
          <w:p>
            <w:pPr>
              <w:spacing w:line="240" w:lineRule="auto"/>
              <w:jc w:val="left"/>
            </w:pPr>
            <w:r>
              <w:rPr>
                <w:rFonts w:ascii="宋体" w:eastAsia="宋体" w:hAnsi="宋体" w:cs="宋体"/>
                <w:b w:val="0"/>
              </w:rPr>
              <w:t>011705</w:t>
            </w:r>
          </w:p>
        </w:tc>
      </w:tr>
      <w:tr>
        <w:tblPrEx>
          <w:tblW w:w="5000" w:type="pct"/>
        </w:tblPrEx>
        <w:tc>
          <w:tcPr>
            <w:tcW w:w="0" w:type="dxa"/>
            <w:vAlign w:val="center"/>
          </w:tcPr>
          <w:p>
            <w:pPr>
              <w:spacing w:line="240" w:lineRule="auto"/>
              <w:jc w:val="left"/>
            </w:pPr>
            <w:r>
              <w:rPr>
                <w:rFonts w:ascii="宋体" w:eastAsia="宋体" w:hAnsi="宋体" w:cs="宋体"/>
                <w:b w:val="0"/>
              </w:rPr>
              <w:t>报告期末下属分级基金的份额总额</w:t>
            </w:r>
          </w:p>
        </w:tc>
        <w:tc>
          <w:tcPr>
            <w:tcW w:w="1500" w:type="pct"/>
            <w:vAlign w:val="center"/>
          </w:tcPr>
          <w:p>
            <w:pPr>
              <w:spacing w:line="240" w:lineRule="auto"/>
              <w:jc w:val="left"/>
            </w:pPr>
            <w:r>
              <w:rPr>
                <w:rFonts w:ascii="宋体" w:eastAsia="宋体" w:hAnsi="宋体" w:cs="宋体"/>
                <w:b w:val="0"/>
              </w:rPr>
              <w:t>952,132,177.21份</w:t>
            </w:r>
          </w:p>
        </w:tc>
        <w:tc>
          <w:tcPr>
            <w:tcW w:w="1500" w:type="pct"/>
            <w:vAlign w:val="center"/>
          </w:tcPr>
          <w:p>
            <w:pPr>
              <w:spacing w:line="240" w:lineRule="auto"/>
              <w:jc w:val="left"/>
            </w:pPr>
            <w:r>
              <w:rPr>
                <w:rFonts w:ascii="宋体" w:eastAsia="宋体" w:hAnsi="宋体" w:cs="宋体"/>
                <w:b w:val="0"/>
              </w:rPr>
              <w:t>379,143,111.18份</w:t>
            </w:r>
          </w:p>
        </w:tc>
      </w:tr>
    </w:tbl>
    <w:p>
      <w:pPr>
        <w:pStyle w:val="Heading1"/>
        <w:jc w:val="center"/>
      </w:pPr>
      <w:r>
        <w:rPr>
          <w:rFonts w:ascii="宋体" w:eastAsia="宋体" w:hAnsi="宋体" w:cs="宋体"/>
        </w:rPr>
        <w:t>§3 主要财务指标和基金净值表现</w:t>
      </w:r>
    </w:p>
    <w:p>
      <w:pPr>
        <w:pStyle w:val="Heading2"/>
        <w:jc w:val="left"/>
      </w:pPr>
      <w:r>
        <w:rPr>
          <w:rFonts w:ascii="宋体" w:eastAsia="宋体" w:hAnsi="宋体" w:cs="宋体"/>
        </w:rPr>
        <w:t>3.1 主要财务指标</w:t>
      </w:r>
    </w:p>
    <w:p>
      <w:pPr>
        <w:jc w:val="right"/>
      </w:pPr>
      <w:r>
        <w:rPr>
          <w:rFonts w:ascii="宋体" w:eastAsia="宋体" w:hAnsi="宋体" w:cs="宋体"/>
          <w:b w:val="0"/>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Merge w:val="restart"/>
            <w:shd w:val="clear" w:color="auto" w:fill="D9D9D9"/>
            <w:vAlign w:val="center"/>
          </w:tcPr>
          <w:p>
            <w:pPr>
              <w:spacing w:line="240" w:lineRule="auto"/>
              <w:jc w:val="center"/>
            </w:pPr>
            <w:r>
              <w:rPr>
                <w:rFonts w:ascii="宋体" w:eastAsia="宋体" w:hAnsi="宋体" w:cs="宋体"/>
                <w:b/>
              </w:rPr>
              <w:t>主要财务指标</w:t>
            </w:r>
          </w:p>
        </w:tc>
        <w:tc>
          <w:tcPr>
            <w:tcW w:w="3077" w:type="pct"/>
            <w:gridSpan w:val="2"/>
            <w:shd w:val="clear" w:color="auto" w:fill="D9D9D9"/>
            <w:vAlign w:val="center"/>
          </w:tcPr>
          <w:p>
            <w:pPr>
              <w:spacing w:line="240" w:lineRule="auto"/>
              <w:jc w:val="center"/>
            </w:pPr>
            <w:r>
              <w:rPr>
                <w:rFonts w:ascii="宋体" w:eastAsia="宋体" w:hAnsi="宋体" w:cs="宋体"/>
                <w:b w:val="0"/>
              </w:rPr>
              <w:t>报告期（2026年07月01日-2026年09月30日）</w:t>
            </w:r>
          </w:p>
        </w:tc>
      </w:tr>
      <w:tr>
        <w:tblPrEx>
          <w:tblW w:w="5000" w:type="pct"/>
        </w:tblPrEx>
        <w:tc>
          <w:tcPr>
            <w:vMerge/>
          </w:tcPr>
          <w:p/>
        </w:tc>
        <w:tc>
          <w:tcPr>
            <w:tcW w:w="1500" w:type="pct"/>
            <w:shd w:val="clear" w:color="auto" w:fill="D9D9D9"/>
            <w:vAlign w:val="center"/>
          </w:tcPr>
          <w:p>
            <w:pPr>
              <w:spacing w:line="240" w:lineRule="auto"/>
              <w:jc w:val="center"/>
            </w:pPr>
            <w:r>
              <w:rPr>
                <w:rFonts w:ascii="宋体" w:eastAsia="宋体" w:hAnsi="宋体" w:cs="宋体"/>
                <w:b w:val="0"/>
              </w:rPr>
              <w:t>东方阿尔法产业先锋混合A</w:t>
            </w:r>
          </w:p>
        </w:tc>
        <w:tc>
          <w:tcPr>
            <w:tcW w:w="1500" w:type="pct"/>
            <w:shd w:val="clear" w:color="auto" w:fill="D9D9D9"/>
            <w:vAlign w:val="center"/>
          </w:tcPr>
          <w:p>
            <w:pPr>
              <w:spacing w:line="240" w:lineRule="auto"/>
              <w:jc w:val="center"/>
            </w:pPr>
            <w:r>
              <w:rPr>
                <w:rFonts w:ascii="宋体" w:eastAsia="宋体" w:hAnsi="宋体" w:cs="宋体"/>
                <w:b w:val="0"/>
              </w:rPr>
              <w:t>东方阿尔法产业先锋混合C</w:t>
            </w:r>
          </w:p>
        </w:tc>
      </w:tr>
      <w:tr>
        <w:tblPrEx>
          <w:tblW w:w="5000" w:type="pct"/>
        </w:tblPrEx>
        <w:tc>
          <w:tcPr>
            <w:tcW w:w="0" w:type="dxa"/>
            <w:vAlign w:val="center"/>
          </w:tcPr>
          <w:p>
            <w:pPr>
              <w:spacing w:line="240" w:lineRule="auto"/>
              <w:jc w:val="left"/>
            </w:pPr>
            <w:r>
              <w:rPr>
                <w:rFonts w:ascii="宋体" w:eastAsia="宋体" w:hAnsi="宋体" w:cs="宋体"/>
                <w:b w:val="0"/>
              </w:rPr>
              <w:t>1.本期已实现收益</w:t>
            </w:r>
          </w:p>
        </w:tc>
        <w:tc>
          <w:tcPr>
            <w:tcW w:w="1500" w:type="pct"/>
            <w:vAlign w:val="center"/>
          </w:tcPr>
          <w:p>
            <w:pPr>
              <w:spacing w:line="240" w:lineRule="auto"/>
              <w:jc w:val="right"/>
            </w:pPr>
            <w:r>
              <w:rPr>
                <w:rFonts w:ascii="宋体" w:eastAsia="宋体" w:hAnsi="宋体" w:cs="宋体"/>
                <w:b w:val="0"/>
              </w:rPr>
              <w:t>-119,262,002.93</w:t>
            </w:r>
          </w:p>
        </w:tc>
        <w:tc>
          <w:tcPr>
            <w:tcW w:w="1500" w:type="pct"/>
            <w:vAlign w:val="center"/>
          </w:tcPr>
          <w:p>
            <w:pPr>
              <w:spacing w:line="240" w:lineRule="auto"/>
              <w:jc w:val="right"/>
            </w:pPr>
            <w:r>
              <w:rPr>
                <w:rFonts w:ascii="宋体" w:eastAsia="宋体" w:hAnsi="宋体" w:cs="宋体"/>
                <w:b w:val="0"/>
              </w:rPr>
              <w:t>-41,649,409.84</w:t>
            </w:r>
          </w:p>
        </w:tc>
      </w:tr>
      <w:tr>
        <w:tblPrEx>
          <w:tblW w:w="5000" w:type="pct"/>
        </w:tblPrEx>
        <w:tc>
          <w:tcPr>
            <w:tcW w:w="0" w:type="dxa"/>
            <w:vAlign w:val="center"/>
          </w:tcPr>
          <w:p>
            <w:pPr>
              <w:spacing w:line="240" w:lineRule="auto"/>
              <w:jc w:val="left"/>
            </w:pPr>
            <w:r>
              <w:rPr>
                <w:rFonts w:ascii="宋体" w:eastAsia="宋体" w:hAnsi="宋体" w:cs="宋体"/>
                <w:b w:val="0"/>
              </w:rPr>
              <w:t>2.本期利润</w:t>
            </w:r>
          </w:p>
        </w:tc>
        <w:tc>
          <w:tcPr>
            <w:tcW w:w="1500" w:type="pct"/>
            <w:vAlign w:val="center"/>
          </w:tcPr>
          <w:p>
            <w:pPr>
              <w:spacing w:line="240" w:lineRule="auto"/>
              <w:jc w:val="right"/>
            </w:pPr>
            <w:r>
              <w:rPr>
                <w:rFonts w:ascii="宋体" w:eastAsia="宋体" w:hAnsi="宋体" w:cs="宋体"/>
                <w:b w:val="0"/>
              </w:rPr>
              <w:t>-201,673,456.60</w:t>
            </w:r>
          </w:p>
        </w:tc>
        <w:tc>
          <w:tcPr>
            <w:tcW w:w="1500" w:type="pct"/>
            <w:vAlign w:val="center"/>
          </w:tcPr>
          <w:p>
            <w:pPr>
              <w:spacing w:line="240" w:lineRule="auto"/>
              <w:jc w:val="right"/>
            </w:pPr>
            <w:r>
              <w:rPr>
                <w:rFonts w:ascii="宋体" w:eastAsia="宋体" w:hAnsi="宋体" w:cs="宋体"/>
                <w:b w:val="0"/>
              </w:rPr>
              <w:t>-66,486,364.87</w:t>
            </w:r>
          </w:p>
        </w:tc>
      </w:tr>
      <w:tr>
        <w:tblPrEx>
          <w:tblW w:w="5000" w:type="pct"/>
        </w:tblPrEx>
        <w:tc>
          <w:tcPr>
            <w:tcW w:w="0" w:type="dxa"/>
            <w:vAlign w:val="center"/>
          </w:tcPr>
          <w:p>
            <w:pPr>
              <w:spacing w:line="240" w:lineRule="auto"/>
              <w:jc w:val="left"/>
            </w:pPr>
            <w:r>
              <w:rPr>
                <w:rFonts w:ascii="宋体" w:eastAsia="宋体" w:hAnsi="宋体" w:cs="宋体"/>
                <w:b w:val="0"/>
              </w:rPr>
              <w:t>3.加权平均基金份额本期利润</w:t>
            </w:r>
          </w:p>
        </w:tc>
        <w:tc>
          <w:tcPr>
            <w:tcW w:w="1500" w:type="pct"/>
            <w:vAlign w:val="center"/>
          </w:tcPr>
          <w:p>
            <w:pPr>
              <w:spacing w:line="240" w:lineRule="auto"/>
              <w:jc w:val="right"/>
            </w:pPr>
            <w:r>
              <w:rPr>
                <w:rFonts w:ascii="宋体" w:eastAsia="宋体" w:hAnsi="宋体" w:cs="宋体"/>
                <w:b w:val="0"/>
              </w:rPr>
              <w:t>-0.2126</w:t>
            </w:r>
          </w:p>
        </w:tc>
        <w:tc>
          <w:tcPr>
            <w:tcW w:w="1500" w:type="pct"/>
            <w:vAlign w:val="center"/>
          </w:tcPr>
          <w:p>
            <w:pPr>
              <w:spacing w:line="240" w:lineRule="auto"/>
              <w:jc w:val="right"/>
            </w:pPr>
            <w:r>
              <w:rPr>
                <w:rFonts w:ascii="宋体" w:eastAsia="宋体" w:hAnsi="宋体" w:cs="宋体"/>
                <w:b w:val="0"/>
              </w:rPr>
              <w:t>-0.1846</w:t>
            </w:r>
          </w:p>
        </w:tc>
      </w:tr>
      <w:tr>
        <w:tblPrEx>
          <w:tblW w:w="5000" w:type="pct"/>
        </w:tblPrEx>
        <w:tc>
          <w:tcPr>
            <w:tcW w:w="0" w:type="dxa"/>
            <w:vAlign w:val="center"/>
          </w:tcPr>
          <w:p>
            <w:pPr>
              <w:spacing w:line="240" w:lineRule="auto"/>
              <w:jc w:val="left"/>
            </w:pPr>
            <w:r>
              <w:rPr>
                <w:rFonts w:ascii="宋体" w:eastAsia="宋体" w:hAnsi="宋体" w:cs="宋体"/>
                <w:b w:val="0"/>
              </w:rPr>
              <w:t>4.期末基金资产净值</w:t>
            </w:r>
          </w:p>
        </w:tc>
        <w:tc>
          <w:tcPr>
            <w:tcW w:w="1500" w:type="pct"/>
            <w:vAlign w:val="center"/>
          </w:tcPr>
          <w:p>
            <w:pPr>
              <w:spacing w:line="240" w:lineRule="auto"/>
              <w:jc w:val="right"/>
            </w:pPr>
            <w:r>
              <w:rPr>
                <w:rFonts w:ascii="宋体" w:eastAsia="宋体" w:hAnsi="宋体" w:cs="宋体"/>
                <w:b w:val="0"/>
              </w:rPr>
              <w:t>507,785,907.49</w:t>
            </w:r>
          </w:p>
        </w:tc>
        <w:tc>
          <w:tcPr>
            <w:tcW w:w="1500" w:type="pct"/>
            <w:vAlign w:val="center"/>
          </w:tcPr>
          <w:p>
            <w:pPr>
              <w:spacing w:line="240" w:lineRule="auto"/>
              <w:jc w:val="right"/>
            </w:pPr>
            <w:r>
              <w:rPr>
                <w:rFonts w:ascii="宋体" w:eastAsia="宋体" w:hAnsi="宋体" w:cs="宋体"/>
                <w:b w:val="0"/>
              </w:rPr>
              <w:t>197,012,099.24</w:t>
            </w:r>
          </w:p>
        </w:tc>
      </w:tr>
      <w:tr>
        <w:tblPrEx>
          <w:tblW w:w="5000" w:type="pct"/>
        </w:tblPrEx>
        <w:tc>
          <w:tcPr>
            <w:tcW w:w="0" w:type="dxa"/>
            <w:vAlign w:val="center"/>
          </w:tcPr>
          <w:p>
            <w:pPr>
              <w:spacing w:line="240" w:lineRule="auto"/>
              <w:jc w:val="left"/>
            </w:pPr>
            <w:r>
              <w:rPr>
                <w:rFonts w:ascii="宋体" w:eastAsia="宋体" w:hAnsi="宋体" w:cs="宋体"/>
                <w:b w:val="0"/>
              </w:rPr>
              <w:t>5.期末基金份额净值</w:t>
            </w:r>
          </w:p>
        </w:tc>
        <w:tc>
          <w:tcPr>
            <w:tcW w:w="1500" w:type="pct"/>
            <w:vAlign w:val="center"/>
          </w:tcPr>
          <w:p>
            <w:pPr>
              <w:spacing w:line="240" w:lineRule="auto"/>
              <w:jc w:val="right"/>
            </w:pPr>
            <w:r>
              <w:rPr>
                <w:rFonts w:ascii="宋体" w:eastAsia="宋体" w:hAnsi="宋体" w:cs="宋体"/>
                <w:b w:val="0"/>
              </w:rPr>
              <w:t>0.5333</w:t>
            </w:r>
          </w:p>
        </w:tc>
        <w:tc>
          <w:tcPr>
            <w:tcW w:w="1500" w:type="pct"/>
            <w:vAlign w:val="center"/>
          </w:tcPr>
          <w:p>
            <w:pPr>
              <w:spacing w:line="240" w:lineRule="auto"/>
              <w:jc w:val="right"/>
            </w:pPr>
            <w:r>
              <w:rPr>
                <w:rFonts w:ascii="宋体" w:eastAsia="宋体" w:hAnsi="宋体" w:cs="宋体"/>
                <w:b w:val="0"/>
              </w:rPr>
              <w:t>0.5196</w:t>
            </w:r>
          </w:p>
        </w:tc>
      </w:tr>
    </w:tbl>
    <w:p>
      <w:r>
        <w:rPr>
          <w:rFonts w:ascii="宋体" w:eastAsia="宋体" w:hAnsi="宋体" w:cs="宋体"/>
          <w:b w:val="0"/>
        </w:rPr>
        <w:t>注：1、本期已实现收益指基金本期利息收入、投资收益、其他收入(不含公允价值变动收益)扣除相关费用后的余额，本期利润为本期已实现收益加上本期公允价值变动收益。</w:t>
        <w:br/>
      </w:r>
      <w:r>
        <w:rPr>
          <w:rFonts w:ascii="宋体" w:eastAsia="宋体" w:hAnsi="宋体" w:cs="宋体"/>
          <w:b w:val="0"/>
        </w:rPr>
        <w:t>2、所述基金业绩指标不包括持有人认购或交易基金的各项费用，计入费用后实际收益水平要低于所列数字。</w:t>
      </w:r>
    </w:p>
    <w:p/>
    <w:p>
      <w:pPr>
        <w:pStyle w:val="Heading2"/>
        <w:jc w:val="left"/>
      </w:pPr>
      <w:r>
        <w:rPr>
          <w:rFonts w:ascii="宋体" w:eastAsia="宋体" w:hAnsi="宋体" w:cs="宋体"/>
        </w:rPr>
        <w:t>3.2 基金净值表现</w:t>
      </w:r>
    </w:p>
    <w:p>
      <w:pPr>
        <w:pStyle w:val="zhangjiep2"/>
      </w:pPr>
      <w:r>
        <w:rPr>
          <w:rStyle w:val="DefaultParagraphFont"/>
          <w:rFonts w:ascii="宋体" w:eastAsia="宋体" w:hAnsi="宋体" w:cs="宋体"/>
          <w:b/>
        </w:rPr>
        <w:t>3.2.1 基金份额净值增长率及其与同期业绩比较基准收益率的比较</w:t>
      </w:r>
    </w:p>
    <w:p>
      <w:pPr>
        <w:jc w:val="left"/>
      </w:pPr>
      <w:r>
        <w:rPr>
          <w:rFonts w:ascii="宋体" w:eastAsia="宋体" w:hAnsi="宋体" w:cs="宋体"/>
          <w:b/>
        </w:rPr>
        <w:t>东方阿尔法产业先锋混合A净值表现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-28.76%</w:t>
            </w:r>
          </w:p>
        </w:tc>
        <w:tc>
          <w:tcPr>
            <w:tcW w:w="0" w:type="dxa"/>
            <w:vAlign w:val="center"/>
          </w:tcPr>
          <w:p>
            <w:pPr>
              <w:spacing w:line="240" w:lineRule="auto"/>
              <w:jc w:val="right"/>
            </w:pPr>
            <w:r>
              <w:rPr>
                <w:rFonts w:ascii="宋体" w:eastAsia="宋体" w:hAnsi="宋体" w:cs="宋体"/>
                <w:b w:val="0"/>
              </w:rPr>
              <w:t>4.17%</w:t>
            </w:r>
          </w:p>
        </w:tc>
        <w:tc>
          <w:tcPr>
            <w:tcW w:w="0" w:type="dxa"/>
            <w:vAlign w:val="center"/>
          </w:tcPr>
          <w:p>
            <w:pPr>
              <w:spacing w:line="240" w:lineRule="auto"/>
              <w:jc w:val="right"/>
            </w:pPr>
            <w:r>
              <w:rPr>
                <w:rFonts w:ascii="宋体" w:eastAsia="宋体" w:hAnsi="宋体" w:cs="宋体"/>
                <w:b w:val="0"/>
              </w:rPr>
              <w:t>-11.05%</w:t>
            </w:r>
          </w:p>
        </w:tc>
        <w:tc>
          <w:tcPr>
            <w:tcW w:w="0" w:type="dxa"/>
            <w:vAlign w:val="center"/>
          </w:tcPr>
          <w:p>
            <w:pPr>
              <w:spacing w:line="240" w:lineRule="auto"/>
              <w:jc w:val="right"/>
            </w:pPr>
            <w:r>
              <w:rPr>
                <w:rFonts w:ascii="宋体" w:eastAsia="宋体" w:hAnsi="宋体" w:cs="宋体"/>
                <w:b w:val="0"/>
              </w:rPr>
              <w:t>1.16%</w:t>
            </w:r>
          </w:p>
        </w:tc>
        <w:tc>
          <w:tcPr>
            <w:tcW w:w="0" w:type="dxa"/>
            <w:vAlign w:val="center"/>
          </w:tcPr>
          <w:p>
            <w:pPr>
              <w:spacing w:line="240" w:lineRule="auto"/>
              <w:jc w:val="right"/>
            </w:pPr>
            <w:r>
              <w:rPr>
                <w:rFonts w:ascii="宋体" w:eastAsia="宋体" w:hAnsi="宋体" w:cs="宋体"/>
                <w:b w:val="0"/>
              </w:rPr>
              <w:t>-17.71%</w:t>
            </w:r>
          </w:p>
        </w:tc>
        <w:tc>
          <w:tcPr>
            <w:tcW w:w="0" w:type="dxa"/>
            <w:vAlign w:val="center"/>
          </w:tcPr>
          <w:p>
            <w:pPr>
              <w:spacing w:line="240" w:lineRule="auto"/>
              <w:jc w:val="right"/>
            </w:pPr>
            <w:r>
              <w:rPr>
                <w:rFonts w:ascii="宋体" w:eastAsia="宋体" w:hAnsi="宋体" w:cs="宋体"/>
                <w:b w:val="0"/>
              </w:rPr>
              <w:t>3.01%</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-9.58%</w:t>
            </w:r>
          </w:p>
        </w:tc>
        <w:tc>
          <w:tcPr>
            <w:tcW w:w="0" w:type="dxa"/>
            <w:vAlign w:val="center"/>
          </w:tcPr>
          <w:p>
            <w:pPr>
              <w:spacing w:line="240" w:lineRule="auto"/>
              <w:jc w:val="right"/>
            </w:pPr>
            <w:r>
              <w:rPr>
                <w:rFonts w:ascii="宋体" w:eastAsia="宋体" w:hAnsi="宋体" w:cs="宋体"/>
                <w:b w:val="0"/>
              </w:rPr>
              <w:t>3.49%</w:t>
            </w:r>
          </w:p>
        </w:tc>
        <w:tc>
          <w:tcPr>
            <w:tcW w:w="0" w:type="dxa"/>
            <w:vAlign w:val="center"/>
          </w:tcPr>
          <w:p>
            <w:pPr>
              <w:spacing w:line="240" w:lineRule="auto"/>
              <w:jc w:val="right"/>
            </w:pPr>
            <w:r>
              <w:rPr>
                <w:rFonts w:ascii="宋体" w:eastAsia="宋体" w:hAnsi="宋体" w:cs="宋体"/>
                <w:b w:val="0"/>
              </w:rPr>
              <w:t>-1.10%</w:t>
            </w:r>
          </w:p>
        </w:tc>
        <w:tc>
          <w:tcPr>
            <w:tcW w:w="0" w:type="dxa"/>
            <w:vAlign w:val="center"/>
          </w:tcPr>
          <w:p>
            <w:pPr>
              <w:spacing w:line="240" w:lineRule="auto"/>
              <w:jc w:val="right"/>
            </w:pPr>
            <w:r>
              <w:rPr>
                <w:rFonts w:ascii="宋体" w:eastAsia="宋体" w:hAnsi="宋体" w:cs="宋体"/>
                <w:b w:val="0"/>
              </w:rPr>
              <w:t>1.13%</w:t>
            </w:r>
          </w:p>
        </w:tc>
        <w:tc>
          <w:tcPr>
            <w:tcW w:w="0" w:type="dxa"/>
            <w:vAlign w:val="center"/>
          </w:tcPr>
          <w:p>
            <w:pPr>
              <w:spacing w:line="240" w:lineRule="auto"/>
              <w:jc w:val="right"/>
            </w:pPr>
            <w:r>
              <w:rPr>
                <w:rFonts w:ascii="宋体" w:eastAsia="宋体" w:hAnsi="宋体" w:cs="宋体"/>
                <w:b w:val="0"/>
              </w:rPr>
              <w:t>-8.48%</w:t>
            </w:r>
          </w:p>
        </w:tc>
        <w:tc>
          <w:tcPr>
            <w:tcW w:w="0" w:type="dxa"/>
            <w:vAlign w:val="center"/>
          </w:tcPr>
          <w:p>
            <w:pPr>
              <w:spacing w:line="240" w:lineRule="auto"/>
              <w:jc w:val="right"/>
            </w:pPr>
            <w:r>
              <w:rPr>
                <w:rFonts w:ascii="宋体" w:eastAsia="宋体" w:hAnsi="宋体" w:cs="宋体"/>
                <w:b w:val="0"/>
              </w:rPr>
              <w:t>2.36%</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-19.00%</w:t>
            </w:r>
          </w:p>
        </w:tc>
        <w:tc>
          <w:tcPr>
            <w:tcW w:w="0" w:type="dxa"/>
            <w:vAlign w:val="center"/>
          </w:tcPr>
          <w:p>
            <w:pPr>
              <w:spacing w:line="240" w:lineRule="auto"/>
              <w:jc w:val="right"/>
            </w:pPr>
            <w:r>
              <w:rPr>
                <w:rFonts w:ascii="宋体" w:eastAsia="宋体" w:hAnsi="宋体" w:cs="宋体"/>
                <w:b w:val="0"/>
              </w:rPr>
              <w:t>3.01%</w:t>
            </w:r>
          </w:p>
        </w:tc>
        <w:tc>
          <w:tcPr>
            <w:tcW w:w="0" w:type="dxa"/>
            <w:vAlign w:val="center"/>
          </w:tcPr>
          <w:p>
            <w:pPr>
              <w:spacing w:line="240" w:lineRule="auto"/>
              <w:jc w:val="right"/>
            </w:pPr>
            <w:r>
              <w:rPr>
                <w:rFonts w:ascii="宋体" w:eastAsia="宋体" w:hAnsi="宋体" w:cs="宋体"/>
                <w:b w:val="0"/>
              </w:rPr>
              <w:t>-2.53%</w:t>
            </w:r>
          </w:p>
        </w:tc>
        <w:tc>
          <w:tcPr>
            <w:tcW w:w="0" w:type="dxa"/>
            <w:vAlign w:val="center"/>
          </w:tcPr>
          <w:p>
            <w:pPr>
              <w:spacing w:line="240" w:lineRule="auto"/>
              <w:jc w:val="right"/>
            </w:pPr>
            <w:r>
              <w:rPr>
                <w:rFonts w:ascii="宋体" w:eastAsia="宋体" w:hAnsi="宋体" w:cs="宋体"/>
                <w:b w:val="0"/>
              </w:rPr>
              <w:t>1.00%</w:t>
            </w:r>
          </w:p>
        </w:tc>
        <w:tc>
          <w:tcPr>
            <w:tcW w:w="0" w:type="dxa"/>
            <w:vAlign w:val="center"/>
          </w:tcPr>
          <w:p>
            <w:pPr>
              <w:spacing w:line="240" w:lineRule="auto"/>
              <w:jc w:val="right"/>
            </w:pPr>
            <w:r>
              <w:rPr>
                <w:rFonts w:ascii="宋体" w:eastAsia="宋体" w:hAnsi="宋体" w:cs="宋体"/>
                <w:b w:val="0"/>
              </w:rPr>
              <w:t>-16.47%</w:t>
            </w:r>
          </w:p>
        </w:tc>
        <w:tc>
          <w:tcPr>
            <w:tcW w:w="0" w:type="dxa"/>
            <w:vAlign w:val="center"/>
          </w:tcPr>
          <w:p>
            <w:pPr>
              <w:spacing w:line="240" w:lineRule="auto"/>
              <w:jc w:val="right"/>
            </w:pPr>
            <w:r>
              <w:rPr>
                <w:rFonts w:ascii="宋体" w:eastAsia="宋体" w:hAnsi="宋体" w:cs="宋体"/>
                <w:b w:val="0"/>
              </w:rPr>
              <w:t>2.01%</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7.93%</w:t>
            </w:r>
          </w:p>
        </w:tc>
        <w:tc>
          <w:tcPr>
            <w:tcW w:w="0" w:type="dxa"/>
            <w:vAlign w:val="center"/>
          </w:tcPr>
          <w:p>
            <w:pPr>
              <w:spacing w:line="240" w:lineRule="auto"/>
              <w:jc w:val="right"/>
            </w:pPr>
            <w:r>
              <w:rPr>
                <w:rFonts w:ascii="宋体" w:eastAsia="宋体" w:hAnsi="宋体" w:cs="宋体"/>
                <w:b w:val="0"/>
              </w:rPr>
              <w:t>2.24%</w:t>
            </w:r>
          </w:p>
        </w:tc>
        <w:tc>
          <w:tcPr>
            <w:tcW w:w="0" w:type="dxa"/>
            <w:vAlign w:val="center"/>
          </w:tcPr>
          <w:p>
            <w:pPr>
              <w:spacing w:line="240" w:lineRule="auto"/>
              <w:jc w:val="right"/>
            </w:pPr>
            <w:r>
              <w:rPr>
                <w:rFonts w:ascii="宋体" w:eastAsia="宋体" w:hAnsi="宋体" w:cs="宋体"/>
                <w:b w:val="0"/>
              </w:rPr>
              <w:t>20.88%</w:t>
            </w:r>
          </w:p>
        </w:tc>
        <w:tc>
          <w:tcPr>
            <w:tcW w:w="0" w:type="dxa"/>
            <w:vAlign w:val="center"/>
          </w:tcPr>
          <w:p>
            <w:pPr>
              <w:spacing w:line="240" w:lineRule="auto"/>
              <w:jc w:val="right"/>
            </w:pPr>
            <w:r>
              <w:rPr>
                <w:rFonts w:ascii="宋体" w:eastAsia="宋体" w:hAnsi="宋体" w:cs="宋体"/>
                <w:b w:val="0"/>
              </w:rPr>
              <w:t>0.98%</w:t>
            </w:r>
          </w:p>
        </w:tc>
        <w:tc>
          <w:tcPr>
            <w:tcW w:w="0" w:type="dxa"/>
            <w:vAlign w:val="center"/>
          </w:tcPr>
          <w:p>
            <w:pPr>
              <w:spacing w:line="240" w:lineRule="auto"/>
              <w:jc w:val="right"/>
            </w:pPr>
            <w:r>
              <w:rPr>
                <w:rFonts w:ascii="宋体" w:eastAsia="宋体" w:hAnsi="宋体" w:cs="宋体"/>
                <w:b w:val="0"/>
              </w:rPr>
              <w:t>-12.95%</w:t>
            </w:r>
          </w:p>
        </w:tc>
        <w:tc>
          <w:tcPr>
            <w:tcW w:w="0" w:type="dxa"/>
            <w:vAlign w:val="center"/>
          </w:tcPr>
          <w:p>
            <w:pPr>
              <w:spacing w:line="240" w:lineRule="auto"/>
              <w:jc w:val="right"/>
            </w:pPr>
            <w:r>
              <w:rPr>
                <w:rFonts w:ascii="宋体" w:eastAsia="宋体" w:hAnsi="宋体" w:cs="宋体"/>
                <w:b w:val="0"/>
              </w:rPr>
              <w:t>1.26%</w:t>
            </w:r>
          </w:p>
        </w:tc>
      </w:tr>
      <w:tr>
        <w:tblPrEx>
          <w:tblW w:w="5000" w:type="pct"/>
        </w:tblPrEx>
        <w:tc>
          <w:tcPr>
            <w:tcW w:w="0" w:type="dxa"/>
            <w:vAlign w:val="center"/>
          </w:tcPr>
          <w:p>
            <w:pPr>
              <w:spacing w:line="240" w:lineRule="auto"/>
              <w:jc w:val="left"/>
            </w:pPr>
            <w:r>
              <w:rPr>
                <w:rFonts w:ascii="宋体" w:eastAsia="宋体" w:hAnsi="宋体" w:cs="宋体"/>
                <w:b w:val="0"/>
              </w:rPr>
              <w:t>过去五年</w:t>
            </w:r>
          </w:p>
        </w:tc>
        <w:tc>
          <w:tcPr>
            <w:tcW w:w="0" w:type="dxa"/>
            <w:vAlign w:val="center"/>
          </w:tcPr>
          <w:p>
            <w:pPr>
              <w:spacing w:line="240" w:lineRule="auto"/>
              <w:jc w:val="right"/>
            </w:pPr>
            <w:r>
              <w:rPr>
                <w:rFonts w:ascii="宋体" w:eastAsia="宋体" w:hAnsi="宋体" w:cs="宋体"/>
                <w:b w:val="0"/>
              </w:rPr>
              <w:t>-46.10%</w:t>
            </w:r>
          </w:p>
        </w:tc>
        <w:tc>
          <w:tcPr>
            <w:tcW w:w="0" w:type="dxa"/>
            <w:vAlign w:val="center"/>
          </w:tcPr>
          <w:p>
            <w:pPr>
              <w:spacing w:line="240" w:lineRule="auto"/>
              <w:jc w:val="right"/>
            </w:pPr>
            <w:r>
              <w:rPr>
                <w:rFonts w:ascii="宋体" w:eastAsia="宋体" w:hAnsi="宋体" w:cs="宋体"/>
                <w:b w:val="0"/>
              </w:rPr>
              <w:t>2.21%</w:t>
            </w:r>
          </w:p>
        </w:tc>
        <w:tc>
          <w:tcPr>
            <w:tcW w:w="0" w:type="dxa"/>
            <w:vAlign w:val="center"/>
          </w:tcPr>
          <w:p>
            <w:pPr>
              <w:spacing w:line="240" w:lineRule="auto"/>
              <w:jc w:val="right"/>
            </w:pPr>
            <w:r>
              <w:rPr>
                <w:rFonts w:ascii="宋体" w:eastAsia="宋体" w:hAnsi="宋体" w:cs="宋体"/>
                <w:b w:val="0"/>
              </w:rPr>
              <w:t>-0.09%</w:t>
            </w:r>
          </w:p>
        </w:tc>
        <w:tc>
          <w:tcPr>
            <w:tcW w:w="0" w:type="dxa"/>
            <w:vAlign w:val="center"/>
          </w:tcPr>
          <w:p>
            <w:pPr>
              <w:spacing w:line="240" w:lineRule="auto"/>
              <w:jc w:val="right"/>
            </w:pPr>
            <w:r>
              <w:rPr>
                <w:rFonts w:ascii="宋体" w:eastAsia="宋体" w:hAnsi="宋体" w:cs="宋体"/>
                <w:b w:val="0"/>
              </w:rPr>
              <w:t>0.93%</w:t>
            </w:r>
          </w:p>
        </w:tc>
        <w:tc>
          <w:tcPr>
            <w:tcW w:w="0" w:type="dxa"/>
            <w:vAlign w:val="center"/>
          </w:tcPr>
          <w:p>
            <w:pPr>
              <w:spacing w:line="240" w:lineRule="auto"/>
              <w:jc w:val="right"/>
            </w:pPr>
            <w:r>
              <w:rPr>
                <w:rFonts w:ascii="宋体" w:eastAsia="宋体" w:hAnsi="宋体" w:cs="宋体"/>
                <w:b w:val="0"/>
              </w:rPr>
              <w:t>-46.01%</w:t>
            </w:r>
          </w:p>
        </w:tc>
        <w:tc>
          <w:tcPr>
            <w:tcW w:w="0" w:type="dxa"/>
            <w:vAlign w:val="center"/>
          </w:tcPr>
          <w:p>
            <w:pPr>
              <w:spacing w:line="240" w:lineRule="auto"/>
              <w:jc w:val="right"/>
            </w:pPr>
            <w:r>
              <w:rPr>
                <w:rFonts w:ascii="宋体" w:eastAsia="宋体" w:hAnsi="宋体" w:cs="宋体"/>
                <w:b w:val="0"/>
              </w:rPr>
              <w:t>1.28%</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-46.67%</w:t>
            </w:r>
          </w:p>
        </w:tc>
        <w:tc>
          <w:tcPr>
            <w:tcW w:w="0" w:type="dxa"/>
            <w:vAlign w:val="center"/>
          </w:tcPr>
          <w:p>
            <w:pPr>
              <w:spacing w:line="240" w:lineRule="auto"/>
              <w:jc w:val="right"/>
            </w:pPr>
            <w:r>
              <w:rPr>
                <w:rFonts w:ascii="宋体" w:eastAsia="宋体" w:hAnsi="宋体" w:cs="宋体"/>
                <w:b w:val="0"/>
              </w:rPr>
              <w:t>2.18%</w:t>
            </w:r>
          </w:p>
        </w:tc>
        <w:tc>
          <w:tcPr>
            <w:tcW w:w="0" w:type="dxa"/>
            <w:vAlign w:val="center"/>
          </w:tcPr>
          <w:p>
            <w:pPr>
              <w:spacing w:line="240" w:lineRule="auto"/>
              <w:jc w:val="right"/>
            </w:pPr>
            <w:r>
              <w:rPr>
                <w:rFonts w:ascii="宋体" w:eastAsia="宋体" w:hAnsi="宋体" w:cs="宋体"/>
                <w:b w:val="0"/>
              </w:rPr>
              <w:t>-2.27%</w:t>
            </w:r>
          </w:p>
        </w:tc>
        <w:tc>
          <w:tcPr>
            <w:tcW w:w="0" w:type="dxa"/>
            <w:vAlign w:val="center"/>
          </w:tcPr>
          <w:p>
            <w:pPr>
              <w:spacing w:line="240" w:lineRule="auto"/>
              <w:jc w:val="right"/>
            </w:pPr>
            <w:r>
              <w:rPr>
                <w:rFonts w:ascii="宋体" w:eastAsia="宋体" w:hAnsi="宋体" w:cs="宋体"/>
                <w:b w:val="0"/>
              </w:rPr>
              <w:t>0.93%</w:t>
            </w:r>
          </w:p>
        </w:tc>
        <w:tc>
          <w:tcPr>
            <w:tcW w:w="0" w:type="dxa"/>
            <w:vAlign w:val="center"/>
          </w:tcPr>
          <w:p>
            <w:pPr>
              <w:spacing w:line="240" w:lineRule="auto"/>
              <w:jc w:val="right"/>
            </w:pPr>
            <w:r>
              <w:rPr>
                <w:rFonts w:ascii="宋体" w:eastAsia="宋体" w:hAnsi="宋体" w:cs="宋体"/>
                <w:b w:val="0"/>
              </w:rPr>
              <w:t>-44.40%</w:t>
            </w:r>
          </w:p>
        </w:tc>
        <w:tc>
          <w:tcPr>
            <w:tcW w:w="0" w:type="dxa"/>
            <w:vAlign w:val="center"/>
          </w:tcPr>
          <w:p>
            <w:pPr>
              <w:spacing w:line="240" w:lineRule="auto"/>
              <w:jc w:val="right"/>
            </w:pPr>
            <w:r>
              <w:rPr>
                <w:rFonts w:ascii="宋体" w:eastAsia="宋体" w:hAnsi="宋体" w:cs="宋体"/>
                <w:b w:val="0"/>
              </w:rPr>
              <w:t>1.25%</w:t>
            </w:r>
          </w:p>
        </w:tc>
      </w:tr>
    </w:tbl>
    <w:p>
      <w:pPr>
        <w:jc w:val="left"/>
      </w:pPr>
      <w:r>
        <w:rPr>
          <w:rFonts w:ascii="宋体" w:eastAsia="宋体" w:hAnsi="宋体" w:cs="宋体"/>
          <w:b/>
        </w:rPr>
        <w:t>东方阿尔法产业先锋混合C净值表现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-28.85%</w:t>
            </w:r>
          </w:p>
        </w:tc>
        <w:tc>
          <w:tcPr>
            <w:tcW w:w="0" w:type="dxa"/>
            <w:vAlign w:val="center"/>
          </w:tcPr>
          <w:p>
            <w:pPr>
              <w:spacing w:line="240" w:lineRule="auto"/>
              <w:jc w:val="right"/>
            </w:pPr>
            <w:r>
              <w:rPr>
                <w:rFonts w:ascii="宋体" w:eastAsia="宋体" w:hAnsi="宋体" w:cs="宋体"/>
                <w:b w:val="0"/>
              </w:rPr>
              <w:t>4.17%</w:t>
            </w:r>
          </w:p>
        </w:tc>
        <w:tc>
          <w:tcPr>
            <w:tcW w:w="0" w:type="dxa"/>
            <w:vAlign w:val="center"/>
          </w:tcPr>
          <w:p>
            <w:pPr>
              <w:spacing w:line="240" w:lineRule="auto"/>
              <w:jc w:val="right"/>
            </w:pPr>
            <w:r>
              <w:rPr>
                <w:rFonts w:ascii="宋体" w:eastAsia="宋体" w:hAnsi="宋体" w:cs="宋体"/>
                <w:b w:val="0"/>
              </w:rPr>
              <w:t>-11.05%</w:t>
            </w:r>
          </w:p>
        </w:tc>
        <w:tc>
          <w:tcPr>
            <w:tcW w:w="0" w:type="dxa"/>
            <w:vAlign w:val="center"/>
          </w:tcPr>
          <w:p>
            <w:pPr>
              <w:spacing w:line="240" w:lineRule="auto"/>
              <w:jc w:val="right"/>
            </w:pPr>
            <w:r>
              <w:rPr>
                <w:rFonts w:ascii="宋体" w:eastAsia="宋体" w:hAnsi="宋体" w:cs="宋体"/>
                <w:b w:val="0"/>
              </w:rPr>
              <w:t>1.16%</w:t>
            </w:r>
          </w:p>
        </w:tc>
        <w:tc>
          <w:tcPr>
            <w:tcW w:w="0" w:type="dxa"/>
            <w:vAlign w:val="center"/>
          </w:tcPr>
          <w:p>
            <w:pPr>
              <w:spacing w:line="240" w:lineRule="auto"/>
              <w:jc w:val="right"/>
            </w:pPr>
            <w:r>
              <w:rPr>
                <w:rFonts w:ascii="宋体" w:eastAsia="宋体" w:hAnsi="宋体" w:cs="宋体"/>
                <w:b w:val="0"/>
              </w:rPr>
              <w:t>-17.80%</w:t>
            </w:r>
          </w:p>
        </w:tc>
        <w:tc>
          <w:tcPr>
            <w:tcW w:w="0" w:type="dxa"/>
            <w:vAlign w:val="center"/>
          </w:tcPr>
          <w:p>
            <w:pPr>
              <w:spacing w:line="240" w:lineRule="auto"/>
              <w:jc w:val="right"/>
            </w:pPr>
            <w:r>
              <w:rPr>
                <w:rFonts w:ascii="宋体" w:eastAsia="宋体" w:hAnsi="宋体" w:cs="宋体"/>
                <w:b w:val="0"/>
              </w:rPr>
              <w:t>3.01%</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-9.81%</w:t>
            </w:r>
          </w:p>
        </w:tc>
        <w:tc>
          <w:tcPr>
            <w:tcW w:w="0" w:type="dxa"/>
            <w:vAlign w:val="center"/>
          </w:tcPr>
          <w:p>
            <w:pPr>
              <w:spacing w:line="240" w:lineRule="auto"/>
              <w:jc w:val="right"/>
            </w:pPr>
            <w:r>
              <w:rPr>
                <w:rFonts w:ascii="宋体" w:eastAsia="宋体" w:hAnsi="宋体" w:cs="宋体"/>
                <w:b w:val="0"/>
              </w:rPr>
              <w:t>3.49%</w:t>
            </w:r>
          </w:p>
        </w:tc>
        <w:tc>
          <w:tcPr>
            <w:tcW w:w="0" w:type="dxa"/>
            <w:vAlign w:val="center"/>
          </w:tcPr>
          <w:p>
            <w:pPr>
              <w:spacing w:line="240" w:lineRule="auto"/>
              <w:jc w:val="right"/>
            </w:pPr>
            <w:r>
              <w:rPr>
                <w:rFonts w:ascii="宋体" w:eastAsia="宋体" w:hAnsi="宋体" w:cs="宋体"/>
                <w:b w:val="0"/>
              </w:rPr>
              <w:t>-1.10%</w:t>
            </w:r>
          </w:p>
        </w:tc>
        <w:tc>
          <w:tcPr>
            <w:tcW w:w="0" w:type="dxa"/>
            <w:vAlign w:val="center"/>
          </w:tcPr>
          <w:p>
            <w:pPr>
              <w:spacing w:line="240" w:lineRule="auto"/>
              <w:jc w:val="right"/>
            </w:pPr>
            <w:r>
              <w:rPr>
                <w:rFonts w:ascii="宋体" w:eastAsia="宋体" w:hAnsi="宋体" w:cs="宋体"/>
                <w:b w:val="0"/>
              </w:rPr>
              <w:t>1.13%</w:t>
            </w:r>
          </w:p>
        </w:tc>
        <w:tc>
          <w:tcPr>
            <w:tcW w:w="0" w:type="dxa"/>
            <w:vAlign w:val="center"/>
          </w:tcPr>
          <w:p>
            <w:pPr>
              <w:spacing w:line="240" w:lineRule="auto"/>
              <w:jc w:val="right"/>
            </w:pPr>
            <w:r>
              <w:rPr>
                <w:rFonts w:ascii="宋体" w:eastAsia="宋体" w:hAnsi="宋体" w:cs="宋体"/>
                <w:b w:val="0"/>
              </w:rPr>
              <w:t>-8.71%</w:t>
            </w:r>
          </w:p>
        </w:tc>
        <w:tc>
          <w:tcPr>
            <w:tcW w:w="0" w:type="dxa"/>
            <w:vAlign w:val="center"/>
          </w:tcPr>
          <w:p>
            <w:pPr>
              <w:spacing w:line="240" w:lineRule="auto"/>
              <w:jc w:val="right"/>
            </w:pPr>
            <w:r>
              <w:rPr>
                <w:rFonts w:ascii="宋体" w:eastAsia="宋体" w:hAnsi="宋体" w:cs="宋体"/>
                <w:b w:val="0"/>
              </w:rPr>
              <w:t>2.36%</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-19.42%</w:t>
            </w:r>
          </w:p>
        </w:tc>
        <w:tc>
          <w:tcPr>
            <w:tcW w:w="0" w:type="dxa"/>
            <w:vAlign w:val="center"/>
          </w:tcPr>
          <w:p>
            <w:pPr>
              <w:spacing w:line="240" w:lineRule="auto"/>
              <w:jc w:val="right"/>
            </w:pPr>
            <w:r>
              <w:rPr>
                <w:rFonts w:ascii="宋体" w:eastAsia="宋体" w:hAnsi="宋体" w:cs="宋体"/>
                <w:b w:val="0"/>
              </w:rPr>
              <w:t>3.01%</w:t>
            </w:r>
          </w:p>
        </w:tc>
        <w:tc>
          <w:tcPr>
            <w:tcW w:w="0" w:type="dxa"/>
            <w:vAlign w:val="center"/>
          </w:tcPr>
          <w:p>
            <w:pPr>
              <w:spacing w:line="240" w:lineRule="auto"/>
              <w:jc w:val="right"/>
            </w:pPr>
            <w:r>
              <w:rPr>
                <w:rFonts w:ascii="宋体" w:eastAsia="宋体" w:hAnsi="宋体" w:cs="宋体"/>
                <w:b w:val="0"/>
              </w:rPr>
              <w:t>-2.53%</w:t>
            </w:r>
          </w:p>
        </w:tc>
        <w:tc>
          <w:tcPr>
            <w:tcW w:w="0" w:type="dxa"/>
            <w:vAlign w:val="center"/>
          </w:tcPr>
          <w:p>
            <w:pPr>
              <w:spacing w:line="240" w:lineRule="auto"/>
              <w:jc w:val="right"/>
            </w:pPr>
            <w:r>
              <w:rPr>
                <w:rFonts w:ascii="宋体" w:eastAsia="宋体" w:hAnsi="宋体" w:cs="宋体"/>
                <w:b w:val="0"/>
              </w:rPr>
              <w:t>1.00%</w:t>
            </w:r>
          </w:p>
        </w:tc>
        <w:tc>
          <w:tcPr>
            <w:tcW w:w="0" w:type="dxa"/>
            <w:vAlign w:val="center"/>
          </w:tcPr>
          <w:p>
            <w:pPr>
              <w:spacing w:line="240" w:lineRule="auto"/>
              <w:jc w:val="right"/>
            </w:pPr>
            <w:r>
              <w:rPr>
                <w:rFonts w:ascii="宋体" w:eastAsia="宋体" w:hAnsi="宋体" w:cs="宋体"/>
                <w:b w:val="0"/>
              </w:rPr>
              <w:t>-16.89%</w:t>
            </w:r>
          </w:p>
        </w:tc>
        <w:tc>
          <w:tcPr>
            <w:tcW w:w="0" w:type="dxa"/>
            <w:vAlign w:val="center"/>
          </w:tcPr>
          <w:p>
            <w:pPr>
              <w:spacing w:line="240" w:lineRule="auto"/>
              <w:jc w:val="right"/>
            </w:pPr>
            <w:r>
              <w:rPr>
                <w:rFonts w:ascii="宋体" w:eastAsia="宋体" w:hAnsi="宋体" w:cs="宋体"/>
                <w:b w:val="0"/>
              </w:rPr>
              <w:t>2.01%</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6.32%</w:t>
            </w:r>
          </w:p>
        </w:tc>
        <w:tc>
          <w:tcPr>
            <w:tcW w:w="0" w:type="dxa"/>
            <w:vAlign w:val="center"/>
          </w:tcPr>
          <w:p>
            <w:pPr>
              <w:spacing w:line="240" w:lineRule="auto"/>
              <w:jc w:val="right"/>
            </w:pPr>
            <w:r>
              <w:rPr>
                <w:rFonts w:ascii="宋体" w:eastAsia="宋体" w:hAnsi="宋体" w:cs="宋体"/>
                <w:b w:val="0"/>
              </w:rPr>
              <w:t>2.24%</w:t>
            </w:r>
          </w:p>
        </w:tc>
        <w:tc>
          <w:tcPr>
            <w:tcW w:w="0" w:type="dxa"/>
            <w:vAlign w:val="center"/>
          </w:tcPr>
          <w:p>
            <w:pPr>
              <w:spacing w:line="240" w:lineRule="auto"/>
              <w:jc w:val="right"/>
            </w:pPr>
            <w:r>
              <w:rPr>
                <w:rFonts w:ascii="宋体" w:eastAsia="宋体" w:hAnsi="宋体" w:cs="宋体"/>
                <w:b w:val="0"/>
              </w:rPr>
              <w:t>20.88%</w:t>
            </w:r>
          </w:p>
        </w:tc>
        <w:tc>
          <w:tcPr>
            <w:tcW w:w="0" w:type="dxa"/>
            <w:vAlign w:val="center"/>
          </w:tcPr>
          <w:p>
            <w:pPr>
              <w:spacing w:line="240" w:lineRule="auto"/>
              <w:jc w:val="right"/>
            </w:pPr>
            <w:r>
              <w:rPr>
                <w:rFonts w:ascii="宋体" w:eastAsia="宋体" w:hAnsi="宋体" w:cs="宋体"/>
                <w:b w:val="0"/>
              </w:rPr>
              <w:t>0.98%</w:t>
            </w:r>
          </w:p>
        </w:tc>
        <w:tc>
          <w:tcPr>
            <w:tcW w:w="0" w:type="dxa"/>
            <w:vAlign w:val="center"/>
          </w:tcPr>
          <w:p>
            <w:pPr>
              <w:spacing w:line="240" w:lineRule="auto"/>
              <w:jc w:val="right"/>
            </w:pPr>
            <w:r>
              <w:rPr>
                <w:rFonts w:ascii="宋体" w:eastAsia="宋体" w:hAnsi="宋体" w:cs="宋体"/>
                <w:b w:val="0"/>
              </w:rPr>
              <w:t>-14.56%</w:t>
            </w:r>
          </w:p>
        </w:tc>
        <w:tc>
          <w:tcPr>
            <w:tcW w:w="0" w:type="dxa"/>
            <w:vAlign w:val="center"/>
          </w:tcPr>
          <w:p>
            <w:pPr>
              <w:spacing w:line="240" w:lineRule="auto"/>
              <w:jc w:val="right"/>
            </w:pPr>
            <w:r>
              <w:rPr>
                <w:rFonts w:ascii="宋体" w:eastAsia="宋体" w:hAnsi="宋体" w:cs="宋体"/>
                <w:b w:val="0"/>
              </w:rPr>
              <w:t>1.26%</w:t>
            </w:r>
          </w:p>
        </w:tc>
      </w:tr>
      <w:tr>
        <w:tblPrEx>
          <w:tblW w:w="5000" w:type="pct"/>
        </w:tblPrEx>
        <w:tc>
          <w:tcPr>
            <w:tcW w:w="0" w:type="dxa"/>
            <w:vAlign w:val="center"/>
          </w:tcPr>
          <w:p>
            <w:pPr>
              <w:spacing w:line="240" w:lineRule="auto"/>
              <w:jc w:val="left"/>
            </w:pPr>
            <w:r>
              <w:rPr>
                <w:rFonts w:ascii="宋体" w:eastAsia="宋体" w:hAnsi="宋体" w:cs="宋体"/>
                <w:b w:val="0"/>
              </w:rPr>
              <w:t>过去五年</w:t>
            </w:r>
          </w:p>
        </w:tc>
        <w:tc>
          <w:tcPr>
            <w:tcW w:w="0" w:type="dxa"/>
            <w:vAlign w:val="center"/>
          </w:tcPr>
          <w:p>
            <w:pPr>
              <w:spacing w:line="240" w:lineRule="auto"/>
              <w:jc w:val="right"/>
            </w:pPr>
            <w:r>
              <w:rPr>
                <w:rFonts w:ascii="宋体" w:eastAsia="宋体" w:hAnsi="宋体" w:cs="宋体"/>
                <w:b w:val="0"/>
              </w:rPr>
              <w:t>-47.44%</w:t>
            </w:r>
          </w:p>
        </w:tc>
        <w:tc>
          <w:tcPr>
            <w:tcW w:w="0" w:type="dxa"/>
            <w:vAlign w:val="center"/>
          </w:tcPr>
          <w:p>
            <w:pPr>
              <w:spacing w:line="240" w:lineRule="auto"/>
              <w:jc w:val="right"/>
            </w:pPr>
            <w:r>
              <w:rPr>
                <w:rFonts w:ascii="宋体" w:eastAsia="宋体" w:hAnsi="宋体" w:cs="宋体"/>
                <w:b w:val="0"/>
              </w:rPr>
              <w:t>2.21%</w:t>
            </w:r>
          </w:p>
        </w:tc>
        <w:tc>
          <w:tcPr>
            <w:tcW w:w="0" w:type="dxa"/>
            <w:vAlign w:val="center"/>
          </w:tcPr>
          <w:p>
            <w:pPr>
              <w:spacing w:line="240" w:lineRule="auto"/>
              <w:jc w:val="right"/>
            </w:pPr>
            <w:r>
              <w:rPr>
                <w:rFonts w:ascii="宋体" w:eastAsia="宋体" w:hAnsi="宋体" w:cs="宋体"/>
                <w:b w:val="0"/>
              </w:rPr>
              <w:t>-0.09%</w:t>
            </w:r>
          </w:p>
        </w:tc>
        <w:tc>
          <w:tcPr>
            <w:tcW w:w="0" w:type="dxa"/>
            <w:vAlign w:val="center"/>
          </w:tcPr>
          <w:p>
            <w:pPr>
              <w:spacing w:line="240" w:lineRule="auto"/>
              <w:jc w:val="right"/>
            </w:pPr>
            <w:r>
              <w:rPr>
                <w:rFonts w:ascii="宋体" w:eastAsia="宋体" w:hAnsi="宋体" w:cs="宋体"/>
                <w:b w:val="0"/>
              </w:rPr>
              <w:t>0.93%</w:t>
            </w:r>
          </w:p>
        </w:tc>
        <w:tc>
          <w:tcPr>
            <w:tcW w:w="0" w:type="dxa"/>
            <w:vAlign w:val="center"/>
          </w:tcPr>
          <w:p>
            <w:pPr>
              <w:spacing w:line="240" w:lineRule="auto"/>
              <w:jc w:val="right"/>
            </w:pPr>
            <w:r>
              <w:rPr>
                <w:rFonts w:ascii="宋体" w:eastAsia="宋体" w:hAnsi="宋体" w:cs="宋体"/>
                <w:b w:val="0"/>
              </w:rPr>
              <w:t>-47.35%</w:t>
            </w:r>
          </w:p>
        </w:tc>
        <w:tc>
          <w:tcPr>
            <w:tcW w:w="0" w:type="dxa"/>
            <w:vAlign w:val="center"/>
          </w:tcPr>
          <w:p>
            <w:pPr>
              <w:spacing w:line="240" w:lineRule="auto"/>
              <w:jc w:val="right"/>
            </w:pPr>
            <w:r>
              <w:rPr>
                <w:rFonts w:ascii="宋体" w:eastAsia="宋体" w:hAnsi="宋体" w:cs="宋体"/>
                <w:b w:val="0"/>
              </w:rPr>
              <w:t>1.28%</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-48.04%</w:t>
            </w:r>
          </w:p>
        </w:tc>
        <w:tc>
          <w:tcPr>
            <w:tcW w:w="0" w:type="dxa"/>
            <w:vAlign w:val="center"/>
          </w:tcPr>
          <w:p>
            <w:pPr>
              <w:spacing w:line="240" w:lineRule="auto"/>
              <w:jc w:val="right"/>
            </w:pPr>
            <w:r>
              <w:rPr>
                <w:rFonts w:ascii="宋体" w:eastAsia="宋体" w:hAnsi="宋体" w:cs="宋体"/>
                <w:b w:val="0"/>
              </w:rPr>
              <w:t>2.18%</w:t>
            </w:r>
          </w:p>
        </w:tc>
        <w:tc>
          <w:tcPr>
            <w:tcW w:w="0" w:type="dxa"/>
            <w:vAlign w:val="center"/>
          </w:tcPr>
          <w:p>
            <w:pPr>
              <w:spacing w:line="240" w:lineRule="auto"/>
              <w:jc w:val="right"/>
            </w:pPr>
            <w:r>
              <w:rPr>
                <w:rFonts w:ascii="宋体" w:eastAsia="宋体" w:hAnsi="宋体" w:cs="宋体"/>
                <w:b w:val="0"/>
              </w:rPr>
              <w:t>-2.27%</w:t>
            </w:r>
          </w:p>
        </w:tc>
        <w:tc>
          <w:tcPr>
            <w:tcW w:w="0" w:type="dxa"/>
            <w:vAlign w:val="center"/>
          </w:tcPr>
          <w:p>
            <w:pPr>
              <w:spacing w:line="240" w:lineRule="auto"/>
              <w:jc w:val="right"/>
            </w:pPr>
            <w:r>
              <w:rPr>
                <w:rFonts w:ascii="宋体" w:eastAsia="宋体" w:hAnsi="宋体" w:cs="宋体"/>
                <w:b w:val="0"/>
              </w:rPr>
              <w:t>0.93%</w:t>
            </w:r>
          </w:p>
        </w:tc>
        <w:tc>
          <w:tcPr>
            <w:tcW w:w="0" w:type="dxa"/>
            <w:vAlign w:val="center"/>
          </w:tcPr>
          <w:p>
            <w:pPr>
              <w:spacing w:line="240" w:lineRule="auto"/>
              <w:jc w:val="right"/>
            </w:pPr>
            <w:r>
              <w:rPr>
                <w:rFonts w:ascii="宋体" w:eastAsia="宋体" w:hAnsi="宋体" w:cs="宋体"/>
                <w:b w:val="0"/>
              </w:rPr>
              <w:t>-45.77%</w:t>
            </w:r>
          </w:p>
        </w:tc>
        <w:tc>
          <w:tcPr>
            <w:tcW w:w="0" w:type="dxa"/>
            <w:vAlign w:val="center"/>
          </w:tcPr>
          <w:p>
            <w:pPr>
              <w:spacing w:line="240" w:lineRule="auto"/>
              <w:jc w:val="right"/>
            </w:pPr>
            <w:r>
              <w:rPr>
                <w:rFonts w:ascii="宋体" w:eastAsia="宋体" w:hAnsi="宋体" w:cs="宋体"/>
                <w:b w:val="0"/>
              </w:rPr>
              <w:t>1.25%</w:t>
            </w:r>
          </w:p>
        </w:tc>
      </w:tr>
    </w:tbl>
    <w:p>
      <w:r>
        <w:rPr>
          <w:rFonts w:ascii="宋体" w:eastAsia="宋体" w:hAnsi="宋体" w:cs="宋体"/>
          <w:b w:val="0"/>
        </w:rPr>
        <w:t>注：本基金业绩比较基准为：中证800指数收益率×80%+中证综合债券指数收益率×20%</w:t>
      </w:r>
    </w:p>
    <w:p/>
    <w:p>
      <w:pPr>
        <w:pStyle w:val="zhangjiep2"/>
      </w:pPr>
      <w:r>
        <w:rPr>
          <w:rStyle w:val="DefaultParagraphFont"/>
          <w:rFonts w:ascii="宋体" w:eastAsia="宋体" w:hAnsi="宋体" w:cs="宋体"/>
          <w:b/>
        </w:rPr>
        <w:t>3.2.2 自基金合同生效以来基金累计净值增长率变动及其与同期业绩比较基准收益率变动的比较</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pPr>
        <w:pStyle w:val="Heading1"/>
        <w:jc w:val="center"/>
      </w:pPr>
      <w:r>
        <w:rPr>
          <w:rFonts w:ascii="宋体" w:eastAsia="宋体" w:hAnsi="宋体" w:cs="宋体"/>
        </w:rPr>
        <w:t>§4 管理人报告</w:t>
      </w:r>
    </w:p>
    <w:p>
      <w:pPr>
        <w:pStyle w:val="Heading2"/>
        <w:jc w:val="left"/>
      </w:pPr>
      <w:r>
        <w:rPr>
          <w:rFonts w:ascii="宋体" w:eastAsia="宋体" w:hAnsi="宋体" w:cs="宋体"/>
        </w:rPr>
        <w:t>4.1 基金经理（或基金经理小组）简介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2" w:type="pct"/>
            <w:vMerge w:val="restart"/>
            <w:shd w:val="clear" w:color="auto" w:fill="D9D9D9"/>
            <w:vAlign w:val="center"/>
          </w:tcPr>
          <w:p>
            <w:pPr>
              <w:spacing w:line="240" w:lineRule="auto"/>
              <w:jc w:val="center"/>
            </w:pPr>
            <w:r>
              <w:rPr>
                <w:rFonts w:ascii="宋体" w:eastAsia="宋体" w:hAnsi="宋体" w:cs="宋体"/>
                <w:b w:val="0"/>
              </w:rPr>
              <w:t>姓名</w:t>
            </w:r>
          </w:p>
        </w:tc>
        <w:tc>
          <w:tcPr>
            <w:tcW w:w="662" w:type="pct"/>
            <w:vMerge w:val="restart"/>
            <w:shd w:val="clear" w:color="auto" w:fill="D9D9D9"/>
            <w:vAlign w:val="center"/>
          </w:tcPr>
          <w:p>
            <w:pPr>
              <w:spacing w:line="240" w:lineRule="auto"/>
              <w:jc w:val="center"/>
            </w:pPr>
            <w:r>
              <w:rPr>
                <w:rFonts w:ascii="宋体" w:eastAsia="宋体" w:hAnsi="宋体" w:cs="宋体"/>
                <w:b w:val="0"/>
              </w:rPr>
              <w:t>职务</w:t>
            </w:r>
          </w:p>
        </w:tc>
        <w:tc>
          <w:tcPr>
            <w:tcW w:w="1615" w:type="pct"/>
            <w:gridSpan w:val="2"/>
            <w:shd w:val="clear" w:color="auto" w:fill="D9D9D9"/>
            <w:vAlign w:val="center"/>
          </w:tcPr>
          <w:p>
            <w:pPr>
              <w:spacing w:line="240" w:lineRule="auto"/>
              <w:jc w:val="center"/>
            </w:pPr>
            <w:r>
              <w:rPr>
                <w:rFonts w:ascii="宋体" w:eastAsia="宋体" w:hAnsi="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eastAsia="宋体" w:hAnsi="宋体" w:cs="宋体"/>
                <w:b w:val="0"/>
              </w:rPr>
              <w:t>证券从业年限</w:t>
            </w:r>
          </w:p>
        </w:tc>
        <w:tc>
          <w:tcPr>
            <w:tcW w:w="1631" w:type="pct"/>
            <w:vMerge w:val="restart"/>
            <w:shd w:val="clear" w:color="auto" w:fill="D9D9D9"/>
            <w:vAlign w:val="center"/>
          </w:tcPr>
          <w:p>
            <w:pPr>
              <w:spacing w:line="240" w:lineRule="auto"/>
              <w:jc w:val="center"/>
            </w:pPr>
            <w:r>
              <w:rPr>
                <w:rFonts w:ascii="宋体" w:eastAsia="宋体" w:hAnsi="宋体" w:cs="宋体"/>
                <w:b w:val="0"/>
              </w:rPr>
              <w:t>说明</w:t>
            </w:r>
          </w:p>
        </w:tc>
      </w:tr>
      <w:tr>
        <w:tblPrEx>
          <w:tblW w:w="5000" w:type="pct"/>
        </w:tblPrEx>
        <w:tc>
          <w:tcPr>
            <w:vMerge/>
          </w:tcPr>
          <w:p/>
        </w:tc>
        <w:tc>
          <w:tcPr>
            <w:vMerge/>
          </w:tcPr>
          <w:p/>
        </w:tc>
        <w:tc>
          <w:tcPr>
            <w:tcW w:w="808" w:type="pct"/>
            <w:shd w:val="clear" w:color="auto" w:fill="D9D9D9"/>
            <w:vAlign w:val="center"/>
          </w:tcPr>
          <w:p>
            <w:pPr>
              <w:spacing w:line="240" w:lineRule="auto"/>
              <w:jc w:val="center"/>
            </w:pPr>
            <w:r>
              <w:rPr>
                <w:rFonts w:ascii="宋体" w:eastAsia="宋体" w:hAnsi="宋体" w:cs="宋体"/>
                <w:b w:val="0"/>
              </w:rPr>
              <w:t>任职日期</w:t>
            </w:r>
          </w:p>
        </w:tc>
        <w:tc>
          <w:tcPr>
            <w:tcW w:w="808" w:type="pct"/>
            <w:shd w:val="clear" w:color="auto" w:fill="D9D9D9"/>
            <w:vAlign w:val="center"/>
          </w:tcPr>
          <w:p>
            <w:pPr>
              <w:spacing w:line="240" w:lineRule="auto"/>
              <w:jc w:val="center"/>
            </w:pPr>
            <w:r>
              <w:rPr>
                <w:rFonts w:ascii="宋体" w:eastAsia="宋体" w:hAnsi="宋体" w:cs="宋体"/>
                <w:b w:val="0"/>
              </w:rPr>
              <w:t>离任日期</w:t>
            </w:r>
          </w:p>
        </w:tc>
        <w:tc>
          <w:tcPr>
            <w:vMerge/>
          </w:tcPr>
          <w:p/>
        </w:tc>
        <w:tc>
          <w:tcPr>
            <w:vMerge/>
          </w:tcPr>
          <w:p/>
        </w:tc>
      </w:tr>
      <w:tr>
        <w:tblPrEx>
          <w:tblW w:w="5000" w:type="pct"/>
        </w:tblPrEx>
        <w:tc>
          <w:tcPr>
            <w:tcW w:w="0" w:type="dxa"/>
            <w:vAlign w:val="center"/>
          </w:tcPr>
          <w:p>
            <w:pPr>
              <w:spacing w:line="240" w:lineRule="auto"/>
              <w:jc w:val="left"/>
            </w:pPr>
            <w:r>
              <w:rPr>
                <w:rFonts w:ascii="宋体" w:eastAsia="宋体" w:hAnsi="宋体" w:cs="宋体"/>
                <w:b w:val="0"/>
              </w:rPr>
              <w:t>周谧</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2025-07-01</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16年</w:t>
            </w:r>
          </w:p>
        </w:tc>
        <w:tc>
          <w:tcPr>
            <w:tcW w:w="0" w:type="dxa"/>
            <w:vAlign w:val="center"/>
          </w:tcPr>
          <w:p>
            <w:pPr>
              <w:spacing w:line="240" w:lineRule="auto"/>
              <w:jc w:val="left"/>
            </w:pPr>
            <w:r>
              <w:rPr>
                <w:rFonts w:ascii="宋体" w:eastAsia="宋体" w:hAnsi="宋体" w:cs="宋体"/>
                <w:b w:val="0"/>
              </w:rPr>
              <w:t>周谧先生，中国人民大学应用数学硕士。2008年9月起历任中再资产管理股份有限公司金融工程分析师、平安证券有限责任公司高级量化分析师、国金创新投资有限公司投资经理、深圳铸成投资有限公司投资部副总监、财信证券有限责任公司投资经理、金信基金管理有限公司基金经理。2022年10月加入东方阿尔法基金管理有限公司，现任东方阿尔法基金管理有限公司基金经理。</w:t>
            </w:r>
          </w:p>
        </w:tc>
      </w:tr>
    </w:tbl>
    <w:p>
      <w:r>
        <w:rPr>
          <w:rFonts w:ascii="宋体" w:eastAsia="宋体" w:hAnsi="宋体" w:cs="宋体"/>
          <w:b w:val="0"/>
        </w:rPr>
        <w:t>注：1.对基金的首任基金经理，其"任职日期"为基金合同生效日，"离任日期"为根据公告确定的解聘日期；对此后的非首任基金经理，"任职日期"和"离任日期"分别指公告确定的任职日期和离任日期。</w:t>
        <w:br/>
      </w:r>
      <w:r>
        <w:rPr>
          <w:rFonts w:ascii="宋体" w:eastAsia="宋体" w:hAnsi="宋体" w:cs="宋体"/>
          <w:b w:val="0"/>
        </w:rPr>
        <w:t>2.证券从业的含义遵从《证券基金经营机构董事、监事、高级管理人员及从业人员监督管理办法》的相关规定。</w:t>
      </w:r>
    </w:p>
    <w:p/>
    <w:p>
      <w:pPr>
        <w:pStyle w:val="zhangjiep2"/>
      </w:pPr>
      <w:r>
        <w:rPr>
          <w:rStyle w:val="DefaultParagraphFont"/>
          <w:rFonts w:ascii="宋体" w:eastAsia="宋体" w:hAnsi="宋体" w:cs="宋体"/>
          <w:b/>
        </w:rPr>
        <w:t>4.1.1 期末兼任私募资产管理计划投资经理的基金经理同时管理的产品情况</w:t>
      </w:r>
    </w:p>
    <w:p>
      <w:r>
        <w:rPr>
          <w:rFonts w:ascii="宋体" w:eastAsia="宋体" w:hAnsi="宋体" w:cs="宋体"/>
          <w:b w:val="0"/>
        </w:rPr>
        <w:t xml:space="preserve">    本基金基金经理不存在兼任私募资产管理计划的投资经理的情况。</w:t>
      </w:r>
    </w:p>
    <w:p/>
    <w:p>
      <w:pPr>
        <w:pStyle w:val="Heading2"/>
        <w:jc w:val="left"/>
      </w:pPr>
      <w:r>
        <w:rPr>
          <w:rFonts w:ascii="宋体" w:eastAsia="宋体" w:hAnsi="宋体" w:cs="宋体"/>
        </w:rPr>
        <w:t>4.2 管理人对报告期内本基金运作遵规守信情况的说明</w:t>
      </w:r>
    </w:p>
    <w:p>
      <w:r>
        <w:rPr>
          <w:rFonts w:ascii="宋体" w:eastAsia="宋体" w:hAnsi="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Heading2"/>
        <w:jc w:val="left"/>
      </w:pPr>
      <w:r>
        <w:rPr>
          <w:rFonts w:ascii="宋体" w:eastAsia="宋体" w:hAnsi="宋体" w:cs="宋体"/>
        </w:rPr>
        <w:t>4.3 公平交易专项说明</w:t>
      </w:r>
    </w:p>
    <w:p>
      <w:pPr>
        <w:pStyle w:val="zhangjiep2"/>
      </w:pPr>
      <w:r>
        <w:rPr>
          <w:rStyle w:val="DefaultParagraphFont"/>
          <w:rFonts w:ascii="宋体" w:eastAsia="宋体" w:hAnsi="宋体" w:cs="宋体"/>
          <w:b/>
        </w:rPr>
        <w:t>4.3.1 公平交易制度的执行情况</w:t>
      </w:r>
    </w:p>
    <w:p>
      <w:r>
        <w:rPr>
          <w:rFonts w:ascii="宋体" w:eastAsia="宋体" w:hAnsi="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br/>
      </w:r>
      <w:r>
        <w:rPr>
          <w:rFonts w:ascii="宋体" w:eastAsia="宋体" w:hAnsi="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zhangjiep2"/>
      </w:pPr>
      <w:r>
        <w:rPr>
          <w:rStyle w:val="DefaultParagraphFont"/>
          <w:rFonts w:ascii="宋体" w:eastAsia="宋体" w:hAnsi="宋体" w:cs="宋体"/>
          <w:b/>
        </w:rPr>
        <w:t>4.3.2 异常交易行为的专项说明</w:t>
      </w:r>
    </w:p>
    <w:p>
      <w:r>
        <w:rPr>
          <w:rFonts w:ascii="宋体" w:eastAsia="宋体" w:hAnsi="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Heading2"/>
        <w:jc w:val="left"/>
      </w:pPr>
      <w:r>
        <w:rPr>
          <w:rFonts w:ascii="宋体" w:eastAsia="宋体" w:hAnsi="宋体" w:cs="宋体"/>
        </w:rPr>
        <w:t>4.4 报告期内基金的投资策略和运作分析</w:t>
      </w:r>
    </w:p>
    <w:p>
      <w:r>
        <w:rPr>
          <w:rFonts w:ascii="宋体" w:eastAsia="宋体" w:hAnsi="宋体" w:cs="宋体"/>
          <w:b w:val="0"/>
        </w:rPr>
        <w:t xml:space="preserve">    进入2026年三季度，国内经济延续结构性分化格局，内需修复节奏偏弱，AI硬件、高端制造维持高景气，传统制造业盈利修复节奏不及预期。货币政策维持稳健，财政政策持续托底实体经济，但政策传导效果边际放缓。海外层面，中东地缘冲突持续扰动能源价格，美联储降息节奏反复，全球权益市场波动放大；欧洲贸易保护政策持续加码，海外市场对国内新能源产品的贸易壁垒有所抬升，外部不确定性显著增加。</w:t>
        <w:br/>
      </w:r>
      <w:r>
        <w:rPr>
          <w:rFonts w:ascii="宋体" w:eastAsia="宋体" w:hAnsi="宋体" w:cs="宋体"/>
          <w:b w:val="0"/>
        </w:rPr>
        <w:t xml:space="preserve">    锂电产业链，在三季度遭遇多重现实扰动。9 月起电池消费税正式落地实施，传统锂离子电池开始征收消费税，行业告别普惠式政策扶持，进入扶优汰劣阶段；市场开始充分定价后续出口退税退坡预期，中长期挤压锂电出口产业链利润空间。供给端上游锂资源新增产能持续释放，碳酸锂价格自二季度高点显著回落，上游格局趋于恶化，价格波动加大，产业链盈利预期被反复修正。虽然储能订单依旧饱满，但国内新能源车消费偏弱，叠加海外贸易风险、税收政策变化，市场风险偏好下行，锂电板块整体迎来明显调整。</w:t>
        <w:br/>
      </w:r>
      <w:r>
        <w:rPr>
          <w:rFonts w:ascii="宋体" w:eastAsia="宋体" w:hAnsi="宋体" w:cs="宋体"/>
          <w:b w:val="0"/>
        </w:rPr>
        <w:t xml:space="preserve">    本基金侧重在科技行业和高端制造行业中寻找景气度改善的行业进行配置。基于产业调研情况，在二季度重点布局锂电铜箔及铜箔设备产业链，核心看好加工费上行周期叠加AI电子铜箔带来第二增长曲线的逻辑。进入三季度，单纯依靠量价修复的传统锂电环节，未来盈利不确定性在提升，行业景气度开始出现回落。而本基金又发现了一些新兴的行业随着AI设备的升级，景气度发现了较大变化。特别是磷化铟、薄膜铌酸锂、空心光纤、超快激光等方向。磷化铟作为高速光芯片核心衬底材料，伴随1.6T、3.2T光模块迭代，AI算力集群光互联需求爆发，行业供需缺口持续拉大，扩产周期长，是 AI 光通信产业链的关键卡脖子环节；薄膜铌酸锂具备超高带宽、低功耗优势，适配下一代高速光模块、CPO架构，是算力网络升级的核心材料，产业逐步从实验室走向规模化量产阶段新华网；空心光纤以空气作为传输介质，具备低时延、低色散特性，适配大规模AI算力集群内部高速互联，能够解决传统光纤的物理瓶颈，未来在超算、数据中心场景具备广阔应用前景新华网；超快激光在先进封装、光器件加工、新一代电池制备领域渗透率持续提升，同时受益于AI硬件、先进制造双重需求拉动，属于跨板块的通用高端设备平台。</w:t>
        <w:br/>
      </w:r>
      <w:r>
        <w:rPr>
          <w:rFonts w:ascii="宋体" w:eastAsia="宋体" w:hAnsi="宋体" w:cs="宋体"/>
          <w:b w:val="0"/>
        </w:rPr>
        <w:t xml:space="preserve">    展望2026年四季度，宏观层面国内稳增长政策有望持续发力，但内需修复仍需要时间。海外美联储政策、地缘冲突、海外贸易政策依旧是主要的不确定性来源。市场会继续分化，传统制造更多博弈需求与政策，而科技创新方向将由产业兑现度主导行情。</w:t>
        <w:br/>
      </w:r>
      <w:r>
        <w:rPr>
          <w:rFonts w:ascii="宋体" w:eastAsia="宋体" w:hAnsi="宋体" w:cs="宋体"/>
          <w:b w:val="0"/>
        </w:rPr>
        <w:t xml:space="preserve">    在AI硬科技方向，四季度我们重点关注技术迭代带来的订单落地拐点。磷化铟关注衬底国产厂商良率爬坡与头部客户订单落地节奏；薄膜铌酸锂重点跟踪调制器从送样到小规模量产的进展；空心光纤关注AI超算集群的测试与导入进度；超快激光看下游AI硬件、新型电池领域设备订单的释放。上述板块都处在技术突破的关键节点，四季度的产业验证将直接决定未来2-3年行业成长空间。</w:t>
        <w:br/>
      </w:r>
      <w:r>
        <w:rPr>
          <w:rFonts w:ascii="宋体" w:eastAsia="宋体" w:hAnsi="宋体" w:cs="宋体"/>
          <w:b w:val="0"/>
        </w:rPr>
        <w:t xml:space="preserve">    整体来看，本基金四季度将继续践行聚焦新质生产力的投资思路，一边持续深耕 AI 下一代硬科技，把握技术从0-1突破带来的投资机遇；另一边保留锂电内部新技术板块的跟踪关注，力争为投资者捕捉科技产业升级的成长利。</w:t>
      </w:r>
    </w:p>
    <w:p/>
    <w:p>
      <w:pPr>
        <w:pStyle w:val="Heading2"/>
        <w:jc w:val="left"/>
      </w:pPr>
      <w:r>
        <w:rPr>
          <w:rFonts w:ascii="宋体" w:eastAsia="宋体" w:hAnsi="宋体" w:cs="宋体"/>
        </w:rPr>
        <w:t>4.5 报告期内基金的业绩表现</w:t>
      </w:r>
    </w:p>
    <w:p>
      <w:r>
        <w:rPr>
          <w:rFonts w:ascii="宋体" w:eastAsia="宋体" w:hAnsi="宋体" w:cs="宋体"/>
          <w:b w:val="0"/>
        </w:rPr>
        <w:t xml:space="preserve">    截至报告期末东方阿尔法产业先锋混合A基金份额净值为0.5333元，本报告期内，该类基金份额净值增长率为-28.76%，同期业绩比较基准收益率为-11.05%；截至报告期末东方阿尔法产业先锋混合C基金份额净值为0.5196元，本报告期内，该类基金份额净值增长率为-28.85%，同期业绩比较基准收益率为-11.05%。</w:t>
      </w:r>
    </w:p>
    <w:p/>
    <w:p>
      <w:pPr>
        <w:pStyle w:val="Heading2"/>
        <w:jc w:val="left"/>
      </w:pPr>
      <w:r>
        <w:rPr>
          <w:rFonts w:ascii="宋体" w:eastAsia="宋体" w:hAnsi="宋体" w:cs="宋体"/>
        </w:rPr>
        <w:t>4.6 报告期内基金持有人数或基金资产净值预警说明</w:t>
      </w:r>
    </w:p>
    <w:p>
      <w:r>
        <w:rPr>
          <w:rFonts w:ascii="宋体" w:eastAsia="宋体" w:hAnsi="宋体" w:cs="宋体"/>
          <w:b w:val="0"/>
        </w:rPr>
        <w:t xml:space="preserve">    本报告期内，本基金未出现连续20个工作日基金份额持有人数量不满200人或者基金资产净值低于5000万的情形。</w:t>
      </w:r>
    </w:p>
    <w:p>
      <w:pPr>
        <w:pStyle w:val="Heading1"/>
        <w:jc w:val="center"/>
      </w:pPr>
      <w:r>
        <w:rPr>
          <w:rFonts w:ascii="宋体" w:eastAsia="宋体" w:hAnsi="宋体" w:cs="宋体"/>
        </w:rPr>
        <w:t>§5 投资组合报告</w:t>
      </w:r>
    </w:p>
    <w:p>
      <w:pPr>
        <w:pStyle w:val="Heading2"/>
        <w:jc w:val="left"/>
      </w:pPr>
      <w:r>
        <w:rPr>
          <w:rFonts w:ascii="宋体" w:eastAsia="宋体" w:hAnsi="宋体" w:cs="宋体"/>
        </w:rPr>
        <w:t>5.1 报告期末基金资产组合情况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2"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项目</w:t>
            </w:r>
          </w:p>
        </w:tc>
        <w:tc>
          <w:tcPr>
            <w:tcW w:w="1538" w:type="pct"/>
            <w:shd w:val="clear" w:color="auto" w:fill="D9D9D9"/>
            <w:vAlign w:val="center"/>
          </w:tcPr>
          <w:p>
            <w:pPr>
              <w:spacing w:line="240" w:lineRule="auto"/>
              <w:jc w:val="center"/>
            </w:pPr>
            <w:r>
              <w:rPr>
                <w:rFonts w:ascii="宋体" w:eastAsia="宋体" w:hAnsi="宋体" w:cs="宋体"/>
                <w:b w:val="0"/>
              </w:rPr>
              <w:t>金额(元)</w:t>
            </w:r>
          </w:p>
        </w:tc>
        <w:tc>
          <w:tcPr>
            <w:tcW w:w="1538" w:type="pct"/>
            <w:shd w:val="clear" w:color="auto" w:fill="D9D9D9"/>
            <w:vAlign w:val="center"/>
          </w:tcPr>
          <w:p>
            <w:pPr>
              <w:spacing w:line="240" w:lineRule="auto"/>
              <w:jc w:val="center"/>
            </w:pPr>
            <w:r>
              <w:rPr>
                <w:rFonts w:ascii="宋体" w:eastAsia="宋体" w:hAnsi="宋体" w:cs="宋体"/>
                <w:b w:val="0"/>
              </w:rPr>
              <w:t>占基金总资产的比例（%）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权益投资</w:t>
            </w:r>
          </w:p>
        </w:tc>
        <w:tc>
          <w:tcPr>
            <w:tcW w:w="0" w:type="dxa"/>
            <w:vAlign w:val="center"/>
          </w:tcPr>
          <w:p>
            <w:pPr>
              <w:spacing w:line="240" w:lineRule="auto"/>
              <w:jc w:val="right"/>
            </w:pPr>
            <w:r>
              <w:rPr>
                <w:rFonts w:ascii="宋体" w:eastAsia="宋体" w:hAnsi="宋体" w:cs="宋体"/>
                <w:b w:val="0"/>
              </w:rPr>
              <w:t>629,012,025.68</w:t>
            </w:r>
          </w:p>
        </w:tc>
        <w:tc>
          <w:tcPr>
            <w:tcW w:w="0" w:type="dxa"/>
            <w:vAlign w:val="center"/>
          </w:tcPr>
          <w:p>
            <w:pPr>
              <w:spacing w:line="240" w:lineRule="auto"/>
              <w:jc w:val="right"/>
            </w:pPr>
            <w:r>
              <w:rPr>
                <w:rFonts w:ascii="宋体" w:eastAsia="宋体" w:hAnsi="宋体" w:cs="宋体"/>
                <w:b w:val="0"/>
              </w:rPr>
              <w:t>89.03</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其中：股票</w:t>
            </w:r>
          </w:p>
        </w:tc>
        <w:tc>
          <w:tcPr>
            <w:tcW w:w="0" w:type="dxa"/>
            <w:vAlign w:val="center"/>
          </w:tcPr>
          <w:p>
            <w:pPr>
              <w:spacing w:line="240" w:lineRule="auto"/>
              <w:jc w:val="right"/>
            </w:pPr>
            <w:r>
              <w:rPr>
                <w:rFonts w:ascii="宋体" w:eastAsia="宋体" w:hAnsi="宋体" w:cs="宋体"/>
                <w:b w:val="0"/>
              </w:rPr>
              <w:t>629,012,025.68</w:t>
            </w:r>
          </w:p>
        </w:tc>
        <w:tc>
          <w:tcPr>
            <w:tcW w:w="0" w:type="dxa"/>
            <w:vAlign w:val="center"/>
          </w:tcPr>
          <w:p>
            <w:pPr>
              <w:spacing w:line="240" w:lineRule="auto"/>
              <w:jc w:val="right"/>
            </w:pPr>
            <w:r>
              <w:rPr>
                <w:rFonts w:ascii="宋体" w:eastAsia="宋体" w:hAnsi="宋体" w:cs="宋体"/>
                <w:b w:val="0"/>
              </w:rPr>
              <w:t>89.03</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基金投资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固定收益投资</w:t>
            </w:r>
          </w:p>
        </w:tc>
        <w:tc>
          <w:tcPr>
            <w:tcW w:w="0" w:type="dxa"/>
            <w:vAlign w:val="center"/>
          </w:tcPr>
          <w:p>
            <w:pPr>
              <w:spacing w:line="240" w:lineRule="auto"/>
              <w:jc w:val="right"/>
            </w:pPr>
            <w:r>
              <w:rPr>
                <w:rFonts w:ascii="宋体" w:eastAsia="宋体" w:hAnsi="宋体" w:cs="宋体"/>
                <w:b w:val="0"/>
              </w:rPr>
              <w:t>44,686,661.06</w:t>
            </w:r>
          </w:p>
        </w:tc>
        <w:tc>
          <w:tcPr>
            <w:tcW w:w="0" w:type="dxa"/>
            <w:vAlign w:val="center"/>
          </w:tcPr>
          <w:p>
            <w:pPr>
              <w:spacing w:line="240" w:lineRule="auto"/>
              <w:jc w:val="right"/>
            </w:pPr>
            <w:r>
              <w:rPr>
                <w:rFonts w:ascii="宋体" w:eastAsia="宋体" w:hAnsi="宋体" w:cs="宋体"/>
                <w:b w:val="0"/>
              </w:rPr>
              <w:t>6.32</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其中：债券</w:t>
            </w:r>
          </w:p>
        </w:tc>
        <w:tc>
          <w:tcPr>
            <w:tcW w:w="0" w:type="dxa"/>
            <w:vAlign w:val="center"/>
          </w:tcPr>
          <w:p>
            <w:pPr>
              <w:spacing w:line="240" w:lineRule="auto"/>
              <w:jc w:val="right"/>
            </w:pPr>
            <w:r>
              <w:rPr>
                <w:rFonts w:ascii="宋体" w:eastAsia="宋体" w:hAnsi="宋体" w:cs="宋体"/>
                <w:b w:val="0"/>
              </w:rPr>
              <w:t>44,686,661.06</w:t>
            </w:r>
          </w:p>
        </w:tc>
        <w:tc>
          <w:tcPr>
            <w:tcW w:w="0" w:type="dxa"/>
            <w:vAlign w:val="center"/>
          </w:tcPr>
          <w:p>
            <w:pPr>
              <w:spacing w:line="240" w:lineRule="auto"/>
              <w:jc w:val="right"/>
            </w:pPr>
            <w:r>
              <w:rPr>
                <w:rFonts w:ascii="宋体" w:eastAsia="宋体" w:hAnsi="宋体" w:cs="宋体"/>
                <w:b w:val="0"/>
              </w:rPr>
              <w:t>6.32</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 xml:space="preserve">      资产支持证券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pPr>
            <w:r>
              <w:rPr>
                <w:rFonts w:ascii="宋体" w:eastAsia="宋体" w:hAnsi="宋体" w:cs="宋体"/>
                <w:b w:val="0"/>
              </w:rPr>
              <w:t>贵金属投资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金融衍生品投资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其中：买断式回购的买入返售金融资产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银行存款和结算备付金合计</w:t>
            </w:r>
          </w:p>
        </w:tc>
        <w:tc>
          <w:tcPr>
            <w:tcW w:w="0" w:type="dxa"/>
            <w:vAlign w:val="center"/>
          </w:tcPr>
          <w:p>
            <w:pPr>
              <w:spacing w:line="240" w:lineRule="auto"/>
              <w:jc w:val="right"/>
            </w:pPr>
            <w:r>
              <w:rPr>
                <w:rFonts w:ascii="宋体" w:eastAsia="宋体" w:hAnsi="宋体" w:cs="宋体"/>
                <w:b w:val="0"/>
              </w:rPr>
              <w:t>31,299,326.60</w:t>
            </w:r>
          </w:p>
        </w:tc>
        <w:tc>
          <w:tcPr>
            <w:tcW w:w="0" w:type="dxa"/>
            <w:vAlign w:val="center"/>
          </w:tcPr>
          <w:p>
            <w:pPr>
              <w:spacing w:line="240" w:lineRule="auto"/>
              <w:jc w:val="right"/>
            </w:pPr>
            <w:r>
              <w:rPr>
                <w:rFonts w:ascii="宋体" w:eastAsia="宋体" w:hAnsi="宋体" w:cs="宋体"/>
                <w:b w:val="0"/>
              </w:rPr>
              <w:t>4.43</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其他资产</w:t>
            </w:r>
          </w:p>
        </w:tc>
        <w:tc>
          <w:tcPr>
            <w:tcW w:w="0" w:type="dxa"/>
            <w:vAlign w:val="center"/>
          </w:tcPr>
          <w:p>
            <w:pPr>
              <w:spacing w:line="240" w:lineRule="auto"/>
              <w:jc w:val="right"/>
            </w:pPr>
            <w:r>
              <w:rPr>
                <w:rFonts w:ascii="宋体" w:eastAsia="宋体" w:hAnsi="宋体" w:cs="宋体"/>
                <w:b w:val="0"/>
              </w:rPr>
              <w:t>1,526,654.54</w:t>
            </w:r>
          </w:p>
        </w:tc>
        <w:tc>
          <w:tcPr>
            <w:tcW w:w="0" w:type="dxa"/>
            <w:vAlign w:val="center"/>
          </w:tcPr>
          <w:p>
            <w:pPr>
              <w:spacing w:line="240" w:lineRule="auto"/>
              <w:jc w:val="right"/>
            </w:pPr>
            <w:r>
              <w:rPr>
                <w:rFonts w:ascii="宋体" w:eastAsia="宋体" w:hAnsi="宋体" w:cs="宋体"/>
                <w:b w:val="0"/>
              </w:rPr>
              <w:t>0.22</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706,524,667.88</w:t>
            </w:r>
          </w:p>
        </w:tc>
        <w:tc>
          <w:tcPr>
            <w:tcW w:w="0" w:type="dxa"/>
            <w:vAlign w:val="center"/>
          </w:tcPr>
          <w:p>
            <w:pPr>
              <w:spacing w:line="240" w:lineRule="auto"/>
              <w:jc w:val="right"/>
            </w:pPr>
            <w:r>
              <w:rPr>
                <w:rFonts w:ascii="宋体" w:eastAsia="宋体" w:hAnsi="宋体" w:cs="宋体"/>
                <w:b w:val="0"/>
              </w:rPr>
              <w:t>100.00</w:t>
            </w:r>
          </w:p>
        </w:tc>
      </w:tr>
    </w:tbl>
    <w:p/>
    <w:p>
      <w:pPr>
        <w:pStyle w:val="Heading2"/>
        <w:jc w:val="left"/>
      </w:pPr>
      <w:r>
        <w:rPr>
          <w:rFonts w:ascii="宋体" w:eastAsia="宋体" w:hAnsi="宋体" w:cs="宋体"/>
        </w:rPr>
        <w:t>5.2 报告期末按行业分类的股票投资组合</w:t>
      </w:r>
    </w:p>
    <w:p>
      <w:pPr>
        <w:pStyle w:val="zhangjiep2"/>
      </w:pPr>
      <w:r>
        <w:rPr>
          <w:rStyle w:val="DefaultParagraphFont"/>
          <w:rFonts w:ascii="宋体" w:eastAsia="宋体" w:hAnsi="宋体" w:cs="宋体"/>
          <w:b/>
        </w:rPr>
        <w:t>5.2.1 报告期末按行业分类的境内股票投资组合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代码</w:t>
            </w:r>
          </w:p>
        </w:tc>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A</w:t>
            </w:r>
          </w:p>
        </w:tc>
        <w:tc>
          <w:tcPr>
            <w:tcW w:w="0" w:type="dxa"/>
            <w:vAlign w:val="center"/>
          </w:tcPr>
          <w:p>
            <w:pPr>
              <w:spacing w:line="240" w:lineRule="auto"/>
              <w:jc w:val="left"/>
            </w:pPr>
            <w:r>
              <w:rPr>
                <w:rFonts w:ascii="宋体" w:eastAsia="宋体" w:hAnsi="宋体" w:cs="宋体"/>
                <w:b w:val="0"/>
              </w:rPr>
              <w:t>农、林、牧、渔业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B</w:t>
            </w:r>
          </w:p>
        </w:tc>
        <w:tc>
          <w:tcPr>
            <w:tcW w:w="0" w:type="dxa"/>
            <w:vAlign w:val="center"/>
          </w:tcPr>
          <w:p>
            <w:pPr>
              <w:spacing w:line="240" w:lineRule="auto"/>
              <w:jc w:val="left"/>
            </w:pPr>
            <w:r>
              <w:rPr>
                <w:rFonts w:ascii="宋体" w:eastAsia="宋体" w:hAnsi="宋体" w:cs="宋体"/>
                <w:b w:val="0"/>
              </w:rPr>
              <w:t>采矿业</w:t>
            </w:r>
          </w:p>
        </w:tc>
        <w:tc>
          <w:tcPr>
            <w:tcW w:w="0" w:type="dxa"/>
            <w:vAlign w:val="center"/>
          </w:tcPr>
          <w:p>
            <w:pPr>
              <w:spacing w:line="240" w:lineRule="auto"/>
              <w:jc w:val="right"/>
            </w:pPr>
            <w:r>
              <w:rPr>
                <w:rFonts w:ascii="宋体" w:eastAsia="宋体" w:hAnsi="宋体" w:cs="宋体"/>
                <w:b w:val="0"/>
              </w:rPr>
              <w:t>579,209.40</w:t>
            </w:r>
          </w:p>
        </w:tc>
        <w:tc>
          <w:tcPr>
            <w:tcW w:w="0" w:type="dxa"/>
            <w:vAlign w:val="center"/>
          </w:tcPr>
          <w:p>
            <w:pPr>
              <w:spacing w:line="240" w:lineRule="auto"/>
              <w:jc w:val="right"/>
            </w:pPr>
            <w:r>
              <w:rPr>
                <w:rFonts w:ascii="宋体" w:eastAsia="宋体" w:hAnsi="宋体" w:cs="宋体"/>
                <w:b w:val="0"/>
              </w:rPr>
              <w:t>0.08</w:t>
            </w:r>
          </w:p>
        </w:tc>
      </w:tr>
      <w:tr>
        <w:tblPrEx>
          <w:tblW w:w="5000" w:type="pct"/>
        </w:tblPrEx>
        <w:tc>
          <w:tcPr>
            <w:tcW w:w="0" w:type="dxa"/>
            <w:vAlign w:val="center"/>
          </w:tcPr>
          <w:p>
            <w:pPr>
              <w:spacing w:line="240" w:lineRule="auto"/>
              <w:jc w:val="center"/>
            </w:pPr>
            <w:r>
              <w:rPr>
                <w:rFonts w:ascii="宋体" w:eastAsia="宋体" w:hAnsi="宋体" w:cs="宋体"/>
                <w:b w:val="0"/>
              </w:rPr>
              <w:t>C</w:t>
            </w:r>
          </w:p>
        </w:tc>
        <w:tc>
          <w:tcPr>
            <w:tcW w:w="0" w:type="dxa"/>
            <w:vAlign w:val="center"/>
          </w:tcPr>
          <w:p>
            <w:pPr>
              <w:spacing w:line="240" w:lineRule="auto"/>
              <w:jc w:val="left"/>
            </w:pPr>
            <w:r>
              <w:rPr>
                <w:rFonts w:ascii="宋体" w:eastAsia="宋体" w:hAnsi="宋体" w:cs="宋体"/>
                <w:b w:val="0"/>
              </w:rPr>
              <w:t>制造业</w:t>
            </w:r>
          </w:p>
        </w:tc>
        <w:tc>
          <w:tcPr>
            <w:tcW w:w="0" w:type="dxa"/>
            <w:vAlign w:val="center"/>
          </w:tcPr>
          <w:p>
            <w:pPr>
              <w:spacing w:line="240" w:lineRule="auto"/>
              <w:jc w:val="right"/>
            </w:pPr>
            <w:r>
              <w:rPr>
                <w:rFonts w:ascii="宋体" w:eastAsia="宋体" w:hAnsi="宋体" w:cs="宋体"/>
                <w:b w:val="0"/>
              </w:rPr>
              <w:t>627,568,790.09</w:t>
            </w:r>
          </w:p>
        </w:tc>
        <w:tc>
          <w:tcPr>
            <w:tcW w:w="0" w:type="dxa"/>
            <w:vAlign w:val="center"/>
          </w:tcPr>
          <w:p>
            <w:pPr>
              <w:spacing w:line="240" w:lineRule="auto"/>
              <w:jc w:val="right"/>
            </w:pPr>
            <w:r>
              <w:rPr>
                <w:rFonts w:ascii="宋体" w:eastAsia="宋体" w:hAnsi="宋体" w:cs="宋体"/>
                <w:b w:val="0"/>
              </w:rPr>
              <w:t>89.04</w:t>
            </w:r>
          </w:p>
        </w:tc>
      </w:tr>
      <w:tr>
        <w:tblPrEx>
          <w:tblW w:w="5000" w:type="pct"/>
        </w:tblPrEx>
        <w:tc>
          <w:tcPr>
            <w:tcW w:w="0" w:type="dxa"/>
            <w:vAlign w:val="center"/>
          </w:tcPr>
          <w:p>
            <w:pPr>
              <w:spacing w:line="240" w:lineRule="auto"/>
              <w:jc w:val="center"/>
            </w:pPr>
            <w:r>
              <w:rPr>
                <w:rFonts w:ascii="宋体" w:eastAsia="宋体" w:hAnsi="宋体" w:cs="宋体"/>
                <w:b w:val="0"/>
              </w:rPr>
              <w:t>D</w:t>
            </w:r>
          </w:p>
        </w:tc>
        <w:tc>
          <w:tcPr>
            <w:tcW w:w="0" w:type="dxa"/>
            <w:vAlign w:val="center"/>
          </w:tcPr>
          <w:p>
            <w:pPr>
              <w:spacing w:line="240" w:lineRule="auto"/>
              <w:jc w:val="left"/>
            </w:pPr>
            <w:r>
              <w:rPr>
                <w:rFonts w:ascii="宋体" w:eastAsia="宋体" w:hAnsi="宋体" w:cs="宋体"/>
                <w:b w:val="0"/>
              </w:rPr>
              <w:t>电力、热力、燃气及水生产和供应业</w:t>
            </w:r>
          </w:p>
        </w:tc>
        <w:tc>
          <w:tcPr>
            <w:tcW w:w="0" w:type="dxa"/>
            <w:vAlign w:val="center"/>
          </w:tcPr>
          <w:p>
            <w:pPr>
              <w:spacing w:line="240" w:lineRule="auto"/>
              <w:jc w:val="right"/>
            </w:pPr>
            <w:r>
              <w:rPr>
                <w:rFonts w:ascii="宋体" w:eastAsia="宋体" w:hAnsi="宋体" w:cs="宋体"/>
                <w:b w:val="0"/>
              </w:rPr>
              <w:t>298,030.06</w:t>
            </w:r>
          </w:p>
        </w:tc>
        <w:tc>
          <w:tcPr>
            <w:tcW w:w="0" w:type="dxa"/>
            <w:vAlign w:val="center"/>
          </w:tcPr>
          <w:p>
            <w:pPr>
              <w:spacing w:line="240" w:lineRule="auto"/>
              <w:jc w:val="right"/>
            </w:pPr>
            <w:r>
              <w:rPr>
                <w:rFonts w:ascii="宋体" w:eastAsia="宋体" w:hAnsi="宋体" w:cs="宋体"/>
                <w:b w:val="0"/>
              </w:rPr>
              <w:t>0.04</w:t>
            </w:r>
          </w:p>
        </w:tc>
      </w:tr>
      <w:tr>
        <w:tblPrEx>
          <w:tblW w:w="5000" w:type="pct"/>
        </w:tblPrEx>
        <w:tc>
          <w:tcPr>
            <w:tcW w:w="0" w:type="dxa"/>
            <w:vAlign w:val="center"/>
          </w:tcPr>
          <w:p>
            <w:pPr>
              <w:spacing w:line="240" w:lineRule="auto"/>
              <w:jc w:val="center"/>
            </w:pPr>
            <w:r>
              <w:rPr>
                <w:rFonts w:ascii="宋体" w:eastAsia="宋体" w:hAnsi="宋体" w:cs="宋体"/>
                <w:b w:val="0"/>
              </w:rPr>
              <w:t>E</w:t>
            </w:r>
          </w:p>
        </w:tc>
        <w:tc>
          <w:tcPr>
            <w:tcW w:w="0" w:type="dxa"/>
            <w:vAlign w:val="center"/>
          </w:tcPr>
          <w:p>
            <w:pPr>
              <w:spacing w:line="240" w:lineRule="auto"/>
              <w:jc w:val="left"/>
            </w:pPr>
            <w:r>
              <w:rPr>
                <w:rFonts w:ascii="宋体" w:eastAsia="宋体" w:hAnsi="宋体" w:cs="宋体"/>
                <w:b w:val="0"/>
              </w:rPr>
              <w:t>建筑业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F</w:t>
            </w:r>
          </w:p>
        </w:tc>
        <w:tc>
          <w:tcPr>
            <w:tcW w:w="0" w:type="dxa"/>
            <w:vAlign w:val="center"/>
          </w:tcPr>
          <w:p>
            <w:pPr>
              <w:spacing w:line="240" w:lineRule="auto"/>
              <w:jc w:val="left"/>
            </w:pPr>
            <w:r>
              <w:rPr>
                <w:rFonts w:ascii="宋体" w:eastAsia="宋体" w:hAnsi="宋体" w:cs="宋体"/>
                <w:b w:val="0"/>
              </w:rPr>
              <w:t>批发和零售业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G</w:t>
            </w:r>
          </w:p>
        </w:tc>
        <w:tc>
          <w:tcPr>
            <w:tcW w:w="0" w:type="dxa"/>
            <w:vAlign w:val="center"/>
          </w:tcPr>
          <w:p>
            <w:pPr>
              <w:spacing w:line="240" w:lineRule="auto"/>
              <w:jc w:val="left"/>
            </w:pPr>
            <w:r>
              <w:rPr>
                <w:rFonts w:ascii="宋体" w:eastAsia="宋体" w:hAnsi="宋体" w:cs="宋体"/>
                <w:b w:val="0"/>
              </w:rPr>
              <w:t>交通运输、仓储和邮政业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H</w:t>
            </w:r>
          </w:p>
        </w:tc>
        <w:tc>
          <w:tcPr>
            <w:tcW w:w="0" w:type="dxa"/>
            <w:vAlign w:val="center"/>
          </w:tcPr>
          <w:p>
            <w:pPr>
              <w:spacing w:line="240" w:lineRule="auto"/>
              <w:jc w:val="left"/>
            </w:pPr>
            <w:r>
              <w:rPr>
                <w:rFonts w:ascii="宋体" w:eastAsia="宋体" w:hAnsi="宋体" w:cs="宋体"/>
                <w:b w:val="0"/>
              </w:rPr>
              <w:t>住宿和餐饮业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I</w:t>
            </w:r>
          </w:p>
        </w:tc>
        <w:tc>
          <w:tcPr>
            <w:tcW w:w="0" w:type="dxa"/>
            <w:vAlign w:val="center"/>
          </w:tcPr>
          <w:p>
            <w:pPr>
              <w:spacing w:line="240" w:lineRule="auto"/>
              <w:jc w:val="left"/>
            </w:pPr>
            <w:r>
              <w:rPr>
                <w:rFonts w:ascii="宋体" w:eastAsia="宋体" w:hAnsi="宋体" w:cs="宋体"/>
                <w:b w:val="0"/>
              </w:rPr>
              <w:t>信息传输、软件和信息技术服务业</w:t>
            </w:r>
          </w:p>
        </w:tc>
        <w:tc>
          <w:tcPr>
            <w:tcW w:w="0" w:type="dxa"/>
            <w:vAlign w:val="center"/>
          </w:tcPr>
          <w:p>
            <w:pPr>
              <w:spacing w:line="240" w:lineRule="auto"/>
              <w:jc w:val="right"/>
            </w:pPr>
            <w:r>
              <w:rPr>
                <w:rFonts w:ascii="宋体" w:eastAsia="宋体" w:hAnsi="宋体" w:cs="宋体"/>
                <w:b w:val="0"/>
              </w:rPr>
              <w:t>543,064.40</w:t>
            </w:r>
          </w:p>
        </w:tc>
        <w:tc>
          <w:tcPr>
            <w:tcW w:w="0" w:type="dxa"/>
            <w:vAlign w:val="center"/>
          </w:tcPr>
          <w:p>
            <w:pPr>
              <w:spacing w:line="240" w:lineRule="auto"/>
              <w:jc w:val="right"/>
            </w:pPr>
            <w:r>
              <w:rPr>
                <w:rFonts w:ascii="宋体" w:eastAsia="宋体" w:hAnsi="宋体" w:cs="宋体"/>
                <w:b w:val="0"/>
              </w:rPr>
              <w:t>0.08</w:t>
            </w:r>
          </w:p>
        </w:tc>
      </w:tr>
      <w:tr>
        <w:tblPrEx>
          <w:tblW w:w="5000" w:type="pct"/>
        </w:tblPrEx>
        <w:tc>
          <w:tcPr>
            <w:tcW w:w="0" w:type="dxa"/>
            <w:vAlign w:val="center"/>
          </w:tcPr>
          <w:p>
            <w:pPr>
              <w:spacing w:line="240" w:lineRule="auto"/>
              <w:jc w:val="center"/>
            </w:pPr>
            <w:r>
              <w:rPr>
                <w:rFonts w:ascii="宋体" w:eastAsia="宋体" w:hAnsi="宋体" w:cs="宋体"/>
                <w:b w:val="0"/>
              </w:rPr>
              <w:t>J</w:t>
            </w:r>
          </w:p>
        </w:tc>
        <w:tc>
          <w:tcPr>
            <w:tcW w:w="0" w:type="dxa"/>
            <w:vAlign w:val="center"/>
          </w:tcPr>
          <w:p>
            <w:pPr>
              <w:spacing w:line="240" w:lineRule="auto"/>
              <w:jc w:val="left"/>
            </w:pPr>
            <w:r>
              <w:rPr>
                <w:rFonts w:ascii="宋体" w:eastAsia="宋体" w:hAnsi="宋体" w:cs="宋体"/>
                <w:b w:val="0"/>
              </w:rPr>
              <w:t>金融业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K</w:t>
            </w:r>
          </w:p>
        </w:tc>
        <w:tc>
          <w:tcPr>
            <w:tcW w:w="0" w:type="dxa"/>
            <w:vAlign w:val="center"/>
          </w:tcPr>
          <w:p>
            <w:pPr>
              <w:spacing w:line="240" w:lineRule="auto"/>
              <w:jc w:val="left"/>
            </w:pPr>
            <w:r>
              <w:rPr>
                <w:rFonts w:ascii="宋体" w:eastAsia="宋体" w:hAnsi="宋体" w:cs="宋体"/>
                <w:b w:val="0"/>
              </w:rPr>
              <w:t>房地产业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L</w:t>
            </w:r>
          </w:p>
        </w:tc>
        <w:tc>
          <w:tcPr>
            <w:tcW w:w="0" w:type="dxa"/>
            <w:vAlign w:val="center"/>
          </w:tcPr>
          <w:p>
            <w:pPr>
              <w:spacing w:line="240" w:lineRule="auto"/>
              <w:jc w:val="left"/>
            </w:pPr>
            <w:r>
              <w:rPr>
                <w:rFonts w:ascii="宋体" w:eastAsia="宋体" w:hAnsi="宋体" w:cs="宋体"/>
                <w:b w:val="0"/>
              </w:rPr>
              <w:t>租赁和商务服务业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M</w:t>
            </w:r>
          </w:p>
        </w:tc>
        <w:tc>
          <w:tcPr>
            <w:tcW w:w="0" w:type="dxa"/>
            <w:vAlign w:val="center"/>
          </w:tcPr>
          <w:p>
            <w:pPr>
              <w:spacing w:line="240" w:lineRule="auto"/>
              <w:jc w:val="left"/>
            </w:pPr>
            <w:r>
              <w:rPr>
                <w:rFonts w:ascii="宋体" w:eastAsia="宋体" w:hAnsi="宋体" w:cs="宋体"/>
                <w:b w:val="0"/>
              </w:rPr>
              <w:t>科学研究和技术服务业</w:t>
            </w:r>
          </w:p>
        </w:tc>
        <w:tc>
          <w:tcPr>
            <w:tcW w:w="0" w:type="dxa"/>
            <w:vAlign w:val="center"/>
          </w:tcPr>
          <w:p>
            <w:pPr>
              <w:spacing w:line="240" w:lineRule="auto"/>
              <w:jc w:val="right"/>
            </w:pPr>
            <w:r>
              <w:rPr>
                <w:rFonts w:ascii="宋体" w:eastAsia="宋体" w:hAnsi="宋体" w:cs="宋体"/>
                <w:b w:val="0"/>
              </w:rPr>
              <w:t>22,931.73</w:t>
            </w:r>
          </w:p>
        </w:tc>
        <w:tc>
          <w:tcPr>
            <w:tcW w:w="0" w:type="dxa"/>
            <w:vAlign w:val="center"/>
          </w:tcPr>
          <w:p>
            <w:pPr>
              <w:spacing w:line="240" w:lineRule="auto"/>
              <w:jc w:val="right"/>
            </w:pPr>
            <w:r>
              <w:rPr>
                <w:rFonts w:ascii="宋体" w:eastAsia="宋体" w:hAnsi="宋体" w:cs="宋体"/>
                <w:b w:val="0"/>
              </w:rPr>
              <w:t>0.00</w:t>
            </w:r>
          </w:p>
        </w:tc>
      </w:tr>
      <w:tr>
        <w:tblPrEx>
          <w:tblW w:w="5000" w:type="pct"/>
        </w:tblPrEx>
        <w:tc>
          <w:tcPr>
            <w:tcW w:w="0" w:type="dxa"/>
            <w:vAlign w:val="center"/>
          </w:tcPr>
          <w:p>
            <w:pPr>
              <w:spacing w:line="240" w:lineRule="auto"/>
              <w:jc w:val="center"/>
            </w:pPr>
            <w:r>
              <w:rPr>
                <w:rFonts w:ascii="宋体" w:eastAsia="宋体" w:hAnsi="宋体" w:cs="宋体"/>
                <w:b w:val="0"/>
              </w:rPr>
              <w:t>N</w:t>
            </w:r>
          </w:p>
        </w:tc>
        <w:tc>
          <w:tcPr>
            <w:tcW w:w="0" w:type="dxa"/>
            <w:vAlign w:val="center"/>
          </w:tcPr>
          <w:p>
            <w:pPr>
              <w:spacing w:line="240" w:lineRule="auto"/>
              <w:jc w:val="left"/>
            </w:pPr>
            <w:r>
              <w:rPr>
                <w:rFonts w:ascii="宋体" w:eastAsia="宋体" w:hAnsi="宋体" w:cs="宋体"/>
                <w:b w:val="0"/>
              </w:rPr>
              <w:t>水利、环境和公共设施管理业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O</w:t>
            </w:r>
          </w:p>
        </w:tc>
        <w:tc>
          <w:tcPr>
            <w:tcW w:w="0" w:type="dxa"/>
            <w:vAlign w:val="center"/>
          </w:tcPr>
          <w:p>
            <w:pPr>
              <w:spacing w:line="240" w:lineRule="auto"/>
              <w:jc w:val="left"/>
            </w:pPr>
            <w:r>
              <w:rPr>
                <w:rFonts w:ascii="宋体" w:eastAsia="宋体" w:hAnsi="宋体" w:cs="宋体"/>
                <w:b w:val="0"/>
              </w:rPr>
              <w:t>居民服务、修理和其他服务业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P</w:t>
            </w:r>
          </w:p>
        </w:tc>
        <w:tc>
          <w:tcPr>
            <w:tcW w:w="0" w:type="dxa"/>
            <w:vAlign w:val="center"/>
          </w:tcPr>
          <w:p>
            <w:pPr>
              <w:spacing w:line="240" w:lineRule="auto"/>
              <w:jc w:val="left"/>
            </w:pPr>
            <w:r>
              <w:rPr>
                <w:rFonts w:ascii="宋体" w:eastAsia="宋体" w:hAnsi="宋体" w:cs="宋体"/>
                <w:b w:val="0"/>
              </w:rPr>
              <w:t>教育</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Q</w:t>
            </w:r>
          </w:p>
        </w:tc>
        <w:tc>
          <w:tcPr>
            <w:tcW w:w="0" w:type="dxa"/>
            <w:vAlign w:val="center"/>
          </w:tcPr>
          <w:p>
            <w:pPr>
              <w:spacing w:line="240" w:lineRule="auto"/>
              <w:jc w:val="left"/>
            </w:pPr>
            <w:r>
              <w:rPr>
                <w:rFonts w:ascii="宋体" w:eastAsia="宋体" w:hAnsi="宋体" w:cs="宋体"/>
                <w:b w:val="0"/>
              </w:rPr>
              <w:t>卫生和社会工作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R</w:t>
            </w:r>
          </w:p>
        </w:tc>
        <w:tc>
          <w:tcPr>
            <w:tcW w:w="0" w:type="dxa"/>
            <w:vAlign w:val="center"/>
          </w:tcPr>
          <w:p>
            <w:pPr>
              <w:spacing w:line="240" w:lineRule="auto"/>
              <w:jc w:val="left"/>
            </w:pPr>
            <w:r>
              <w:rPr>
                <w:rFonts w:ascii="宋体" w:eastAsia="宋体" w:hAnsi="宋体" w:cs="宋体"/>
                <w:b w:val="0"/>
              </w:rPr>
              <w:t>文化、体育和娱乐业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S</w:t>
            </w:r>
          </w:p>
        </w:tc>
        <w:tc>
          <w:tcPr>
            <w:tcW w:w="0" w:type="dxa"/>
            <w:vAlign w:val="center"/>
          </w:tcPr>
          <w:p>
            <w:pPr>
              <w:spacing w:line="240" w:lineRule="auto"/>
              <w:jc w:val="left"/>
            </w:pPr>
            <w:r>
              <w:rPr>
                <w:rFonts w:ascii="宋体" w:eastAsia="宋体" w:hAnsi="宋体" w:cs="宋体"/>
                <w:b w:val="0"/>
              </w:rPr>
              <w:t>综合</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629,012,025.68</w:t>
            </w:r>
          </w:p>
        </w:tc>
        <w:tc>
          <w:tcPr>
            <w:tcW w:w="0" w:type="dxa"/>
            <w:vAlign w:val="center"/>
          </w:tcPr>
          <w:p>
            <w:pPr>
              <w:spacing w:line="240" w:lineRule="auto"/>
              <w:jc w:val="right"/>
            </w:pPr>
            <w:r>
              <w:rPr>
                <w:rFonts w:ascii="宋体" w:eastAsia="宋体" w:hAnsi="宋体" w:cs="宋体"/>
                <w:b w:val="0"/>
              </w:rPr>
              <w:t>89.25</w:t>
            </w:r>
          </w:p>
        </w:tc>
      </w:tr>
    </w:tbl>
    <w:p/>
    <w:p>
      <w:pPr>
        <w:pStyle w:val="zhangjiep2"/>
      </w:pPr>
      <w:r>
        <w:rPr>
          <w:rStyle w:val="DefaultParagraphFont"/>
          <w:rFonts w:ascii="宋体" w:eastAsia="宋体" w:hAnsi="宋体" w:cs="宋体"/>
          <w:b/>
        </w:rPr>
        <w:t>5.2.2 报告期末按行业分类的港股通投资股票投资组合</w:t>
      </w:r>
    </w:p>
    <w:p>
      <w:r>
        <w:rPr>
          <w:rFonts w:ascii="宋体" w:eastAsia="宋体" w:hAnsi="宋体" w:cs="宋体"/>
          <w:b w:val="0"/>
        </w:rPr>
        <w:t xml:space="preserve">    本基金本报告期末未持有港股通投资股票投资组合。</w:t>
      </w:r>
    </w:p>
    <w:p/>
    <w:p>
      <w:pPr>
        <w:pStyle w:val="Heading2"/>
        <w:jc w:val="left"/>
      </w:pPr>
      <w:r>
        <w:rPr>
          <w:rFonts w:ascii="宋体" w:eastAsia="宋体" w:hAnsi="宋体" w:cs="宋体"/>
        </w:rPr>
        <w:t>5.3 报告期末按公允价值占基金资产净值比例大小排序的前十名股票投资明细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股票代码</w:t>
            </w:r>
          </w:p>
        </w:tc>
        <w:tc>
          <w:tcPr>
            <w:tcW w:w="769" w:type="pct"/>
            <w:shd w:val="clear" w:color="auto" w:fill="D9D9D9"/>
            <w:vAlign w:val="center"/>
          </w:tcPr>
          <w:p>
            <w:pPr>
              <w:spacing w:line="240" w:lineRule="auto"/>
              <w:jc w:val="center"/>
            </w:pPr>
            <w:r>
              <w:rPr>
                <w:rFonts w:ascii="宋体" w:eastAsia="宋体" w:hAnsi="宋体" w:cs="宋体"/>
                <w:b w:val="0"/>
              </w:rPr>
              <w:t>股票名称</w:t>
            </w:r>
          </w:p>
        </w:tc>
        <w:tc>
          <w:tcPr>
            <w:tcW w:w="615" w:type="pct"/>
            <w:shd w:val="clear" w:color="auto" w:fill="D9D9D9"/>
            <w:vAlign w:val="center"/>
          </w:tcPr>
          <w:p>
            <w:pPr>
              <w:spacing w:line="240" w:lineRule="auto"/>
              <w:jc w:val="center"/>
            </w:pPr>
            <w:r>
              <w:rPr>
                <w:rFonts w:ascii="宋体" w:eastAsia="宋体" w:hAnsi="宋体" w:cs="宋体"/>
                <w:b w:val="0"/>
              </w:rPr>
              <w:t>数量(股)</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300489</w:t>
            </w:r>
          </w:p>
        </w:tc>
        <w:tc>
          <w:tcPr>
            <w:tcW w:w="0" w:type="dxa"/>
            <w:vAlign w:val="center"/>
          </w:tcPr>
          <w:p>
            <w:pPr>
              <w:spacing w:line="240" w:lineRule="auto"/>
              <w:jc w:val="left"/>
            </w:pPr>
            <w:r>
              <w:rPr>
                <w:rFonts w:ascii="宋体" w:eastAsia="宋体" w:hAnsi="宋体" w:cs="宋体"/>
                <w:b w:val="0"/>
              </w:rPr>
              <w:t>光智科技</w:t>
            </w:r>
          </w:p>
        </w:tc>
        <w:tc>
          <w:tcPr>
            <w:tcW w:w="0" w:type="dxa"/>
            <w:vAlign w:val="center"/>
          </w:tcPr>
          <w:p>
            <w:pPr>
              <w:spacing w:line="240" w:lineRule="auto"/>
              <w:jc w:val="right"/>
            </w:pPr>
            <w:r>
              <w:rPr>
                <w:rFonts w:ascii="宋体" w:eastAsia="宋体" w:hAnsi="宋体" w:cs="宋体"/>
                <w:b w:val="0"/>
              </w:rPr>
              <w:t>248,100</w:t>
            </w:r>
          </w:p>
        </w:tc>
        <w:tc>
          <w:tcPr>
            <w:tcW w:w="0" w:type="dxa"/>
            <w:vAlign w:val="center"/>
          </w:tcPr>
          <w:p>
            <w:pPr>
              <w:spacing w:line="240" w:lineRule="auto"/>
              <w:jc w:val="right"/>
            </w:pPr>
            <w:r>
              <w:rPr>
                <w:rFonts w:ascii="宋体" w:eastAsia="宋体" w:hAnsi="宋体" w:cs="宋体"/>
                <w:b w:val="0"/>
              </w:rPr>
              <w:t>69,058,635.00</w:t>
            </w:r>
          </w:p>
        </w:tc>
        <w:tc>
          <w:tcPr>
            <w:tcW w:w="0" w:type="dxa"/>
            <w:vAlign w:val="center"/>
          </w:tcPr>
          <w:p>
            <w:pPr>
              <w:spacing w:line="240" w:lineRule="auto"/>
              <w:jc w:val="right"/>
            </w:pPr>
            <w:r>
              <w:rPr>
                <w:rFonts w:ascii="宋体" w:eastAsia="宋体" w:hAnsi="宋体" w:cs="宋体"/>
                <w:b w:val="0"/>
              </w:rPr>
              <w:t>9.80</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002436</w:t>
            </w:r>
          </w:p>
        </w:tc>
        <w:tc>
          <w:tcPr>
            <w:tcW w:w="0" w:type="dxa"/>
            <w:vAlign w:val="center"/>
          </w:tcPr>
          <w:p>
            <w:pPr>
              <w:spacing w:line="240" w:lineRule="auto"/>
              <w:jc w:val="left"/>
            </w:pPr>
            <w:r>
              <w:rPr>
                <w:rFonts w:ascii="宋体" w:eastAsia="宋体" w:hAnsi="宋体" w:cs="宋体"/>
                <w:b w:val="0"/>
              </w:rPr>
              <w:t>兴森科技</w:t>
            </w:r>
          </w:p>
        </w:tc>
        <w:tc>
          <w:tcPr>
            <w:tcW w:w="0" w:type="dxa"/>
            <w:vAlign w:val="center"/>
          </w:tcPr>
          <w:p>
            <w:pPr>
              <w:spacing w:line="240" w:lineRule="auto"/>
              <w:jc w:val="right"/>
            </w:pPr>
            <w:r>
              <w:rPr>
                <w:rFonts w:ascii="宋体" w:eastAsia="宋体" w:hAnsi="宋体" w:cs="宋体"/>
                <w:b w:val="0"/>
              </w:rPr>
              <w:t>1,573,700</w:t>
            </w:r>
          </w:p>
        </w:tc>
        <w:tc>
          <w:tcPr>
            <w:tcW w:w="0" w:type="dxa"/>
            <w:vAlign w:val="center"/>
          </w:tcPr>
          <w:p>
            <w:pPr>
              <w:spacing w:line="240" w:lineRule="auto"/>
              <w:jc w:val="right"/>
            </w:pPr>
            <w:r>
              <w:rPr>
                <w:rFonts w:ascii="宋体" w:eastAsia="宋体" w:hAnsi="宋体" w:cs="宋体"/>
                <w:b w:val="0"/>
              </w:rPr>
              <w:t>64,427,278.00</w:t>
            </w:r>
          </w:p>
        </w:tc>
        <w:tc>
          <w:tcPr>
            <w:tcW w:w="0" w:type="dxa"/>
            <w:vAlign w:val="center"/>
          </w:tcPr>
          <w:p>
            <w:pPr>
              <w:spacing w:line="240" w:lineRule="auto"/>
              <w:jc w:val="right"/>
            </w:pPr>
            <w:r>
              <w:rPr>
                <w:rFonts w:ascii="宋体" w:eastAsia="宋体" w:hAnsi="宋体" w:cs="宋体"/>
                <w:b w:val="0"/>
              </w:rPr>
              <w:t>9.14</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600330</w:t>
            </w:r>
          </w:p>
        </w:tc>
        <w:tc>
          <w:tcPr>
            <w:tcW w:w="0" w:type="dxa"/>
            <w:vAlign w:val="center"/>
          </w:tcPr>
          <w:p>
            <w:pPr>
              <w:spacing w:line="240" w:lineRule="auto"/>
              <w:jc w:val="left"/>
            </w:pPr>
            <w:r>
              <w:rPr>
                <w:rFonts w:ascii="宋体" w:eastAsia="宋体" w:hAnsi="宋体" w:cs="宋体"/>
                <w:b w:val="0"/>
              </w:rPr>
              <w:t>天通股份</w:t>
            </w:r>
          </w:p>
        </w:tc>
        <w:tc>
          <w:tcPr>
            <w:tcW w:w="0" w:type="dxa"/>
            <w:vAlign w:val="center"/>
          </w:tcPr>
          <w:p>
            <w:pPr>
              <w:spacing w:line="240" w:lineRule="auto"/>
              <w:jc w:val="right"/>
            </w:pPr>
            <w:r>
              <w:rPr>
                <w:rFonts w:ascii="宋体" w:eastAsia="宋体" w:hAnsi="宋体" w:cs="宋体"/>
                <w:b w:val="0"/>
              </w:rPr>
              <w:t>2,080,900</w:t>
            </w:r>
          </w:p>
        </w:tc>
        <w:tc>
          <w:tcPr>
            <w:tcW w:w="0" w:type="dxa"/>
            <w:vAlign w:val="center"/>
          </w:tcPr>
          <w:p>
            <w:pPr>
              <w:spacing w:line="240" w:lineRule="auto"/>
              <w:jc w:val="right"/>
            </w:pPr>
            <w:r>
              <w:rPr>
                <w:rFonts w:ascii="宋体" w:eastAsia="宋体" w:hAnsi="宋体" w:cs="宋体"/>
                <w:b w:val="0"/>
              </w:rPr>
              <w:t>55,976,210.00</w:t>
            </w:r>
          </w:p>
        </w:tc>
        <w:tc>
          <w:tcPr>
            <w:tcW w:w="0" w:type="dxa"/>
            <w:vAlign w:val="center"/>
          </w:tcPr>
          <w:p>
            <w:pPr>
              <w:spacing w:line="240" w:lineRule="auto"/>
              <w:jc w:val="right"/>
            </w:pPr>
            <w:r>
              <w:rPr>
                <w:rFonts w:ascii="宋体" w:eastAsia="宋体" w:hAnsi="宋体" w:cs="宋体"/>
                <w:b w:val="0"/>
              </w:rPr>
              <w:t>7.94</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688143</w:t>
            </w:r>
          </w:p>
        </w:tc>
        <w:tc>
          <w:tcPr>
            <w:tcW w:w="0" w:type="dxa"/>
            <w:vAlign w:val="center"/>
          </w:tcPr>
          <w:p>
            <w:pPr>
              <w:spacing w:line="240" w:lineRule="auto"/>
              <w:jc w:val="left"/>
            </w:pPr>
            <w:r>
              <w:rPr>
                <w:rFonts w:ascii="宋体" w:eastAsia="宋体" w:hAnsi="宋体" w:cs="宋体"/>
                <w:b w:val="0"/>
              </w:rPr>
              <w:t>长盈通</w:t>
            </w:r>
          </w:p>
        </w:tc>
        <w:tc>
          <w:tcPr>
            <w:tcW w:w="0" w:type="dxa"/>
            <w:vAlign w:val="center"/>
          </w:tcPr>
          <w:p>
            <w:pPr>
              <w:spacing w:line="240" w:lineRule="auto"/>
              <w:jc w:val="right"/>
            </w:pPr>
            <w:r>
              <w:rPr>
                <w:rFonts w:ascii="宋体" w:eastAsia="宋体" w:hAnsi="宋体" w:cs="宋体"/>
                <w:b w:val="0"/>
              </w:rPr>
              <w:t>314,400</w:t>
            </w:r>
          </w:p>
        </w:tc>
        <w:tc>
          <w:tcPr>
            <w:tcW w:w="0" w:type="dxa"/>
            <w:vAlign w:val="center"/>
          </w:tcPr>
          <w:p>
            <w:pPr>
              <w:spacing w:line="240" w:lineRule="auto"/>
              <w:jc w:val="right"/>
            </w:pPr>
            <w:r>
              <w:rPr>
                <w:rFonts w:ascii="宋体" w:eastAsia="宋体" w:hAnsi="宋体" w:cs="宋体"/>
                <w:b w:val="0"/>
              </w:rPr>
              <w:t>54,916,248.00</w:t>
            </w:r>
          </w:p>
        </w:tc>
        <w:tc>
          <w:tcPr>
            <w:tcW w:w="0" w:type="dxa"/>
            <w:vAlign w:val="center"/>
          </w:tcPr>
          <w:p>
            <w:pPr>
              <w:spacing w:line="240" w:lineRule="auto"/>
              <w:jc w:val="right"/>
            </w:pPr>
            <w:r>
              <w:rPr>
                <w:rFonts w:ascii="宋体" w:eastAsia="宋体" w:hAnsi="宋体" w:cs="宋体"/>
                <w:b w:val="0"/>
              </w:rPr>
              <w:t>7.79</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301021</w:t>
            </w:r>
          </w:p>
        </w:tc>
        <w:tc>
          <w:tcPr>
            <w:tcW w:w="0" w:type="dxa"/>
            <w:vAlign w:val="center"/>
          </w:tcPr>
          <w:p>
            <w:pPr>
              <w:spacing w:line="240" w:lineRule="auto"/>
              <w:jc w:val="left"/>
            </w:pPr>
            <w:r>
              <w:rPr>
                <w:rFonts w:ascii="宋体" w:eastAsia="宋体" w:hAnsi="宋体" w:cs="宋体"/>
                <w:b w:val="0"/>
              </w:rPr>
              <w:t>英诺激光</w:t>
            </w:r>
          </w:p>
        </w:tc>
        <w:tc>
          <w:tcPr>
            <w:tcW w:w="0" w:type="dxa"/>
            <w:vAlign w:val="center"/>
          </w:tcPr>
          <w:p>
            <w:pPr>
              <w:spacing w:line="240" w:lineRule="auto"/>
              <w:jc w:val="right"/>
            </w:pPr>
            <w:r>
              <w:rPr>
                <w:rFonts w:ascii="宋体" w:eastAsia="宋体" w:hAnsi="宋体" w:cs="宋体"/>
                <w:b w:val="0"/>
              </w:rPr>
              <w:t>713,000</w:t>
            </w:r>
          </w:p>
        </w:tc>
        <w:tc>
          <w:tcPr>
            <w:tcW w:w="0" w:type="dxa"/>
            <w:vAlign w:val="center"/>
          </w:tcPr>
          <w:p>
            <w:pPr>
              <w:spacing w:line="240" w:lineRule="auto"/>
              <w:jc w:val="right"/>
            </w:pPr>
            <w:r>
              <w:rPr>
                <w:rFonts w:ascii="宋体" w:eastAsia="宋体" w:hAnsi="宋体" w:cs="宋体"/>
                <w:b w:val="0"/>
              </w:rPr>
              <w:t>54,458,940.00</w:t>
            </w:r>
          </w:p>
        </w:tc>
        <w:tc>
          <w:tcPr>
            <w:tcW w:w="0" w:type="dxa"/>
            <w:vAlign w:val="center"/>
          </w:tcPr>
          <w:p>
            <w:pPr>
              <w:spacing w:line="240" w:lineRule="auto"/>
              <w:jc w:val="right"/>
            </w:pPr>
            <w:r>
              <w:rPr>
                <w:rFonts w:ascii="宋体" w:eastAsia="宋体" w:hAnsi="宋体" w:cs="宋体"/>
                <w:b w:val="0"/>
              </w:rPr>
              <w:t>7.73</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688205</w:t>
            </w:r>
          </w:p>
        </w:tc>
        <w:tc>
          <w:tcPr>
            <w:tcW w:w="0" w:type="dxa"/>
            <w:vAlign w:val="center"/>
          </w:tcPr>
          <w:p>
            <w:pPr>
              <w:spacing w:line="240" w:lineRule="auto"/>
              <w:jc w:val="left"/>
            </w:pPr>
            <w:r>
              <w:rPr>
                <w:rFonts w:ascii="宋体" w:eastAsia="宋体" w:hAnsi="宋体" w:cs="宋体"/>
                <w:b w:val="0"/>
              </w:rPr>
              <w:t>德科立</w:t>
            </w:r>
          </w:p>
        </w:tc>
        <w:tc>
          <w:tcPr>
            <w:tcW w:w="0" w:type="dxa"/>
            <w:vAlign w:val="center"/>
          </w:tcPr>
          <w:p>
            <w:pPr>
              <w:spacing w:line="240" w:lineRule="auto"/>
              <w:jc w:val="right"/>
            </w:pPr>
            <w:r>
              <w:rPr>
                <w:rFonts w:ascii="宋体" w:eastAsia="宋体" w:hAnsi="宋体" w:cs="宋体"/>
                <w:b w:val="0"/>
              </w:rPr>
              <w:t>209,573</w:t>
            </w:r>
          </w:p>
        </w:tc>
        <w:tc>
          <w:tcPr>
            <w:tcW w:w="0" w:type="dxa"/>
            <w:vAlign w:val="center"/>
          </w:tcPr>
          <w:p>
            <w:pPr>
              <w:spacing w:line="240" w:lineRule="auto"/>
              <w:jc w:val="right"/>
            </w:pPr>
            <w:r>
              <w:rPr>
                <w:rFonts w:ascii="宋体" w:eastAsia="宋体" w:hAnsi="宋体" w:cs="宋体"/>
                <w:b w:val="0"/>
              </w:rPr>
              <w:t>43,800,757.00</w:t>
            </w:r>
          </w:p>
        </w:tc>
        <w:tc>
          <w:tcPr>
            <w:tcW w:w="0" w:type="dxa"/>
            <w:vAlign w:val="center"/>
          </w:tcPr>
          <w:p>
            <w:pPr>
              <w:spacing w:line="240" w:lineRule="auto"/>
              <w:jc w:val="right"/>
            </w:pPr>
            <w:r>
              <w:rPr>
                <w:rFonts w:ascii="宋体" w:eastAsia="宋体" w:hAnsi="宋体" w:cs="宋体"/>
                <w:b w:val="0"/>
              </w:rPr>
              <w:t>6.21</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300620</w:t>
            </w:r>
          </w:p>
        </w:tc>
        <w:tc>
          <w:tcPr>
            <w:tcW w:w="0" w:type="dxa"/>
            <w:vAlign w:val="center"/>
          </w:tcPr>
          <w:p>
            <w:pPr>
              <w:spacing w:line="240" w:lineRule="auto"/>
              <w:jc w:val="left"/>
            </w:pPr>
            <w:r>
              <w:rPr>
                <w:rFonts w:ascii="宋体" w:eastAsia="宋体" w:hAnsi="宋体" w:cs="宋体"/>
                <w:b w:val="0"/>
              </w:rPr>
              <w:t>光库科技</w:t>
            </w:r>
          </w:p>
        </w:tc>
        <w:tc>
          <w:tcPr>
            <w:tcW w:w="0" w:type="dxa"/>
            <w:vAlign w:val="center"/>
          </w:tcPr>
          <w:p>
            <w:pPr>
              <w:spacing w:line="240" w:lineRule="auto"/>
              <w:jc w:val="right"/>
            </w:pPr>
            <w:r>
              <w:rPr>
                <w:rFonts w:ascii="宋体" w:eastAsia="宋体" w:hAnsi="宋体" w:cs="宋体"/>
                <w:b w:val="0"/>
              </w:rPr>
              <w:t>154,100</w:t>
            </w:r>
          </w:p>
        </w:tc>
        <w:tc>
          <w:tcPr>
            <w:tcW w:w="0" w:type="dxa"/>
            <w:vAlign w:val="center"/>
          </w:tcPr>
          <w:p>
            <w:pPr>
              <w:spacing w:line="240" w:lineRule="auto"/>
              <w:jc w:val="right"/>
            </w:pPr>
            <w:r>
              <w:rPr>
                <w:rFonts w:ascii="宋体" w:eastAsia="宋体" w:hAnsi="宋体" w:cs="宋体"/>
                <w:b w:val="0"/>
              </w:rPr>
              <w:t>41,680,968.00</w:t>
            </w:r>
          </w:p>
        </w:tc>
        <w:tc>
          <w:tcPr>
            <w:tcW w:w="0" w:type="dxa"/>
            <w:vAlign w:val="center"/>
          </w:tcPr>
          <w:p>
            <w:pPr>
              <w:spacing w:line="240" w:lineRule="auto"/>
              <w:jc w:val="right"/>
            </w:pPr>
            <w:r>
              <w:rPr>
                <w:rFonts w:ascii="宋体" w:eastAsia="宋体" w:hAnsi="宋体" w:cs="宋体"/>
                <w:b w:val="0"/>
              </w:rPr>
              <w:t>5.91</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301511</w:t>
            </w:r>
          </w:p>
        </w:tc>
        <w:tc>
          <w:tcPr>
            <w:tcW w:w="0" w:type="dxa"/>
            <w:vAlign w:val="center"/>
          </w:tcPr>
          <w:p>
            <w:pPr>
              <w:spacing w:line="240" w:lineRule="auto"/>
              <w:jc w:val="left"/>
            </w:pPr>
            <w:r>
              <w:rPr>
                <w:rFonts w:ascii="宋体" w:eastAsia="宋体" w:hAnsi="宋体" w:cs="宋体"/>
                <w:b w:val="0"/>
              </w:rPr>
              <w:t>德福科技</w:t>
            </w:r>
          </w:p>
        </w:tc>
        <w:tc>
          <w:tcPr>
            <w:tcW w:w="0" w:type="dxa"/>
            <w:vAlign w:val="center"/>
          </w:tcPr>
          <w:p>
            <w:pPr>
              <w:spacing w:line="240" w:lineRule="auto"/>
              <w:jc w:val="right"/>
            </w:pPr>
            <w:r>
              <w:rPr>
                <w:rFonts w:ascii="宋体" w:eastAsia="宋体" w:hAnsi="宋体" w:cs="宋体"/>
                <w:b w:val="0"/>
              </w:rPr>
              <w:t>435,100</w:t>
            </w:r>
          </w:p>
        </w:tc>
        <w:tc>
          <w:tcPr>
            <w:tcW w:w="0" w:type="dxa"/>
            <w:vAlign w:val="center"/>
          </w:tcPr>
          <w:p>
            <w:pPr>
              <w:spacing w:line="240" w:lineRule="auto"/>
              <w:jc w:val="right"/>
            </w:pPr>
            <w:r>
              <w:rPr>
                <w:rFonts w:ascii="宋体" w:eastAsia="宋体" w:hAnsi="宋体" w:cs="宋体"/>
                <w:b w:val="0"/>
              </w:rPr>
              <w:t>41,443,275.00</w:t>
            </w:r>
          </w:p>
        </w:tc>
        <w:tc>
          <w:tcPr>
            <w:tcW w:w="0" w:type="dxa"/>
            <w:vAlign w:val="center"/>
          </w:tcPr>
          <w:p>
            <w:pPr>
              <w:spacing w:line="240" w:lineRule="auto"/>
              <w:jc w:val="right"/>
            </w:pPr>
            <w:r>
              <w:rPr>
                <w:rFonts w:ascii="宋体" w:eastAsia="宋体" w:hAnsi="宋体" w:cs="宋体"/>
                <w:b w:val="0"/>
              </w:rPr>
              <w:t>5.88</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300400</w:t>
            </w:r>
          </w:p>
        </w:tc>
        <w:tc>
          <w:tcPr>
            <w:tcW w:w="0" w:type="dxa"/>
            <w:vAlign w:val="center"/>
          </w:tcPr>
          <w:p>
            <w:pPr>
              <w:spacing w:line="240" w:lineRule="auto"/>
              <w:jc w:val="left"/>
            </w:pPr>
            <w:r>
              <w:rPr>
                <w:rFonts w:ascii="宋体" w:eastAsia="宋体" w:hAnsi="宋体" w:cs="宋体"/>
                <w:b w:val="0"/>
              </w:rPr>
              <w:t>劲拓股份</w:t>
            </w:r>
          </w:p>
        </w:tc>
        <w:tc>
          <w:tcPr>
            <w:tcW w:w="0" w:type="dxa"/>
            <w:vAlign w:val="center"/>
          </w:tcPr>
          <w:p>
            <w:pPr>
              <w:spacing w:line="240" w:lineRule="auto"/>
              <w:jc w:val="right"/>
            </w:pPr>
            <w:r>
              <w:rPr>
                <w:rFonts w:ascii="宋体" w:eastAsia="宋体" w:hAnsi="宋体" w:cs="宋体"/>
                <w:b w:val="0"/>
              </w:rPr>
              <w:t>1,048,600</w:t>
            </w:r>
          </w:p>
        </w:tc>
        <w:tc>
          <w:tcPr>
            <w:tcW w:w="0" w:type="dxa"/>
            <w:vAlign w:val="center"/>
          </w:tcPr>
          <w:p>
            <w:pPr>
              <w:spacing w:line="240" w:lineRule="auto"/>
              <w:jc w:val="right"/>
            </w:pPr>
            <w:r>
              <w:rPr>
                <w:rFonts w:ascii="宋体" w:eastAsia="宋体" w:hAnsi="宋体" w:cs="宋体"/>
                <w:b w:val="0"/>
              </w:rPr>
              <w:t>33,764,920.00</w:t>
            </w:r>
          </w:p>
        </w:tc>
        <w:tc>
          <w:tcPr>
            <w:tcW w:w="0" w:type="dxa"/>
            <w:vAlign w:val="center"/>
          </w:tcPr>
          <w:p>
            <w:pPr>
              <w:spacing w:line="240" w:lineRule="auto"/>
              <w:jc w:val="right"/>
            </w:pPr>
            <w:r>
              <w:rPr>
                <w:rFonts w:ascii="宋体" w:eastAsia="宋体" w:hAnsi="宋体" w:cs="宋体"/>
                <w:b w:val="0"/>
              </w:rPr>
              <w:t>4.79</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603186</w:t>
            </w:r>
          </w:p>
        </w:tc>
        <w:tc>
          <w:tcPr>
            <w:tcW w:w="0" w:type="dxa"/>
            <w:vAlign w:val="center"/>
          </w:tcPr>
          <w:p>
            <w:pPr>
              <w:spacing w:line="240" w:lineRule="auto"/>
              <w:jc w:val="left"/>
            </w:pPr>
            <w:r>
              <w:rPr>
                <w:rFonts w:ascii="宋体" w:eastAsia="宋体" w:hAnsi="宋体" w:cs="宋体"/>
                <w:b w:val="0"/>
              </w:rPr>
              <w:t>华正新材</w:t>
            </w:r>
          </w:p>
        </w:tc>
        <w:tc>
          <w:tcPr>
            <w:tcW w:w="0" w:type="dxa"/>
            <w:vAlign w:val="center"/>
          </w:tcPr>
          <w:p>
            <w:pPr>
              <w:spacing w:line="240" w:lineRule="auto"/>
              <w:jc w:val="right"/>
            </w:pPr>
            <w:r>
              <w:rPr>
                <w:rFonts w:ascii="宋体" w:eastAsia="宋体" w:hAnsi="宋体" w:cs="宋体"/>
                <w:b w:val="0"/>
              </w:rPr>
              <w:t>132,100</w:t>
            </w:r>
          </w:p>
        </w:tc>
        <w:tc>
          <w:tcPr>
            <w:tcW w:w="0" w:type="dxa"/>
            <w:vAlign w:val="center"/>
          </w:tcPr>
          <w:p>
            <w:pPr>
              <w:spacing w:line="240" w:lineRule="auto"/>
              <w:jc w:val="right"/>
            </w:pPr>
            <w:r>
              <w:rPr>
                <w:rFonts w:ascii="宋体" w:eastAsia="宋体" w:hAnsi="宋体" w:cs="宋体"/>
                <w:b w:val="0"/>
              </w:rPr>
              <w:t>28,092,386.00</w:t>
            </w:r>
          </w:p>
        </w:tc>
        <w:tc>
          <w:tcPr>
            <w:tcW w:w="0" w:type="dxa"/>
            <w:vAlign w:val="center"/>
          </w:tcPr>
          <w:p>
            <w:pPr>
              <w:spacing w:line="240" w:lineRule="auto"/>
              <w:jc w:val="right"/>
            </w:pPr>
            <w:r>
              <w:rPr>
                <w:rFonts w:ascii="宋体" w:eastAsia="宋体" w:hAnsi="宋体" w:cs="宋体"/>
                <w:b w:val="0"/>
              </w:rPr>
              <w:t>3.99</w:t>
            </w:r>
          </w:p>
        </w:tc>
      </w:tr>
    </w:tbl>
    <w:p/>
    <w:p>
      <w:pPr>
        <w:pStyle w:val="Heading2"/>
        <w:jc w:val="left"/>
      </w:pPr>
      <w:r>
        <w:rPr>
          <w:rFonts w:ascii="宋体" w:eastAsia="宋体" w:hAnsi="宋体" w:cs="宋体"/>
        </w:rPr>
        <w:t>5.4 报告期末按债券品种分类的债券投资组合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债券品种</w:t>
            </w:r>
          </w:p>
        </w:tc>
        <w:tc>
          <w:tcPr>
            <w:tcW w:w="769" w:type="pct"/>
            <w:shd w:val="clear" w:color="auto" w:fill="D9D9D9"/>
            <w:vAlign w:val="center"/>
          </w:tcPr>
          <w:p>
            <w:pPr>
              <w:spacing w:line="240" w:lineRule="auto"/>
              <w:jc w:val="center"/>
            </w:pPr>
            <w:r>
              <w:rPr>
                <w:rFonts w:ascii="宋体" w:eastAsia="宋体" w:hAnsi="宋体" w:cs="宋体"/>
                <w:b w:val="0"/>
              </w:rPr>
              <w:t>公允价值(元)</w:t>
            </w:r>
          </w:p>
        </w:tc>
        <w:tc>
          <w:tcPr>
            <w:tcW w:w="1077"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国家债券</w:t>
            </w:r>
          </w:p>
        </w:tc>
        <w:tc>
          <w:tcPr>
            <w:tcW w:w="0" w:type="dxa"/>
            <w:vAlign w:val="center"/>
          </w:tcPr>
          <w:p>
            <w:pPr>
              <w:spacing w:line="240" w:lineRule="auto"/>
              <w:jc w:val="right"/>
            </w:pPr>
            <w:r>
              <w:rPr>
                <w:rFonts w:ascii="宋体" w:eastAsia="宋体" w:hAnsi="宋体" w:cs="宋体"/>
                <w:b w:val="0"/>
              </w:rPr>
              <w:t>44,686,661.06</w:t>
            </w:r>
          </w:p>
        </w:tc>
        <w:tc>
          <w:tcPr>
            <w:tcW w:w="0" w:type="dxa"/>
            <w:vAlign w:val="center"/>
          </w:tcPr>
          <w:p>
            <w:pPr>
              <w:spacing w:line="240" w:lineRule="auto"/>
              <w:jc w:val="right"/>
            </w:pPr>
            <w:r>
              <w:rPr>
                <w:rFonts w:ascii="宋体" w:eastAsia="宋体" w:hAnsi="宋体" w:cs="宋体"/>
                <w:b w:val="0"/>
              </w:rPr>
              <w:t>6.34</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央行票据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金融债券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其中：政策性金融债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企业债券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企业短期融资券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中期票据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可转债（可交换债）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同业存单</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44,686,661.06</w:t>
            </w:r>
          </w:p>
        </w:tc>
        <w:tc>
          <w:tcPr>
            <w:tcW w:w="0" w:type="dxa"/>
            <w:vAlign w:val="center"/>
          </w:tcPr>
          <w:p>
            <w:pPr>
              <w:spacing w:line="240" w:lineRule="auto"/>
              <w:jc w:val="right"/>
            </w:pPr>
            <w:r>
              <w:rPr>
                <w:rFonts w:ascii="宋体" w:eastAsia="宋体" w:hAnsi="宋体" w:cs="宋体"/>
                <w:b w:val="0"/>
              </w:rPr>
              <w:t>6.34</w:t>
            </w:r>
          </w:p>
        </w:tc>
      </w:tr>
    </w:tbl>
    <w:p/>
    <w:p>
      <w:pPr>
        <w:pStyle w:val="Heading2"/>
        <w:jc w:val="left"/>
      </w:pPr>
      <w:r>
        <w:rPr>
          <w:rFonts w:ascii="宋体" w:eastAsia="宋体" w:hAnsi="宋体" w:cs="宋体"/>
        </w:rPr>
        <w:t>5.5 报告期末按公允价值占基金资产净值比例大小排序的前五名债券投资明细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债券代码</w:t>
            </w:r>
          </w:p>
        </w:tc>
        <w:tc>
          <w:tcPr>
            <w:tcW w:w="769" w:type="pct"/>
            <w:shd w:val="clear" w:color="auto" w:fill="D9D9D9"/>
            <w:vAlign w:val="center"/>
          </w:tcPr>
          <w:p>
            <w:pPr>
              <w:spacing w:line="240" w:lineRule="auto"/>
              <w:jc w:val="center"/>
            </w:pPr>
            <w:r>
              <w:rPr>
                <w:rFonts w:ascii="宋体" w:eastAsia="宋体" w:hAnsi="宋体" w:cs="宋体"/>
                <w:b w:val="0"/>
              </w:rPr>
              <w:t>债券名称</w:t>
            </w:r>
          </w:p>
        </w:tc>
        <w:tc>
          <w:tcPr>
            <w:tcW w:w="615" w:type="pct"/>
            <w:shd w:val="clear" w:color="auto" w:fill="D9D9D9"/>
            <w:vAlign w:val="center"/>
          </w:tcPr>
          <w:p>
            <w:pPr>
              <w:spacing w:line="240" w:lineRule="auto"/>
              <w:jc w:val="center"/>
            </w:pPr>
            <w:r>
              <w:rPr>
                <w:rFonts w:ascii="宋体" w:eastAsia="宋体" w:hAnsi="宋体" w:cs="宋体"/>
                <w:b w:val="0"/>
              </w:rPr>
              <w:t>数量(张)</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019827</w:t>
            </w:r>
          </w:p>
        </w:tc>
        <w:tc>
          <w:tcPr>
            <w:tcW w:w="0" w:type="dxa"/>
            <w:vAlign w:val="center"/>
          </w:tcPr>
          <w:p>
            <w:pPr>
              <w:spacing w:line="240" w:lineRule="auto"/>
              <w:jc w:val="left"/>
            </w:pPr>
            <w:r>
              <w:rPr>
                <w:rFonts w:ascii="宋体" w:eastAsia="宋体" w:hAnsi="宋体" w:cs="宋体"/>
                <w:b w:val="0"/>
              </w:rPr>
              <w:t>26国债01</w:t>
            </w:r>
          </w:p>
        </w:tc>
        <w:tc>
          <w:tcPr>
            <w:tcW w:w="0" w:type="dxa"/>
            <w:vAlign w:val="center"/>
          </w:tcPr>
          <w:p>
            <w:pPr>
              <w:spacing w:line="240" w:lineRule="auto"/>
              <w:jc w:val="right"/>
            </w:pPr>
            <w:r>
              <w:rPr>
                <w:rFonts w:ascii="宋体" w:eastAsia="宋体" w:hAnsi="宋体" w:cs="宋体"/>
                <w:b w:val="0"/>
              </w:rPr>
              <w:t>240,000</w:t>
            </w:r>
          </w:p>
        </w:tc>
        <w:tc>
          <w:tcPr>
            <w:tcW w:w="0" w:type="dxa"/>
            <w:vAlign w:val="center"/>
          </w:tcPr>
          <w:p>
            <w:pPr>
              <w:spacing w:line="240" w:lineRule="auto"/>
              <w:jc w:val="right"/>
            </w:pPr>
            <w:r>
              <w:rPr>
                <w:rFonts w:ascii="宋体" w:eastAsia="宋体" w:hAnsi="宋体" w:cs="宋体"/>
                <w:b w:val="0"/>
              </w:rPr>
              <w:t>24,207,767.67</w:t>
            </w:r>
          </w:p>
        </w:tc>
        <w:tc>
          <w:tcPr>
            <w:tcW w:w="0" w:type="dxa"/>
            <w:vAlign w:val="center"/>
          </w:tcPr>
          <w:p>
            <w:pPr>
              <w:spacing w:line="240" w:lineRule="auto"/>
              <w:jc w:val="right"/>
            </w:pPr>
            <w:r>
              <w:rPr>
                <w:rFonts w:ascii="宋体" w:eastAsia="宋体" w:hAnsi="宋体" w:cs="宋体"/>
                <w:b w:val="0"/>
              </w:rPr>
              <w:t>3.43</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019792</w:t>
            </w:r>
          </w:p>
        </w:tc>
        <w:tc>
          <w:tcPr>
            <w:tcW w:w="0" w:type="dxa"/>
            <w:vAlign w:val="center"/>
          </w:tcPr>
          <w:p>
            <w:pPr>
              <w:spacing w:line="240" w:lineRule="auto"/>
              <w:jc w:val="left"/>
            </w:pPr>
            <w:r>
              <w:rPr>
                <w:rFonts w:ascii="宋体" w:eastAsia="宋体" w:hAnsi="宋体" w:cs="宋体"/>
                <w:b w:val="0"/>
              </w:rPr>
              <w:t>25国债19</w:t>
            </w:r>
          </w:p>
        </w:tc>
        <w:tc>
          <w:tcPr>
            <w:tcW w:w="0" w:type="dxa"/>
            <w:vAlign w:val="center"/>
          </w:tcPr>
          <w:p>
            <w:pPr>
              <w:spacing w:line="240" w:lineRule="auto"/>
              <w:jc w:val="right"/>
            </w:pPr>
            <w:r>
              <w:rPr>
                <w:rFonts w:ascii="宋体" w:eastAsia="宋体" w:hAnsi="宋体" w:cs="宋体"/>
                <w:b w:val="0"/>
              </w:rPr>
              <w:t>103,000</w:t>
            </w:r>
          </w:p>
        </w:tc>
        <w:tc>
          <w:tcPr>
            <w:tcW w:w="0" w:type="dxa"/>
            <w:vAlign w:val="center"/>
          </w:tcPr>
          <w:p>
            <w:pPr>
              <w:spacing w:line="240" w:lineRule="auto"/>
              <w:jc w:val="right"/>
            </w:pPr>
            <w:r>
              <w:rPr>
                <w:rFonts w:ascii="宋体" w:eastAsia="宋体" w:hAnsi="宋体" w:cs="宋体"/>
                <w:b w:val="0"/>
              </w:rPr>
              <w:t>10,437,718.05</w:t>
            </w:r>
          </w:p>
        </w:tc>
        <w:tc>
          <w:tcPr>
            <w:tcW w:w="0" w:type="dxa"/>
            <w:vAlign w:val="center"/>
          </w:tcPr>
          <w:p>
            <w:pPr>
              <w:spacing w:line="240" w:lineRule="auto"/>
              <w:jc w:val="right"/>
            </w:pPr>
            <w:r>
              <w:rPr>
                <w:rFonts w:ascii="宋体" w:eastAsia="宋体" w:hAnsi="宋体" w:cs="宋体"/>
                <w:b w:val="0"/>
              </w:rPr>
              <w:t>1.48</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019835</w:t>
            </w:r>
          </w:p>
        </w:tc>
        <w:tc>
          <w:tcPr>
            <w:tcW w:w="0" w:type="dxa"/>
            <w:vAlign w:val="center"/>
          </w:tcPr>
          <w:p>
            <w:pPr>
              <w:spacing w:line="240" w:lineRule="auto"/>
              <w:jc w:val="left"/>
            </w:pPr>
            <w:r>
              <w:rPr>
                <w:rFonts w:ascii="宋体" w:eastAsia="宋体" w:hAnsi="宋体" w:cs="宋体"/>
                <w:b w:val="0"/>
              </w:rPr>
              <w:t>26国债09</w:t>
            </w:r>
          </w:p>
        </w:tc>
        <w:tc>
          <w:tcPr>
            <w:tcW w:w="0" w:type="dxa"/>
            <w:vAlign w:val="center"/>
          </w:tcPr>
          <w:p>
            <w:pPr>
              <w:spacing w:line="240" w:lineRule="auto"/>
              <w:jc w:val="right"/>
            </w:pPr>
            <w:r>
              <w:rPr>
                <w:rFonts w:ascii="宋体" w:eastAsia="宋体" w:hAnsi="宋体" w:cs="宋体"/>
                <w:b w:val="0"/>
              </w:rPr>
              <w:t>100,000</w:t>
            </w:r>
          </w:p>
        </w:tc>
        <w:tc>
          <w:tcPr>
            <w:tcW w:w="0" w:type="dxa"/>
            <w:vAlign w:val="center"/>
          </w:tcPr>
          <w:p>
            <w:pPr>
              <w:spacing w:line="240" w:lineRule="auto"/>
              <w:jc w:val="right"/>
            </w:pPr>
            <w:r>
              <w:rPr>
                <w:rFonts w:ascii="宋体" w:eastAsia="宋体" w:hAnsi="宋体" w:cs="宋体"/>
                <w:b w:val="0"/>
              </w:rPr>
              <w:t>10,041,175.34</w:t>
            </w:r>
          </w:p>
        </w:tc>
        <w:tc>
          <w:tcPr>
            <w:tcW w:w="0" w:type="dxa"/>
            <w:vAlign w:val="center"/>
          </w:tcPr>
          <w:p>
            <w:pPr>
              <w:spacing w:line="240" w:lineRule="auto"/>
              <w:jc w:val="right"/>
            </w:pPr>
            <w:r>
              <w:rPr>
                <w:rFonts w:ascii="宋体" w:eastAsia="宋体" w:hAnsi="宋体" w:cs="宋体"/>
                <w:b w:val="0"/>
              </w:rPr>
              <w:t>1.42</w:t>
            </w:r>
          </w:p>
        </w:tc>
      </w:tr>
    </w:tbl>
    <w:p>
      <w:r>
        <w:rPr>
          <w:rFonts w:ascii="宋体" w:eastAsia="宋体" w:hAnsi="宋体" w:cs="宋体"/>
          <w:b w:val="0"/>
        </w:rPr>
        <w:t>注：本基金本报告期末仅持有上述债券。</w:t>
      </w:r>
    </w:p>
    <w:p/>
    <w:p>
      <w:pPr>
        <w:pStyle w:val="Heading2"/>
        <w:jc w:val="left"/>
      </w:pPr>
      <w:r>
        <w:rPr>
          <w:rFonts w:ascii="宋体" w:eastAsia="宋体" w:hAnsi="宋体" w:cs="宋体"/>
        </w:rPr>
        <w:t>5.6 报告期末按公允价值占基金资产净值比例大小排序的前十名资产支持证券投资明细</w:t>
      </w:r>
    </w:p>
    <w:p>
      <w:r>
        <w:rPr>
          <w:rFonts w:ascii="宋体" w:eastAsia="宋体" w:hAnsi="宋体" w:cs="宋体"/>
          <w:b w:val="0"/>
        </w:rPr>
        <w:t xml:space="preserve">    本基金本报告期末未持有资产支持证券。</w:t>
      </w:r>
    </w:p>
    <w:p/>
    <w:p>
      <w:pPr>
        <w:pStyle w:val="Heading2"/>
        <w:jc w:val="left"/>
      </w:pPr>
      <w:r>
        <w:rPr>
          <w:rFonts w:ascii="宋体" w:eastAsia="宋体" w:hAnsi="宋体" w:cs="宋体"/>
        </w:rPr>
        <w:t>5.7 报告期末按公允价值占基金资产净值比例大小排序的前五名贵金属投资明细</w:t>
      </w:r>
    </w:p>
    <w:p>
      <w:r>
        <w:rPr>
          <w:rFonts w:ascii="宋体" w:eastAsia="宋体" w:hAnsi="宋体" w:cs="宋体"/>
          <w:b w:val="0"/>
        </w:rPr>
        <w:t xml:space="preserve">    本基金本报告期末未持有贵金属。</w:t>
      </w:r>
    </w:p>
    <w:p/>
    <w:p>
      <w:pPr>
        <w:pStyle w:val="Heading2"/>
        <w:jc w:val="left"/>
      </w:pPr>
      <w:r>
        <w:rPr>
          <w:rFonts w:ascii="宋体" w:eastAsia="宋体" w:hAnsi="宋体" w:cs="宋体"/>
        </w:rPr>
        <w:t>5.8 报告期末按公允价值占基金资产净值比例大小排序的前五名权证投资明细</w:t>
      </w:r>
    </w:p>
    <w:p>
      <w:r>
        <w:rPr>
          <w:rFonts w:ascii="宋体" w:eastAsia="宋体" w:hAnsi="宋体" w:cs="宋体"/>
          <w:b w:val="0"/>
        </w:rPr>
        <w:t xml:space="preserve">    本基金本报告期末未持有权证。</w:t>
      </w:r>
    </w:p>
    <w:p/>
    <w:p>
      <w:pPr>
        <w:pStyle w:val="Heading2"/>
        <w:jc w:val="left"/>
      </w:pPr>
      <w:r>
        <w:rPr>
          <w:rFonts w:ascii="宋体" w:eastAsia="宋体" w:hAnsi="宋体" w:cs="宋体"/>
        </w:rPr>
        <w:t>5.9 报告期末本基金投资的股指期货交易情况说明</w:t>
      </w:r>
    </w:p>
    <w:p>
      <w:r>
        <w:rPr>
          <w:rFonts w:ascii="宋体" w:eastAsia="宋体" w:hAnsi="宋体" w:cs="宋体"/>
          <w:b w:val="0"/>
        </w:rPr>
        <w:t xml:space="preserve">    本基金本报告期末未持有股指期货。</w:t>
      </w:r>
    </w:p>
    <w:p/>
    <w:p>
      <w:pPr>
        <w:pStyle w:val="Heading2"/>
        <w:jc w:val="left"/>
      </w:pPr>
      <w:r>
        <w:rPr>
          <w:rFonts w:ascii="宋体" w:eastAsia="宋体" w:hAnsi="宋体" w:cs="宋体"/>
        </w:rPr>
        <w:t>5.10 报告期末本基金投资的国债期货交易情况说明</w:t>
      </w:r>
    </w:p>
    <w:p>
      <w:r>
        <w:rPr>
          <w:rFonts w:ascii="宋体" w:eastAsia="宋体" w:hAnsi="宋体" w:cs="宋体"/>
          <w:b w:val="0"/>
        </w:rPr>
        <w:t xml:space="preserve">    本基金本报告期末未持有国债期货。</w:t>
      </w:r>
    </w:p>
    <w:p/>
    <w:p>
      <w:pPr>
        <w:pStyle w:val="Heading2"/>
        <w:jc w:val="left"/>
      </w:pPr>
      <w:r>
        <w:rPr>
          <w:rFonts w:ascii="宋体" w:eastAsia="宋体" w:hAnsi="宋体" w:cs="宋体"/>
        </w:rPr>
        <w:t>5.11 投资组合报告附注</w:t>
      </w:r>
    </w:p>
    <w:p>
      <w:pPr>
        <w:pStyle w:val="zhangjiep2"/>
      </w:pPr>
      <w:r>
        <w:rPr>
          <w:rStyle w:val="DefaultParagraphFont"/>
          <w:rFonts w:ascii="宋体" w:eastAsia="宋体" w:hAnsi="宋体" w:cs="宋体"/>
          <w:b/>
        </w:rPr>
        <w:t>5.11.1 本基金投资的前十名证券的发行主体本期受到监管部门立案调查或报告编制日前一年内受到公开谴责、处罚的情形说明</w:t>
      </w:r>
    </w:p>
    <w:p>
      <w:r>
        <w:rPr>
          <w:rFonts w:ascii="宋体" w:eastAsia="宋体" w:hAnsi="宋体" w:cs="宋体"/>
          <w:b w:val="0"/>
        </w:rPr>
        <w:t xml:space="preserve">    本基金投资的前十名证券的发行主体中，深圳市劲拓自动化设备股份有限公司在报告编制日前一年内因违反《上市公司信息披露管理办法》被中国证券监督管理委员会深圳监管局要求责令改正；天通控股股份有限公司在报告编制日前一年内因违反《上市公司信息披露管理办法》被中国证券监督管理委员会浙江监管局要求责令改正.本基金对上述证券的投资决策程序符合相关法规及公司制度要求。</w:t>
        <w:br/>
      </w:r>
      <w:r>
        <w:rPr>
          <w:rFonts w:ascii="宋体" w:eastAsia="宋体" w:hAnsi="宋体" w:cs="宋体"/>
          <w:b w:val="0"/>
        </w:rPr>
        <w:t xml:space="preserve">    本基金投资前十名的其余证券的发行主体本期未出现被监管部门立案调查，或在报告编制日前一年内受到公开谴责、处罚的情形。</w:t>
      </w:r>
    </w:p>
    <w:p/>
    <w:p>
      <w:pPr>
        <w:pStyle w:val="zhangjiep2"/>
      </w:pPr>
      <w:r>
        <w:rPr>
          <w:rStyle w:val="DefaultParagraphFont"/>
          <w:rFonts w:ascii="宋体" w:eastAsia="宋体" w:hAnsi="宋体" w:cs="宋体"/>
          <w:b/>
        </w:rPr>
        <w:t>5.11.2 基金投资的前十名股票超出基金合同约定的备选股票库情况的说明</w:t>
      </w:r>
    </w:p>
    <w:p>
      <w:r>
        <w:rPr>
          <w:rFonts w:ascii="宋体" w:eastAsia="宋体" w:hAnsi="宋体" w:cs="宋体"/>
          <w:b w:val="0"/>
        </w:rPr>
        <w:t xml:space="preserve">    基金投资的前十名股票，均为基金合同约定备选股票库之内的股票。</w:t>
      </w:r>
    </w:p>
    <w:p/>
    <w:p>
      <w:pPr>
        <w:pStyle w:val="zhangjiep2"/>
      </w:pPr>
      <w:r>
        <w:rPr>
          <w:rStyle w:val="DefaultParagraphFont"/>
          <w:rFonts w:ascii="宋体" w:eastAsia="宋体" w:hAnsi="宋体" w:cs="宋体"/>
          <w:b/>
        </w:rPr>
        <w:t>5.11.3 其他资产构成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2308" w:type="pct"/>
            <w:shd w:val="clear" w:color="auto" w:fill="D9D9D9"/>
            <w:vAlign w:val="center"/>
          </w:tcPr>
          <w:p>
            <w:pPr>
              <w:spacing w:line="240" w:lineRule="auto"/>
              <w:jc w:val="center"/>
            </w:pPr>
            <w:r>
              <w:rPr>
                <w:rFonts w:ascii="宋体" w:eastAsia="宋体" w:hAnsi="宋体" w:cs="宋体"/>
                <w:b w:val="0"/>
              </w:rPr>
              <w:t>名称</w:t>
            </w:r>
          </w:p>
        </w:tc>
        <w:tc>
          <w:tcPr>
            <w:tcW w:w="1538" w:type="pct"/>
            <w:shd w:val="clear" w:color="auto" w:fill="D9D9D9"/>
            <w:vAlign w:val="center"/>
          </w:tcPr>
          <w:p>
            <w:pPr>
              <w:spacing w:line="240" w:lineRule="auto"/>
              <w:jc w:val="center"/>
            </w:pPr>
            <w:r>
              <w:rPr>
                <w:rFonts w:ascii="宋体" w:eastAsia="宋体" w:hAnsi="宋体" w:cs="宋体"/>
                <w:b w:val="0"/>
              </w:rPr>
              <w:t>金额(元)</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存出保证金</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应收证券清算款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应收股利</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应收利息</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应收申购款</w:t>
            </w:r>
          </w:p>
        </w:tc>
        <w:tc>
          <w:tcPr>
            <w:tcW w:w="0" w:type="dxa"/>
            <w:vAlign w:val="center"/>
          </w:tcPr>
          <w:p>
            <w:pPr>
              <w:spacing w:line="240" w:lineRule="auto"/>
              <w:jc w:val="right"/>
            </w:pPr>
            <w:r>
              <w:rPr>
                <w:rFonts w:ascii="宋体" w:eastAsia="宋体" w:hAnsi="宋体" w:cs="宋体"/>
                <w:b w:val="0"/>
              </w:rPr>
              <w:t>1,526,654.54</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其他应收款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1,526,654.54</w:t>
            </w:r>
          </w:p>
        </w:tc>
      </w:tr>
    </w:tbl>
    <w:p/>
    <w:p>
      <w:pPr>
        <w:pStyle w:val="zhangjiep2"/>
      </w:pPr>
      <w:r>
        <w:rPr>
          <w:rStyle w:val="DefaultParagraphFont"/>
          <w:rFonts w:ascii="宋体" w:eastAsia="宋体" w:hAnsi="宋体" w:cs="宋体"/>
          <w:b/>
        </w:rPr>
        <w:t>5.11.4 报告期末持有的处于转股期的可转换债券明细</w:t>
      </w:r>
    </w:p>
    <w:p>
      <w:r>
        <w:rPr>
          <w:rFonts w:ascii="宋体" w:eastAsia="宋体" w:hAnsi="宋体" w:cs="宋体"/>
          <w:b w:val="0"/>
        </w:rPr>
        <w:t xml:space="preserve">    本基金本报告期末未持有处于转股期的可转换债券。</w:t>
      </w:r>
    </w:p>
    <w:p/>
    <w:p>
      <w:pPr>
        <w:pStyle w:val="zhangjiep2"/>
      </w:pPr>
      <w:r>
        <w:rPr>
          <w:rStyle w:val="DefaultParagraphFont"/>
          <w:rFonts w:ascii="宋体" w:eastAsia="宋体" w:hAnsi="宋体" w:cs="宋体"/>
          <w:b/>
        </w:rPr>
        <w:t>5.11.5 报告期末前十名股票中存在流通受限情况的说明</w:t>
      </w:r>
    </w:p>
    <w:p>
      <w:r>
        <w:rPr>
          <w:rFonts w:ascii="宋体" w:eastAsia="宋体" w:hAnsi="宋体" w:cs="宋体"/>
          <w:b w:val="0"/>
        </w:rPr>
        <w:t xml:space="preserve">    本基金本报告期末前十名股票中不存在流通受限的情况。</w:t>
      </w:r>
    </w:p>
    <w:p/>
    <w:p>
      <w:pPr>
        <w:pStyle w:val="zhangjiep2"/>
      </w:pPr>
      <w:r>
        <w:rPr>
          <w:rStyle w:val="DefaultParagraphFont"/>
          <w:rFonts w:ascii="宋体" w:eastAsia="宋体" w:hAnsi="宋体" w:cs="宋体"/>
          <w:b/>
        </w:rPr>
        <w:t>5.11.6 投资组合报告附注的其他文字描述部分</w:t>
      </w:r>
    </w:p>
    <w:p>
      <w:r>
        <w:rPr>
          <w:rFonts w:ascii="宋体" w:eastAsia="宋体" w:hAnsi="宋体" w:cs="宋体"/>
          <w:b w:val="0"/>
        </w:rPr>
        <w:t xml:space="preserve">    由于四舍五入原因，分项之和与合计项之间可能存在尾差。</w:t>
      </w:r>
    </w:p>
    <w:p>
      <w:pPr>
        <w:pStyle w:val="Heading1"/>
        <w:jc w:val="center"/>
      </w:pPr>
      <w:r>
        <w:rPr>
          <w:rFonts w:ascii="宋体" w:eastAsia="宋体" w:hAnsi="宋体" w:cs="宋体"/>
        </w:rPr>
        <w:t>§6 开放式基金份额变动</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260"/>
        <w:gridCol w:w="2400"/>
        <w:gridCol w:w="24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2308" w:type="pct"/>
            <w:vAlign w:val="center"/>
          </w:tcPr>
          <w:p>
            <w:pPr>
              <w:spacing w:line="240" w:lineRule="auto"/>
              <w:jc w:val="center"/>
            </w:pPr>
          </w:p>
        </w:tc>
        <w:tc>
          <w:tcPr>
            <w:tcW w:w="1300" w:type="pct"/>
            <w:vAlign w:val="center"/>
          </w:tcPr>
          <w:p>
            <w:pPr>
              <w:spacing w:line="240" w:lineRule="auto"/>
              <w:jc w:val="center"/>
            </w:pPr>
            <w:r>
              <w:rPr>
                <w:rFonts w:ascii="宋体" w:eastAsia="宋体" w:hAnsi="宋体" w:cs="宋体"/>
                <w:b w:val="0"/>
              </w:rPr>
              <w:t>东方阿尔法产业先锋混合A</w:t>
            </w:r>
          </w:p>
        </w:tc>
        <w:tc>
          <w:tcPr>
            <w:tcW w:w="1300" w:type="pct"/>
            <w:vAlign w:val="center"/>
          </w:tcPr>
          <w:p>
            <w:pPr>
              <w:spacing w:line="240" w:lineRule="auto"/>
              <w:jc w:val="center"/>
            </w:pPr>
            <w:r>
              <w:rPr>
                <w:rFonts w:ascii="宋体" w:eastAsia="宋体" w:hAnsi="宋体" w:cs="宋体"/>
                <w:b w:val="0"/>
              </w:rPr>
              <w:t>东方阿尔法产业先锋混合C</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报告期期初基金份额总额</w:t>
            </w:r>
          </w:p>
        </w:tc>
        <w:tc>
          <w:tcPr>
            <w:tcW w:w="1300" w:type="pct"/>
            <w:vAlign w:val="center"/>
          </w:tcPr>
          <w:p>
            <w:pPr>
              <w:spacing w:line="240" w:lineRule="auto"/>
              <w:jc w:val="right"/>
            </w:pPr>
            <w:r>
              <w:rPr>
                <w:rFonts w:ascii="宋体" w:eastAsia="宋体" w:hAnsi="宋体" w:cs="宋体"/>
                <w:b w:val="0"/>
              </w:rPr>
              <w:t>942,658,632.90</w:t>
            </w:r>
          </w:p>
        </w:tc>
        <w:tc>
          <w:tcPr>
            <w:tcW w:w="1300" w:type="pct"/>
            <w:vAlign w:val="center"/>
          </w:tcPr>
          <w:p>
            <w:pPr>
              <w:spacing w:line="240" w:lineRule="auto"/>
              <w:jc w:val="right"/>
            </w:pPr>
            <w:r>
              <w:rPr>
                <w:rFonts w:ascii="宋体" w:eastAsia="宋体" w:hAnsi="宋体" w:cs="宋体"/>
                <w:b w:val="0"/>
              </w:rPr>
              <w:t>322,670,754.31</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报告期期间基金总申购份额</w:t>
            </w:r>
          </w:p>
        </w:tc>
        <w:tc>
          <w:tcPr>
            <w:tcW w:w="1300" w:type="pct"/>
            <w:vAlign w:val="center"/>
          </w:tcPr>
          <w:p>
            <w:pPr>
              <w:spacing w:line="240" w:lineRule="auto"/>
              <w:jc w:val="right"/>
            </w:pPr>
            <w:r>
              <w:rPr>
                <w:rFonts w:ascii="宋体" w:eastAsia="宋体" w:hAnsi="宋体" w:cs="宋体"/>
                <w:b w:val="0"/>
              </w:rPr>
              <w:t>47,854,105.13</w:t>
            </w:r>
          </w:p>
        </w:tc>
        <w:tc>
          <w:tcPr>
            <w:tcW w:w="1300" w:type="pct"/>
            <w:vAlign w:val="center"/>
          </w:tcPr>
          <w:p>
            <w:pPr>
              <w:spacing w:line="240" w:lineRule="auto"/>
              <w:jc w:val="right"/>
            </w:pPr>
            <w:r>
              <w:rPr>
                <w:rFonts w:ascii="宋体" w:eastAsia="宋体" w:hAnsi="宋体" w:cs="宋体"/>
                <w:b w:val="0"/>
              </w:rPr>
              <w:t>207,430,329.13</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减：报告期期间基金总赎回份额</w:t>
            </w:r>
          </w:p>
        </w:tc>
        <w:tc>
          <w:tcPr>
            <w:tcW w:w="1300" w:type="pct"/>
            <w:vAlign w:val="center"/>
          </w:tcPr>
          <w:p>
            <w:pPr>
              <w:spacing w:line="240" w:lineRule="auto"/>
              <w:jc w:val="right"/>
            </w:pPr>
            <w:r>
              <w:rPr>
                <w:rFonts w:ascii="宋体" w:eastAsia="宋体" w:hAnsi="宋体" w:cs="宋体"/>
                <w:b w:val="0"/>
              </w:rPr>
              <w:t>38,380,560.82</w:t>
            </w:r>
          </w:p>
        </w:tc>
        <w:tc>
          <w:tcPr>
            <w:tcW w:w="1300" w:type="pct"/>
            <w:vAlign w:val="center"/>
          </w:tcPr>
          <w:p>
            <w:pPr>
              <w:spacing w:line="240" w:lineRule="auto"/>
              <w:jc w:val="right"/>
            </w:pPr>
            <w:r>
              <w:rPr>
                <w:rFonts w:ascii="宋体" w:eastAsia="宋体" w:hAnsi="宋体" w:cs="宋体"/>
                <w:b w:val="0"/>
              </w:rPr>
              <w:t>150,957,972.26</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报告期期间基金拆分变动份额（份额减少以“-”填列）</w:t>
            </w:r>
          </w:p>
        </w:tc>
        <w:tc>
          <w:tcPr>
            <w:tcW w:w="1300" w:type="pct"/>
            <w:vAlign w:val="center"/>
          </w:tcPr>
          <w:p>
            <w:pPr>
              <w:spacing w:line="240" w:lineRule="auto"/>
              <w:jc w:val="right"/>
            </w:pPr>
            <w:r>
              <w:rPr>
                <w:rFonts w:ascii="宋体" w:eastAsia="宋体" w:hAnsi="宋体" w:cs="宋体"/>
                <w:b w:val="0"/>
              </w:rPr>
              <w:t>-</w:t>
            </w:r>
          </w:p>
        </w:tc>
        <w:tc>
          <w:tcPr>
            <w:tcW w:w="130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报告期期末基金份额总额</w:t>
            </w:r>
          </w:p>
        </w:tc>
        <w:tc>
          <w:tcPr>
            <w:tcW w:w="1300" w:type="pct"/>
            <w:vAlign w:val="center"/>
          </w:tcPr>
          <w:p>
            <w:pPr>
              <w:spacing w:line="240" w:lineRule="auto"/>
              <w:jc w:val="right"/>
            </w:pPr>
            <w:r>
              <w:rPr>
                <w:rFonts w:ascii="宋体" w:eastAsia="宋体" w:hAnsi="宋体" w:cs="宋体"/>
                <w:b w:val="0"/>
              </w:rPr>
              <w:t>952,132,177.21</w:t>
            </w:r>
          </w:p>
        </w:tc>
        <w:tc>
          <w:tcPr>
            <w:tcW w:w="1300" w:type="pct"/>
            <w:vAlign w:val="center"/>
          </w:tcPr>
          <w:p>
            <w:pPr>
              <w:spacing w:line="240" w:lineRule="auto"/>
              <w:jc w:val="right"/>
            </w:pPr>
            <w:r>
              <w:rPr>
                <w:rFonts w:ascii="宋体" w:eastAsia="宋体" w:hAnsi="宋体" w:cs="宋体"/>
                <w:b w:val="0"/>
              </w:rPr>
              <w:t>379,143,111.18</w:t>
            </w:r>
          </w:p>
        </w:tc>
      </w:tr>
    </w:tbl>
    <w:p>
      <w:pPr>
        <w:pStyle w:val="Heading1"/>
        <w:jc w:val="center"/>
      </w:pPr>
      <w:r>
        <w:rPr>
          <w:rFonts w:ascii="宋体" w:eastAsia="宋体" w:hAnsi="宋体" w:cs="宋体"/>
        </w:rPr>
        <w:t>§7 基金管理人运用固有资金投资本基金情况</w:t>
      </w:r>
    </w:p>
    <w:p>
      <w:pPr>
        <w:pStyle w:val="Heading2"/>
        <w:jc w:val="left"/>
      </w:pPr>
      <w:r>
        <w:rPr>
          <w:rFonts w:ascii="宋体" w:eastAsia="宋体" w:hAnsi="宋体" w:cs="宋体"/>
        </w:rPr>
        <w:t>7.1 基金管理人持有本基金份额变动情况</w:t>
      </w:r>
    </w:p>
    <w:p>
      <w:r>
        <w:rPr>
          <w:rFonts w:ascii="宋体" w:eastAsia="宋体" w:hAnsi="宋体" w:cs="宋体"/>
          <w:b w:val="0"/>
        </w:rPr>
        <w:t xml:space="preserve">    截至本报告期末，本基金管理人未持有本基金份额。</w:t>
      </w:r>
    </w:p>
    <w:p/>
    <w:p>
      <w:pPr>
        <w:pStyle w:val="Heading2"/>
        <w:jc w:val="left"/>
      </w:pPr>
      <w:r>
        <w:rPr>
          <w:rFonts w:ascii="宋体" w:eastAsia="宋体" w:hAnsi="宋体" w:cs="宋体"/>
        </w:rPr>
        <w:t>7.2 基金管理人运用固有资金投资本基金交易明细</w:t>
      </w:r>
    </w:p>
    <w:p>
      <w:r>
        <w:rPr>
          <w:rFonts w:ascii="宋体" w:eastAsia="宋体" w:hAnsi="宋体" w:cs="宋体"/>
          <w:b w:val="0"/>
        </w:rPr>
        <w:t xml:space="preserve">    本报告期内，本基金管理人未运用固有资金投资本基金。</w:t>
      </w:r>
    </w:p>
    <w:p>
      <w:pPr>
        <w:pStyle w:val="Heading1"/>
        <w:jc w:val="center"/>
      </w:pPr>
      <w:r>
        <w:rPr>
          <w:rFonts w:ascii="宋体" w:eastAsia="宋体" w:hAnsi="宋体" w:cs="宋体"/>
        </w:rPr>
        <w:t>§8 报告期末发起式基金发起资金持有份额情况</w:t>
      </w:r>
    </w:p>
    <w:p>
      <w:r>
        <w:rPr>
          <w:rFonts w:ascii="宋体" w:eastAsia="宋体" w:hAnsi="宋体" w:cs="宋体"/>
          <w:b w:val="0"/>
        </w:rPr>
        <w:t xml:space="preserve">    本基金基金合同于2021年07月21日生效。根据本基金基金合同的约定，发起资金认购本基金金额不少于1000万元，且发起资金认购的基金份额持有期限自基金合同生效日起不少于3年。自基金合同生效日起至本报告期末，发起资金认购的本基金基金份额持有期限已满3年。</w:t>
      </w:r>
    </w:p>
    <w:p>
      <w:pPr>
        <w:pStyle w:val="Heading1"/>
        <w:jc w:val="center"/>
      </w:pPr>
      <w:r>
        <w:rPr>
          <w:rFonts w:ascii="宋体" w:eastAsia="宋体" w:hAnsi="宋体" w:cs="宋体"/>
        </w:rPr>
        <w:t>§9 影响投资者决策的其他重要信息</w:t>
      </w:r>
    </w:p>
    <w:p>
      <w:pPr>
        <w:pStyle w:val="Heading2"/>
        <w:jc w:val="left"/>
      </w:pPr>
      <w:r>
        <w:rPr>
          <w:rFonts w:ascii="宋体" w:eastAsia="宋体" w:hAnsi="宋体" w:cs="宋体"/>
        </w:rPr>
        <w:t>9.1 报告期内单一投资者持有基金份额比例达到或超过20%的情况</w:t>
      </w:r>
    </w:p>
    <w:p>
      <w:r>
        <w:rPr>
          <w:rFonts w:ascii="宋体" w:eastAsia="宋体" w:hAnsi="宋体" w:cs="宋体"/>
          <w:b w:val="0"/>
        </w:rPr>
        <w:t xml:space="preserve">    本报告期内，本基金不存在单一投资者持有基金份额比例达到或超过20%的情况。</w:t>
      </w:r>
    </w:p>
    <w:p/>
    <w:p>
      <w:pPr>
        <w:pStyle w:val="Heading2"/>
        <w:jc w:val="left"/>
      </w:pPr>
      <w:r>
        <w:rPr>
          <w:rFonts w:ascii="宋体" w:eastAsia="宋体" w:hAnsi="宋体" w:cs="宋体"/>
        </w:rPr>
        <w:t>9.2 影响投资者决策的其他重要信息</w:t>
      </w:r>
    </w:p>
    <w:p>
      <w:r>
        <w:rPr>
          <w:rFonts w:ascii="宋体" w:eastAsia="宋体" w:hAnsi="宋体" w:cs="宋体"/>
          <w:b w:val="0"/>
        </w:rPr>
        <w:t xml:space="preserve">    无。</w:t>
      </w:r>
    </w:p>
    <w:p>
      <w:pPr>
        <w:pStyle w:val="Heading1"/>
        <w:jc w:val="center"/>
      </w:pPr>
      <w:r>
        <w:rPr>
          <w:rFonts w:ascii="宋体" w:eastAsia="宋体" w:hAnsi="宋体" w:cs="宋体"/>
        </w:rPr>
        <w:t>§10 备查文件目录</w:t>
      </w:r>
    </w:p>
    <w:p>
      <w:pPr>
        <w:pStyle w:val="Heading2"/>
        <w:jc w:val="left"/>
      </w:pPr>
      <w:r>
        <w:rPr>
          <w:rFonts w:ascii="宋体" w:eastAsia="宋体" w:hAnsi="宋体" w:cs="宋体"/>
        </w:rPr>
        <w:t>10.1 备查文件目录</w:t>
      </w:r>
    </w:p>
    <w:p>
      <w:r>
        <w:rPr>
          <w:rFonts w:ascii="宋体" w:eastAsia="宋体" w:hAnsi="宋体" w:cs="宋体"/>
          <w:b w:val="0"/>
        </w:rPr>
        <w:t xml:space="preserve">    1、中国证券监督管理委员会批准的东方阿尔法产业先锋混合型发起式证券投资基金设立的文件；</w:t>
        <w:br/>
      </w:r>
      <w:r>
        <w:rPr>
          <w:rFonts w:ascii="宋体" w:eastAsia="宋体" w:hAnsi="宋体" w:cs="宋体"/>
          <w:b w:val="0"/>
        </w:rPr>
        <w:t xml:space="preserve">    2、《东方阿尔法产业先锋混合型发起式证券投资基金基金合同》；</w:t>
        <w:br/>
      </w:r>
      <w:r>
        <w:rPr>
          <w:rFonts w:ascii="宋体" w:eastAsia="宋体" w:hAnsi="宋体" w:cs="宋体"/>
          <w:b w:val="0"/>
        </w:rPr>
        <w:t xml:space="preserve">    3、《东方阿尔法产业先锋混合型发起式证券投资基金托管协议》；</w:t>
        <w:br/>
      </w:r>
      <w:r>
        <w:rPr>
          <w:rFonts w:ascii="宋体" w:eastAsia="宋体" w:hAnsi="宋体" w:cs="宋体"/>
          <w:b w:val="0"/>
        </w:rPr>
        <w:t xml:space="preserve">    4、《东方阿尔法产业先锋混合型发起式证券投资基金招募说明书》（含更新）；</w:t>
        <w:br/>
      </w:r>
      <w:r>
        <w:rPr>
          <w:rFonts w:ascii="宋体" w:eastAsia="宋体" w:hAnsi="宋体" w:cs="宋体"/>
          <w:b w:val="0"/>
        </w:rPr>
        <w:t xml:space="preserve">    5、基金管理人业务资格批件和营业执照。</w:t>
      </w:r>
    </w:p>
    <w:p/>
    <w:p>
      <w:pPr>
        <w:pStyle w:val="Heading2"/>
        <w:jc w:val="left"/>
      </w:pPr>
      <w:r>
        <w:rPr>
          <w:rFonts w:ascii="宋体" w:eastAsia="宋体" w:hAnsi="宋体" w:cs="宋体"/>
        </w:rPr>
        <w:t>10.2 存放地点</w:t>
      </w:r>
    </w:p>
    <w:p>
      <w:r>
        <w:rPr>
          <w:rFonts w:ascii="宋体" w:eastAsia="宋体" w:hAnsi="宋体" w:cs="宋体"/>
          <w:b w:val="0"/>
        </w:rPr>
        <w:t xml:space="preserve">    广东省深圳市深南大道6008号深圳特区报业大厦23BC。</w:t>
      </w:r>
    </w:p>
    <w:p/>
    <w:p>
      <w:pPr>
        <w:pStyle w:val="Heading2"/>
        <w:jc w:val="left"/>
      </w:pPr>
      <w:r>
        <w:rPr>
          <w:rFonts w:ascii="宋体" w:eastAsia="宋体" w:hAnsi="宋体" w:cs="宋体"/>
        </w:rPr>
        <w:t>10.3 查阅方式</w:t>
      </w:r>
    </w:p>
    <w:p>
      <w:r>
        <w:rPr>
          <w:rFonts w:ascii="宋体" w:eastAsia="宋体" w:hAnsi="宋体" w:cs="宋体"/>
          <w:b w:val="0"/>
        </w:rPr>
        <w:t xml:space="preserve">    1、投资者可在营业时间免费查阅，也可按工本费购买复印件。</w:t>
        <w:br/>
      </w:r>
      <w:r>
        <w:rPr>
          <w:rFonts w:ascii="宋体" w:eastAsia="宋体" w:hAnsi="宋体" w:cs="宋体"/>
          <w:b w:val="0"/>
        </w:rPr>
        <w:t xml:space="preserve">    2、投资者对本报告书如有疑问，可咨询本基金管理人东方阿尔法基金管理有限公司，客户服务电话：400-930-6677（免长途话费）。</w:t>
        <w:br/>
      </w:r>
      <w:r>
        <w:rPr>
          <w:rFonts w:ascii="宋体" w:eastAsia="宋体" w:hAnsi="宋体" w:cs="宋体"/>
          <w:b w:val="0"/>
        </w:rPr>
        <w:t xml:space="preserve">    3、投资者可通过中国证监会基金电子披露网站（http://eid.csrc.gov.cn/fund/）和基金管理人网站（https://www.dfa66.com）查阅本报告书。</w:t>
      </w:r>
    </w:p>
    <w:p/>
    <w:p/>
    <w:p/>
    <w:p>
      <w:pPr>
        <w:jc w:val="right"/>
      </w:pPr>
      <w:r>
        <w:rPr>
          <w:rFonts w:ascii="宋体" w:eastAsia="宋体" w:hAnsi="宋体" w:cs="宋体"/>
          <w:b/>
        </w:rPr>
        <w:t>东方阿尔法基金管理有限公司</w:t>
      </w:r>
    </w:p>
    <w:p>
      <w:pPr>
        <w:jc w:val="right"/>
      </w:pPr>
      <w:r>
        <w:rPr>
          <w:rFonts w:ascii="宋体" w:eastAsia="宋体" w:hAnsi="宋体" w:cs="宋体"/>
          <w:b/>
        </w:rPr>
        <w:t>二〇二六年十月二十六日</w:t>
      </w:r>
    </w:p>
    <w:sectPr w:rsidSect="000B0ABB">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992" w:gutter="0"/>
      <w:pgNumType w:start="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DC36F2E"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BB3931" w14:paraId="0C910235" w14:textId="1E8BACBC">
    <w:pPr>
      <w:pBdr>
        <w:top w:val="single" w:sz="2" w:space="0" w:color="auto"/>
      </w:pBdr>
      <w:tabs>
        <w:tab w:val="right" w:pos="8640"/>
      </w:tabs>
      <w:jc w:val="center"/>
      <w:textAlignment w:val="center"/>
      <w:rPr>
        <w:rFonts w:ascii="宋体" w:eastAsia="宋体" w:hAnsi="宋体"/>
        <w:sz w:val="20"/>
        <w:szCs w:val="20"/>
      </w:rPr>
    </w:pPr>
    <w:r w:rsidRPr="00BB3931">
      <w:rPr>
        <w:rFonts w:ascii="宋体" w:eastAsia="宋体" w:hAnsi="宋体" w:cs="宋体" w:hint="eastAsia"/>
        <w:sz w:val="20"/>
        <w:szCs w:val="20"/>
        <w:lang w:bidi="ar"/>
      </w:rPr>
      <w:t>第</w:t>
    </w:r>
    <w:r w:rsidRPr="00BB3931">
      <w:rPr>
        <w:rFonts w:ascii="宋体" w:eastAsia="宋体" w:hAnsi="宋体" w:cs="Times New Roman" w:hint="eastAsia"/>
        <w:sz w:val="20"/>
        <w:szCs w:val="20"/>
        <w:lang w:bidi="ar"/>
      </w:rPr>
      <w:fldChar w:fldCharType="begin"/>
    </w:r>
    <w:r w:rsidRPr="00BB3931">
      <w:rPr>
        <w:rFonts w:ascii="宋体" w:eastAsia="宋体" w:hAnsi="宋体" w:cs="宋体" w:hint="eastAsia"/>
        <w:sz w:val="20"/>
        <w:szCs w:val="20"/>
        <w:lang w:bidi="ar"/>
      </w:rPr>
      <w:instrText>PAGE  \* MERGEFORMAT</w:instrText>
    </w:r>
    <w:r w:rsidRPr="00BB3931">
      <w:rPr>
        <w:rFonts w:ascii="宋体" w:eastAsia="宋体" w:hAnsi="宋体" w:cs="Times New Roman" w:hint="eastAsia"/>
        <w:sz w:val="20"/>
        <w:szCs w:val="20"/>
        <w:lang w:bidi="ar"/>
      </w:rPr>
      <w:fldChar w:fldCharType="separate"/>
    </w:r>
    <w:r w:rsidRPr="00BB3931" w:rsidR="00421707">
      <w:rPr>
        <w:rFonts w:ascii="宋体" w:eastAsia="宋体" w:hAnsi="宋体" w:cs="宋体"/>
        <w:noProof/>
        <w:sz w:val="20"/>
        <w:szCs w:val="20"/>
        <w:lang w:bidi="ar"/>
      </w:rPr>
      <w:t>2</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r w:rsidRPr="00BB3931" w:rsidR="00FA6399">
      <w:rPr>
        <w:rFonts w:ascii="宋体" w:eastAsia="宋体" w:hAnsi="宋体" w:cs="宋体" w:hint="eastAsia"/>
        <w:sz w:val="20"/>
        <w:szCs w:val="20"/>
        <w:lang w:bidi="ar"/>
      </w:rPr>
      <w:t>，</w:t>
    </w:r>
    <w:r w:rsidRPr="00BB3931">
      <w:rPr>
        <w:rFonts w:ascii="宋体" w:eastAsia="宋体" w:hAnsi="宋体" w:cs="宋体" w:hint="eastAsia"/>
        <w:sz w:val="20"/>
        <w:szCs w:val="20"/>
        <w:lang w:bidi="ar"/>
      </w:rPr>
      <w:t>共</w:t>
    </w:r>
    <w:r w:rsidRPr="00BB3931">
      <w:rPr>
        <w:rFonts w:ascii="宋体" w:eastAsia="宋体" w:hAnsi="宋体" w:cs="Times New Roman" w:hint="eastAsia"/>
        <w:sz w:val="20"/>
        <w:szCs w:val="20"/>
        <w:lang w:bidi="ar"/>
      </w:rPr>
      <w:fldChar w:fldCharType="begin"/>
    </w:r>
    <w:r w:rsidRPr="00BB3931" w:rsidR="00210325">
      <w:rPr>
        <w:rFonts w:ascii="宋体" w:eastAsia="宋体" w:hAnsi="宋体" w:cs="Times New Roman"/>
        <w:sz w:val="20"/>
        <w:szCs w:val="20"/>
        <w:lang w:bidi="ar"/>
      </w:rPr>
      <w:instrText>=</w:instrText>
    </w:r>
    <w:r w:rsidRPr="00BB3931" w:rsidR="00210325">
      <w:rPr>
        <w:rFonts w:ascii="宋体" w:eastAsia="宋体" w:hAnsi="宋体" w:cs="宋体"/>
        <w:sz w:val="20"/>
        <w:szCs w:val="20"/>
        <w:lang w:bidi="ar"/>
      </w:rPr>
      <w:fldChar w:fldCharType="begin"/>
    </w:r>
    <w:r w:rsidRPr="00BB3931" w:rsidR="00210325">
      <w:rPr>
        <w:rFonts w:ascii="宋体" w:eastAsia="宋体" w:hAnsi="宋体" w:cs="宋体"/>
        <w:sz w:val="20"/>
        <w:szCs w:val="20"/>
        <w:lang w:bidi="ar"/>
      </w:rPr>
      <w:instrText xml:space="preserve"> </w:instrText>
    </w:r>
    <w:r w:rsidRPr="00BB3931">
      <w:rPr>
        <w:rFonts w:ascii="宋体" w:eastAsia="宋体" w:hAnsi="宋体" w:cs="宋体" w:hint="eastAsia"/>
        <w:sz w:val="20"/>
        <w:szCs w:val="20"/>
        <w:lang w:bidi="ar"/>
      </w:rPr>
      <w:instrText>NUMPAGES</w:instrText>
    </w:r>
    <w:r w:rsidRPr="00BB3931" w:rsidR="00210325">
      <w:rPr>
        <w:rFonts w:ascii="宋体" w:eastAsia="宋体" w:hAnsi="宋体" w:cs="宋体"/>
        <w:sz w:val="20"/>
        <w:szCs w:val="20"/>
        <w:lang w:bidi="ar"/>
      </w:rPr>
      <w:instrText xml:space="preserve"> </w:instrText>
    </w:r>
    <w:r w:rsidRPr="00BB3931" w:rsidR="00210325">
      <w:rPr>
        <w:rFonts w:ascii="宋体" w:eastAsia="宋体" w:hAnsi="宋体" w:cs="宋体"/>
        <w:sz w:val="20"/>
        <w:szCs w:val="20"/>
        <w:lang w:bidi="ar"/>
      </w:rPr>
      <w:fldChar w:fldCharType="separate"/>
    </w:r>
    <w:r w:rsidR="00F07C93">
      <w:rPr>
        <w:rFonts w:ascii="宋体" w:eastAsia="宋体" w:hAnsi="宋体" w:cs="宋体"/>
        <w:noProof/>
        <w:sz w:val="20"/>
        <w:szCs w:val="20"/>
        <w:lang w:bidi="ar"/>
      </w:rPr>
      <w:instrText>2</w:instrText>
    </w:r>
    <w:r w:rsidRPr="00BB3931" w:rsidR="00210325">
      <w:rPr>
        <w:rFonts w:ascii="宋体" w:eastAsia="宋体" w:hAnsi="宋体" w:cs="宋体"/>
        <w:sz w:val="20"/>
        <w:szCs w:val="20"/>
        <w:lang w:bidi="ar"/>
      </w:rPr>
      <w:fldChar w:fldCharType="end"/>
    </w:r>
    <w:r w:rsidRPr="00BB3931" w:rsidR="00210325">
      <w:rPr>
        <w:rFonts w:ascii="宋体" w:eastAsia="宋体" w:hAnsi="宋体" w:cs="宋体"/>
        <w:sz w:val="20"/>
        <w:szCs w:val="20"/>
        <w:lang w:bidi="ar"/>
      </w:rPr>
      <w:instrText>-1</w:instrText>
    </w:r>
    <w:r w:rsidRPr="00BB3931">
      <w:rPr>
        <w:rFonts w:ascii="宋体" w:eastAsia="宋体" w:hAnsi="宋体" w:cs="Times New Roman" w:hint="eastAsia"/>
        <w:sz w:val="20"/>
        <w:szCs w:val="20"/>
        <w:lang w:bidi="ar"/>
      </w:rPr>
      <w:fldChar w:fldCharType="separate"/>
    </w:r>
    <w:r w:rsidR="00F07C93">
      <w:rPr>
        <w:rFonts w:ascii="宋体" w:eastAsia="宋体" w:hAnsi="宋体" w:cs="Times New Roman"/>
        <w:noProof/>
        <w:sz w:val="20"/>
        <w:szCs w:val="20"/>
        <w:lang w:bidi="ar"/>
      </w:rPr>
      <w:t>1</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26604EC9"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A3BB5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A53CFE" w14:paraId="53998A64" w14:textId="77777777">
    <w:pPr>
      <w:pBdr>
        <w:bottom w:val="single" w:sz="4" w:space="1" w:color="auto"/>
      </w:pBdr>
      <w:jc w:val="right"/>
      <w:rPr>
        <w:rFonts w:ascii="宋体" w:eastAsia="宋体" w:hAnsi="宋体"/>
      </w:rPr>
    </w:pPr>
    <w:r w:rsidRPr="00A53CFE">
      <w:rPr>
        <w:rFonts w:ascii="宋体" w:eastAsia="宋体" w:hAnsi="宋体" w:hint="eastAsia"/>
        <w:sz w:val="18"/>
      </w:rPr>
      <w:t>东方阿尔法产业先锋混合型发起式证券投资基金2026年第3季度报告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0734E7EB"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FFCBC"/>
  <w15:docId w15:val="{D89B03D2-9D7D-433E-9AEE-2EA6D7CF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24</Words>
  <Characters>139</Characters>
  <Application>Microsoft Office Word</Application>
  <DocSecurity>0</DocSecurity>
  <Lines>1</Lines>
  <Paragraphs>1</Paragraphs>
  <ScaleCrop>false</ScaleCrop>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8</cp:revision>
  <dcterms:created xsi:type="dcterms:W3CDTF">2020-03-27T02:14:00Z</dcterms:created>
  <dcterms:modified xsi:type="dcterms:W3CDTF">2024-12-03T03:02:00Z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