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themeColor="background1"/>
  <w:body>
    <w:p>
      <w:pPr>
        <w:tabs>
          <w:tab w:val="left" w:pos="6660"/>
        </w:tabs>
        <w:spacing w:line="360" w:lineRule="auto"/>
        <w:jc w:val="center"/>
        <w:rPr>
          <w:rFonts w:ascii="宋体" w:hAnsi="宋体" w:cs="宋体"/>
          <w:bCs/>
          <w:sz w:val="44"/>
        </w:rPr>
        <w:sectPr>
          <w:headerReference r:id="rId4" w:type="first"/>
          <w:footerReference r:id="rId5" w:type="first"/>
          <w:headerReference r:id="rId3" w:type="default"/>
          <w:type w:val="continuous"/>
          <w:pgSz w:w="11906" w:h="16838"/>
          <w:pgMar w:top="1440" w:right="1800" w:bottom="1440" w:left="1800" w:header="851" w:footer="992" w:gutter="0"/>
          <w:pgNumType w:start="1"/>
          <w:cols w:space="720" w:num="1"/>
          <w:docGrid w:type="lines" w:linePitch="312" w:charSpace="0"/>
        </w:sectPr>
      </w:pPr>
      <w:bookmarkStart w:id="0" w:name="TITLE_1dcaabda2013410d90fa438b83fbe5e8"/>
      <w:bookmarkStart w:id="1" w:name="OLE_LINK16"/>
      <w:bookmarkStart w:id="2" w:name="OLE_LINK192"/>
      <w:bookmarkStart w:id="3" w:name="OLE_LINK15"/>
    </w:p>
    <w:bookmarkEnd w:id="0"/>
    <w:p>
      <w:pPr>
        <w:jc w:val="center"/>
        <w:rPr>
          <w:rFonts w:ascii="宋体" w:hAnsi="宋体" w:cs="宋体"/>
          <w:b/>
          <w:sz w:val="52"/>
        </w:rPr>
      </w:pPr>
      <w:bookmarkStart w:id="4" w:name="CLAUSE_dc870a3347954c7fa94b8c9b3e218d43"/>
    </w:p>
    <w:p>
      <w:pPr>
        <w:jc w:val="center"/>
        <w:rPr>
          <w:rFonts w:ascii="宋体" w:hAnsi="宋体" w:cs="宋体"/>
          <w:b/>
          <w:sz w:val="48"/>
          <w:szCs w:val="18"/>
        </w:rPr>
      </w:pPr>
      <w:r>
        <w:rPr>
          <w:rFonts w:hint="eastAsia" w:ascii="宋体" w:hAnsi="宋体" w:cs="宋体"/>
          <w:b/>
          <w:sz w:val="48"/>
          <w:szCs w:val="18"/>
        </w:rPr>
        <w:t>东方阿尔法基金管理有限公司</w:t>
      </w:r>
    </w:p>
    <w:p>
      <w:pPr>
        <w:rPr>
          <w:rFonts w:ascii="宋体" w:hAnsi="宋体" w:cs="宋体"/>
          <w:b/>
        </w:rPr>
      </w:pPr>
    </w:p>
    <w:p>
      <w:pPr>
        <w:jc w:val="center"/>
        <w:rPr>
          <w:rFonts w:ascii="宋体" w:hAnsi="宋体" w:cs="宋体"/>
          <w:b/>
          <w:sz w:val="52"/>
        </w:rPr>
      </w:pPr>
    </w:p>
    <w:p>
      <w:pPr>
        <w:jc w:val="center"/>
        <w:rPr>
          <w:rFonts w:ascii="宋体" w:hAnsi="宋体" w:cs="宋体"/>
          <w:b/>
          <w:sz w:val="40"/>
          <w:szCs w:val="40"/>
        </w:rPr>
      </w:pPr>
      <w:bookmarkStart w:id="5" w:name="_Toc123112261"/>
      <w:bookmarkStart w:id="6" w:name="_Toc123112222"/>
      <w:bookmarkStart w:id="7" w:name="_Toc139991724"/>
      <w:bookmarkStart w:id="8" w:name="_Toc123701381"/>
      <w:bookmarkStart w:id="9" w:name="_Toc139992299"/>
      <w:bookmarkStart w:id="10" w:name="OLE_LINK13"/>
      <w:r>
        <w:rPr>
          <w:rFonts w:hint="eastAsia" w:ascii="宋体" w:hAnsi="宋体" w:cs="宋体"/>
          <w:b/>
          <w:sz w:val="40"/>
          <w:szCs w:val="40"/>
        </w:rPr>
        <w:t>东方阿尔法聚利63个月封闭式债券型</w:t>
      </w:r>
    </w:p>
    <w:p>
      <w:pPr>
        <w:jc w:val="center"/>
        <w:rPr>
          <w:rFonts w:ascii="宋体" w:hAnsi="宋体" w:cs="宋体"/>
          <w:b/>
          <w:sz w:val="48"/>
        </w:rPr>
      </w:pPr>
      <w:r>
        <w:rPr>
          <w:rFonts w:hint="eastAsia" w:ascii="宋体" w:hAnsi="宋体" w:cs="宋体"/>
          <w:b/>
          <w:sz w:val="40"/>
          <w:szCs w:val="40"/>
        </w:rPr>
        <w:t>证券投资基金</w:t>
      </w:r>
      <w:bookmarkEnd w:id="5"/>
      <w:bookmarkEnd w:id="6"/>
      <w:bookmarkEnd w:id="7"/>
      <w:bookmarkEnd w:id="8"/>
      <w:bookmarkEnd w:id="9"/>
      <w:bookmarkEnd w:id="10"/>
      <w:bookmarkStart w:id="11" w:name="_Toc123112262"/>
      <w:bookmarkStart w:id="12" w:name="_Toc123112223"/>
      <w:bookmarkStart w:id="13" w:name="_Toc123701382"/>
      <w:bookmarkStart w:id="14" w:name="_Toc139991725"/>
      <w:bookmarkStart w:id="15" w:name="_Toc139992300"/>
      <w:r>
        <w:rPr>
          <w:rFonts w:hint="eastAsia" w:ascii="宋体" w:hAnsi="宋体" w:cs="宋体"/>
          <w:b/>
          <w:sz w:val="40"/>
          <w:szCs w:val="40"/>
        </w:rPr>
        <w:t>基金合同</w:t>
      </w:r>
      <w:bookmarkEnd w:id="11"/>
      <w:bookmarkEnd w:id="12"/>
      <w:bookmarkEnd w:id="13"/>
      <w:bookmarkEnd w:id="14"/>
      <w:bookmarkEnd w:id="15"/>
    </w:p>
    <w:p>
      <w:pPr>
        <w:jc w:val="center"/>
        <w:rPr>
          <w:rFonts w:ascii="宋体" w:hAnsi="宋体" w:cs="宋体"/>
          <w:b/>
          <w:sz w:val="52"/>
        </w:rPr>
      </w:pPr>
    </w:p>
    <w:p>
      <w:pPr>
        <w:jc w:val="center"/>
        <w:rPr>
          <w:rFonts w:ascii="宋体" w:hAnsi="宋体" w:cs="宋体"/>
          <w:b/>
          <w:sz w:val="52"/>
        </w:rPr>
      </w:pPr>
    </w:p>
    <w:p>
      <w:pPr>
        <w:jc w:val="center"/>
        <w:rPr>
          <w:rFonts w:ascii="宋体" w:hAnsi="宋体" w:cs="宋体"/>
          <w:b/>
          <w:sz w:val="52"/>
        </w:rPr>
      </w:pPr>
    </w:p>
    <w:p>
      <w:pPr>
        <w:jc w:val="center"/>
        <w:rPr>
          <w:rFonts w:ascii="宋体" w:hAnsi="宋体" w:cs="宋体"/>
          <w:b/>
          <w:sz w:val="52"/>
        </w:rPr>
      </w:pPr>
    </w:p>
    <w:p>
      <w:pPr>
        <w:jc w:val="center"/>
        <w:rPr>
          <w:rFonts w:ascii="宋体" w:hAnsi="宋体" w:cs="宋体"/>
          <w:b/>
          <w:sz w:val="52"/>
        </w:rPr>
      </w:pPr>
    </w:p>
    <w:p>
      <w:pPr>
        <w:rPr>
          <w:rFonts w:ascii="宋体" w:hAnsi="宋体" w:cs="宋体"/>
          <w:b/>
        </w:rPr>
      </w:pPr>
    </w:p>
    <w:p>
      <w:pPr>
        <w:spacing w:line="360" w:lineRule="auto"/>
        <w:ind w:firstLine="1285" w:firstLineChars="400"/>
        <w:outlineLvl w:val="0"/>
        <w:rPr>
          <w:rFonts w:ascii="宋体" w:hAnsi="宋体" w:cs="宋体"/>
          <w:sz w:val="28"/>
          <w:szCs w:val="18"/>
        </w:rPr>
      </w:pPr>
      <w:bookmarkStart w:id="16" w:name="_Toc123112263"/>
      <w:bookmarkStart w:id="17" w:name="_Toc123701383"/>
      <w:bookmarkStart w:id="18" w:name="_Toc139992301"/>
      <w:bookmarkStart w:id="19" w:name="_Toc139991726"/>
      <w:bookmarkStart w:id="20" w:name="_Toc123112224"/>
      <w:bookmarkStart w:id="21" w:name="_Toc24732"/>
      <w:r>
        <w:rPr>
          <w:rFonts w:hint="eastAsia" w:ascii="宋体" w:hAnsi="宋体" w:cs="宋体"/>
          <w:b/>
          <w:sz w:val="32"/>
          <w:szCs w:val="18"/>
        </w:rPr>
        <w:t>基金管理人：</w:t>
      </w:r>
      <w:bookmarkEnd w:id="16"/>
      <w:bookmarkEnd w:id="17"/>
      <w:bookmarkEnd w:id="18"/>
      <w:bookmarkEnd w:id="19"/>
      <w:bookmarkEnd w:id="20"/>
      <w:r>
        <w:rPr>
          <w:rFonts w:hint="eastAsia" w:ascii="宋体" w:hAnsi="宋体" w:cs="宋体"/>
          <w:sz w:val="28"/>
          <w:szCs w:val="18"/>
        </w:rPr>
        <w:t>东方阿尔法基金管理有限公司</w:t>
      </w:r>
      <w:bookmarkEnd w:id="21"/>
    </w:p>
    <w:p>
      <w:pPr>
        <w:ind w:firstLine="1285" w:firstLineChars="400"/>
        <w:rPr>
          <w:rFonts w:ascii="宋体" w:hAnsi="宋体" w:cs="宋体"/>
          <w:b/>
          <w:sz w:val="32"/>
          <w:szCs w:val="18"/>
        </w:rPr>
      </w:pPr>
      <w:bookmarkStart w:id="22" w:name="_Toc123112264"/>
      <w:bookmarkStart w:id="23" w:name="_Toc123701384"/>
      <w:bookmarkStart w:id="24" w:name="_Toc139991727"/>
      <w:bookmarkStart w:id="25" w:name="_Toc123112225"/>
      <w:bookmarkStart w:id="26" w:name="_Toc139992302"/>
      <w:r>
        <w:rPr>
          <w:rFonts w:hint="eastAsia" w:ascii="宋体" w:hAnsi="宋体" w:cs="宋体"/>
          <w:b/>
          <w:sz w:val="32"/>
          <w:szCs w:val="18"/>
        </w:rPr>
        <w:t>基金托管人：</w:t>
      </w:r>
      <w:r>
        <w:rPr>
          <w:rFonts w:hint="eastAsia" w:ascii="宋体" w:hAnsi="宋体" w:cs="宋体"/>
          <w:sz w:val="28"/>
          <w:szCs w:val="18"/>
        </w:rPr>
        <w:t>招商银行股份有限公司</w:t>
      </w:r>
      <w:r>
        <w:rPr>
          <w:rFonts w:hint="eastAsia" w:ascii="宋体" w:hAnsi="宋体" w:cs="宋体"/>
          <w:b/>
          <w:sz w:val="32"/>
          <w:szCs w:val="18"/>
        </w:rPr>
        <w:t xml:space="preserve">       </w:t>
      </w:r>
      <w:bookmarkEnd w:id="22"/>
      <w:bookmarkEnd w:id="23"/>
      <w:bookmarkEnd w:id="24"/>
      <w:bookmarkEnd w:id="25"/>
      <w:bookmarkEnd w:id="26"/>
      <w:r>
        <w:rPr>
          <w:rFonts w:hint="eastAsia" w:ascii="宋体" w:hAnsi="宋体" w:cs="宋体"/>
          <w:b/>
          <w:sz w:val="32"/>
          <w:szCs w:val="18"/>
        </w:rPr>
        <w:t xml:space="preserve"> </w:t>
      </w:r>
    </w:p>
    <w:p>
      <w:pPr>
        <w:jc w:val="center"/>
        <w:rPr>
          <w:rFonts w:ascii="宋体" w:hAnsi="宋体" w:cs="宋体"/>
          <w:bCs/>
          <w:sz w:val="28"/>
          <w:szCs w:val="18"/>
        </w:rPr>
      </w:pPr>
    </w:p>
    <w:p>
      <w:pPr>
        <w:jc w:val="center"/>
        <w:rPr>
          <w:rFonts w:ascii="宋体" w:hAnsi="宋体" w:cs="宋体"/>
          <w:bCs/>
          <w:sz w:val="24"/>
          <w:szCs w:val="18"/>
        </w:rPr>
      </w:pPr>
      <w:bookmarkStart w:id="27" w:name="_Toc123112266"/>
      <w:bookmarkStart w:id="28" w:name="_Toc123112227"/>
      <w:bookmarkStart w:id="29" w:name="_Toc139991729"/>
      <w:bookmarkStart w:id="30" w:name="_Toc123701386"/>
    </w:p>
    <w:p>
      <w:pPr>
        <w:jc w:val="center"/>
        <w:rPr>
          <w:rFonts w:ascii="宋体" w:hAnsi="宋体" w:cs="宋体"/>
          <w:bCs/>
          <w:sz w:val="24"/>
          <w:szCs w:val="18"/>
        </w:rPr>
        <w:sectPr>
          <w:type w:val="continuous"/>
          <w:pgSz w:w="11906" w:h="16838"/>
          <w:pgMar w:top="1440" w:right="1800" w:bottom="1440" w:left="1800" w:header="851" w:footer="992" w:gutter="0"/>
          <w:pgNumType w:start="1"/>
          <w:cols w:space="720" w:num="1"/>
          <w:titlePg/>
          <w:docGrid w:type="lines" w:linePitch="312" w:charSpace="0"/>
        </w:sectPr>
      </w:pPr>
      <w:r>
        <w:rPr>
          <w:rFonts w:hint="eastAsia" w:ascii="宋体" w:hAnsi="宋体" w:cs="宋体"/>
          <w:b/>
          <w:bCs/>
          <w:sz w:val="28"/>
          <w:szCs w:val="18"/>
        </w:rPr>
        <w:t>二零二六年</w:t>
      </w:r>
      <w:r>
        <w:rPr>
          <w:rFonts w:hint="eastAsia" w:ascii="宋体" w:hAnsi="宋体" w:cs="宋体"/>
          <w:b/>
          <w:bCs/>
          <w:sz w:val="28"/>
          <w:szCs w:val="18"/>
          <w:lang w:val="en-US" w:eastAsia="zh-CN"/>
        </w:rPr>
        <w:t>十</w:t>
      </w:r>
      <w:r>
        <w:rPr>
          <w:rFonts w:hint="eastAsia" w:ascii="宋体" w:hAnsi="宋体" w:cs="宋体"/>
          <w:b/>
          <w:bCs/>
          <w:sz w:val="28"/>
          <w:szCs w:val="18"/>
        </w:rPr>
        <w:t>月</w:t>
      </w:r>
    </w:p>
    <w:bookmarkEnd w:id="4"/>
    <w:p>
      <w:pPr>
        <w:jc w:val="center"/>
        <w:rPr>
          <w:rFonts w:ascii="宋体" w:hAnsi="宋体" w:cs="宋体"/>
          <w:bCs/>
          <w:sz w:val="28"/>
        </w:rPr>
      </w:pPr>
      <w:bookmarkStart w:id="31" w:name="CLAUSE_55ae710661bb48159fc07b3341cee4dd"/>
      <w:r>
        <w:rPr>
          <w:rFonts w:hint="eastAsia" w:ascii="宋体" w:hAnsi="宋体" w:cs="宋体"/>
        </w:rPr>
        <w:t xml:space="preserve"> </w:t>
      </w:r>
      <w:bookmarkStart w:id="32" w:name="CTS_55ae710661bb48159fc07b3341cee4dd"/>
      <w:bookmarkEnd w:id="32"/>
      <w:r>
        <w:rPr>
          <w:rFonts w:hint="eastAsia" w:ascii="宋体" w:hAnsi="宋体" w:cs="宋体"/>
          <w:bCs/>
          <w:sz w:val="28"/>
        </w:rPr>
        <w:t>目    录</w:t>
      </w:r>
      <w:bookmarkEnd w:id="27"/>
      <w:bookmarkEnd w:id="28"/>
      <w:bookmarkEnd w:id="29"/>
      <w:bookmarkEnd w:id="30"/>
    </w:p>
    <w:p>
      <w:pPr>
        <w:pStyle w:val="15"/>
        <w:tabs>
          <w:tab w:val="right" w:leader="dot" w:pos="8306"/>
          <w:tab w:val="clear" w:pos="8296"/>
        </w:tabs>
        <w:rPr>
          <w:rFonts w:ascii="宋体" w:hAnsi="宋体" w:cs="宋体"/>
          <w:sz w:val="24"/>
          <w:szCs w:val="24"/>
        </w:rPr>
      </w:pPr>
      <w:r>
        <w:rPr>
          <w:rFonts w:hint="eastAsia" w:ascii="宋体" w:hAnsi="宋体" w:cs="宋体"/>
          <w:bCs/>
          <w:sz w:val="24"/>
        </w:rPr>
        <w:fldChar w:fldCharType="begin"/>
      </w:r>
      <w:r>
        <w:rPr>
          <w:rFonts w:hint="eastAsia" w:ascii="宋体" w:hAnsi="宋体" w:cs="宋体"/>
          <w:bCs/>
          <w:sz w:val="24"/>
        </w:rPr>
        <w:instrText xml:space="preserve"> TOC \o "1-1" \h \z \u </w:instrText>
      </w:r>
      <w:r>
        <w:rPr>
          <w:rFonts w:hint="eastAsia" w:ascii="宋体" w:hAnsi="宋体" w:cs="宋体"/>
          <w:bCs/>
          <w:sz w:val="24"/>
        </w:rPr>
        <w:fldChar w:fldCharType="separate"/>
      </w:r>
      <w:r>
        <w:fldChar w:fldCharType="begin"/>
      </w:r>
      <w:r>
        <w:instrText xml:space="preserve"> HYPERLINK \l "_Toc9598" </w:instrText>
      </w:r>
      <w:r>
        <w:fldChar w:fldCharType="separate"/>
      </w:r>
      <w:r>
        <w:rPr>
          <w:rFonts w:hint="eastAsia" w:ascii="宋体" w:hAnsi="宋体" w:cs="宋体"/>
          <w:sz w:val="24"/>
          <w:szCs w:val="24"/>
        </w:rPr>
        <w:t>第一部分  前言</w:t>
      </w:r>
      <w:r>
        <w:rPr>
          <w:rFonts w:hint="eastAsia" w:ascii="宋体" w:hAnsi="宋体" w:cs="宋体"/>
          <w:sz w:val="24"/>
          <w:szCs w:val="24"/>
        </w:rPr>
        <w:tab/>
      </w:r>
      <w:r>
        <w:rPr>
          <w:rFonts w:hint="eastAsia" w:ascii="宋体" w:hAnsi="宋体" w:cs="宋体"/>
          <w:sz w:val="24"/>
          <w:szCs w:val="24"/>
        </w:rPr>
        <w:fldChar w:fldCharType="begin"/>
      </w:r>
      <w:r>
        <w:rPr>
          <w:rFonts w:hint="eastAsia" w:ascii="宋体" w:hAnsi="宋体" w:cs="宋体"/>
          <w:sz w:val="24"/>
          <w:szCs w:val="24"/>
        </w:rPr>
        <w:instrText xml:space="preserve"> PAGEREF _Toc9598 \h </w:instrText>
      </w:r>
      <w:r>
        <w:rPr>
          <w:rFonts w:hint="eastAsia" w:ascii="宋体" w:hAnsi="宋体" w:cs="宋体"/>
          <w:sz w:val="24"/>
          <w:szCs w:val="24"/>
        </w:rPr>
        <w:fldChar w:fldCharType="separate"/>
      </w:r>
      <w:r>
        <w:rPr>
          <w:rFonts w:hint="eastAsia" w:ascii="宋体" w:hAnsi="宋体" w:cs="宋体"/>
          <w:sz w:val="24"/>
          <w:szCs w:val="24"/>
        </w:rPr>
        <w:t>1</w:t>
      </w:r>
      <w:r>
        <w:rPr>
          <w:rFonts w:hint="eastAsia" w:ascii="宋体" w:hAnsi="宋体" w:cs="宋体"/>
          <w:sz w:val="24"/>
          <w:szCs w:val="24"/>
        </w:rPr>
        <w:fldChar w:fldCharType="end"/>
      </w:r>
      <w:r>
        <w:rPr>
          <w:rFonts w:hint="eastAsia" w:ascii="宋体" w:hAnsi="宋体" w:cs="宋体"/>
          <w:sz w:val="24"/>
          <w:szCs w:val="24"/>
        </w:rPr>
        <w:fldChar w:fldCharType="end"/>
      </w:r>
    </w:p>
    <w:p>
      <w:pPr>
        <w:pStyle w:val="15"/>
        <w:tabs>
          <w:tab w:val="right" w:leader="dot" w:pos="8306"/>
          <w:tab w:val="clear" w:pos="8296"/>
        </w:tabs>
        <w:rPr>
          <w:rFonts w:ascii="宋体" w:hAnsi="宋体" w:cs="宋体"/>
          <w:sz w:val="24"/>
          <w:szCs w:val="24"/>
        </w:rPr>
      </w:pPr>
      <w:r>
        <w:fldChar w:fldCharType="begin"/>
      </w:r>
      <w:r>
        <w:instrText xml:space="preserve"> HYPERLINK \l "_Toc8772" </w:instrText>
      </w:r>
      <w:r>
        <w:fldChar w:fldCharType="separate"/>
      </w:r>
      <w:r>
        <w:rPr>
          <w:rFonts w:hint="eastAsia" w:ascii="宋体" w:hAnsi="宋体" w:cs="宋体"/>
          <w:sz w:val="24"/>
          <w:szCs w:val="24"/>
        </w:rPr>
        <w:t>第二部分  释义</w:t>
      </w:r>
      <w:r>
        <w:rPr>
          <w:rFonts w:hint="eastAsia" w:ascii="宋体" w:hAnsi="宋体" w:cs="宋体"/>
          <w:sz w:val="24"/>
          <w:szCs w:val="24"/>
        </w:rPr>
        <w:tab/>
      </w:r>
      <w:r>
        <w:rPr>
          <w:rFonts w:hint="eastAsia" w:ascii="宋体" w:hAnsi="宋体" w:cs="宋体"/>
          <w:sz w:val="24"/>
          <w:szCs w:val="24"/>
        </w:rPr>
        <w:fldChar w:fldCharType="begin"/>
      </w:r>
      <w:r>
        <w:rPr>
          <w:rFonts w:hint="eastAsia" w:ascii="宋体" w:hAnsi="宋体" w:cs="宋体"/>
          <w:sz w:val="24"/>
          <w:szCs w:val="24"/>
        </w:rPr>
        <w:instrText xml:space="preserve"> PAGEREF _Toc8772 \h </w:instrText>
      </w:r>
      <w:r>
        <w:rPr>
          <w:rFonts w:hint="eastAsia" w:ascii="宋体" w:hAnsi="宋体" w:cs="宋体"/>
          <w:sz w:val="24"/>
          <w:szCs w:val="24"/>
        </w:rPr>
        <w:fldChar w:fldCharType="separate"/>
      </w:r>
      <w:r>
        <w:rPr>
          <w:rFonts w:hint="eastAsia" w:ascii="宋体" w:hAnsi="宋体" w:cs="宋体"/>
          <w:sz w:val="24"/>
          <w:szCs w:val="24"/>
        </w:rPr>
        <w:t>3</w:t>
      </w:r>
      <w:r>
        <w:rPr>
          <w:rFonts w:hint="eastAsia" w:ascii="宋体" w:hAnsi="宋体" w:cs="宋体"/>
          <w:sz w:val="24"/>
          <w:szCs w:val="24"/>
        </w:rPr>
        <w:fldChar w:fldCharType="end"/>
      </w:r>
      <w:r>
        <w:rPr>
          <w:rFonts w:hint="eastAsia" w:ascii="宋体" w:hAnsi="宋体" w:cs="宋体"/>
          <w:sz w:val="24"/>
          <w:szCs w:val="24"/>
        </w:rPr>
        <w:fldChar w:fldCharType="end"/>
      </w:r>
    </w:p>
    <w:p>
      <w:pPr>
        <w:pStyle w:val="15"/>
        <w:tabs>
          <w:tab w:val="right" w:leader="dot" w:pos="8306"/>
          <w:tab w:val="clear" w:pos="8296"/>
        </w:tabs>
        <w:rPr>
          <w:rFonts w:ascii="宋体" w:hAnsi="宋体" w:cs="宋体"/>
          <w:sz w:val="24"/>
          <w:szCs w:val="24"/>
        </w:rPr>
      </w:pPr>
      <w:r>
        <w:fldChar w:fldCharType="begin"/>
      </w:r>
      <w:r>
        <w:instrText xml:space="preserve"> HYPERLINK \l "_Toc15222" </w:instrText>
      </w:r>
      <w:r>
        <w:fldChar w:fldCharType="separate"/>
      </w:r>
      <w:r>
        <w:rPr>
          <w:rFonts w:hint="eastAsia" w:ascii="宋体" w:hAnsi="宋体" w:cs="宋体"/>
          <w:sz w:val="24"/>
          <w:szCs w:val="24"/>
        </w:rPr>
        <w:t>第三部分  基金的基本情况</w:t>
      </w:r>
      <w:r>
        <w:rPr>
          <w:rFonts w:hint="eastAsia" w:ascii="宋体" w:hAnsi="宋体" w:cs="宋体"/>
          <w:sz w:val="24"/>
          <w:szCs w:val="24"/>
        </w:rPr>
        <w:tab/>
      </w:r>
      <w:r>
        <w:rPr>
          <w:rFonts w:hint="eastAsia" w:ascii="宋体" w:hAnsi="宋体" w:cs="宋体"/>
          <w:sz w:val="24"/>
          <w:szCs w:val="24"/>
        </w:rPr>
        <w:fldChar w:fldCharType="begin"/>
      </w:r>
      <w:r>
        <w:rPr>
          <w:rFonts w:hint="eastAsia" w:ascii="宋体" w:hAnsi="宋体" w:cs="宋体"/>
          <w:sz w:val="24"/>
          <w:szCs w:val="24"/>
        </w:rPr>
        <w:instrText xml:space="preserve"> PAGEREF _Toc15222 \h </w:instrText>
      </w:r>
      <w:r>
        <w:rPr>
          <w:rFonts w:hint="eastAsia" w:ascii="宋体" w:hAnsi="宋体" w:cs="宋体"/>
          <w:sz w:val="24"/>
          <w:szCs w:val="24"/>
        </w:rPr>
        <w:fldChar w:fldCharType="separate"/>
      </w:r>
      <w:r>
        <w:rPr>
          <w:rFonts w:hint="eastAsia" w:ascii="宋体" w:hAnsi="宋体" w:cs="宋体"/>
          <w:sz w:val="24"/>
          <w:szCs w:val="24"/>
        </w:rPr>
        <w:t>7</w:t>
      </w:r>
      <w:r>
        <w:rPr>
          <w:rFonts w:hint="eastAsia" w:ascii="宋体" w:hAnsi="宋体" w:cs="宋体"/>
          <w:sz w:val="24"/>
          <w:szCs w:val="24"/>
        </w:rPr>
        <w:fldChar w:fldCharType="end"/>
      </w:r>
      <w:r>
        <w:rPr>
          <w:rFonts w:hint="eastAsia" w:ascii="宋体" w:hAnsi="宋体" w:cs="宋体"/>
          <w:sz w:val="24"/>
          <w:szCs w:val="24"/>
        </w:rPr>
        <w:fldChar w:fldCharType="end"/>
      </w:r>
    </w:p>
    <w:p>
      <w:pPr>
        <w:pStyle w:val="15"/>
        <w:tabs>
          <w:tab w:val="right" w:leader="dot" w:pos="8306"/>
          <w:tab w:val="clear" w:pos="8296"/>
        </w:tabs>
        <w:rPr>
          <w:rFonts w:ascii="宋体" w:hAnsi="宋体" w:cs="宋体"/>
          <w:sz w:val="24"/>
          <w:szCs w:val="24"/>
        </w:rPr>
      </w:pPr>
      <w:r>
        <w:fldChar w:fldCharType="begin"/>
      </w:r>
      <w:r>
        <w:instrText xml:space="preserve"> HYPERLINK \l "_Toc32194" </w:instrText>
      </w:r>
      <w:r>
        <w:fldChar w:fldCharType="separate"/>
      </w:r>
      <w:r>
        <w:rPr>
          <w:rFonts w:hint="eastAsia" w:ascii="宋体" w:hAnsi="宋体" w:cs="宋体"/>
          <w:sz w:val="24"/>
          <w:szCs w:val="24"/>
        </w:rPr>
        <w:t>第四部分  基金份额的发售</w:t>
      </w:r>
      <w:r>
        <w:rPr>
          <w:rFonts w:hint="eastAsia" w:ascii="宋体" w:hAnsi="宋体" w:cs="宋体"/>
          <w:sz w:val="24"/>
          <w:szCs w:val="24"/>
        </w:rPr>
        <w:tab/>
      </w:r>
      <w:r>
        <w:rPr>
          <w:rFonts w:hint="eastAsia" w:ascii="宋体" w:hAnsi="宋体" w:cs="宋体"/>
          <w:sz w:val="24"/>
          <w:szCs w:val="24"/>
        </w:rPr>
        <w:fldChar w:fldCharType="begin"/>
      </w:r>
      <w:r>
        <w:rPr>
          <w:rFonts w:hint="eastAsia" w:ascii="宋体" w:hAnsi="宋体" w:cs="宋体"/>
          <w:sz w:val="24"/>
          <w:szCs w:val="24"/>
        </w:rPr>
        <w:instrText xml:space="preserve"> PAGEREF _Toc32194 \h </w:instrText>
      </w:r>
      <w:r>
        <w:rPr>
          <w:rFonts w:hint="eastAsia" w:ascii="宋体" w:hAnsi="宋体" w:cs="宋体"/>
          <w:sz w:val="24"/>
          <w:szCs w:val="24"/>
        </w:rPr>
        <w:fldChar w:fldCharType="separate"/>
      </w:r>
      <w:r>
        <w:rPr>
          <w:rFonts w:hint="eastAsia" w:ascii="宋体" w:hAnsi="宋体" w:cs="宋体"/>
          <w:sz w:val="24"/>
          <w:szCs w:val="24"/>
        </w:rPr>
        <w:t>9</w:t>
      </w:r>
      <w:r>
        <w:rPr>
          <w:rFonts w:hint="eastAsia" w:ascii="宋体" w:hAnsi="宋体" w:cs="宋体"/>
          <w:sz w:val="24"/>
          <w:szCs w:val="24"/>
        </w:rPr>
        <w:fldChar w:fldCharType="end"/>
      </w:r>
      <w:r>
        <w:rPr>
          <w:rFonts w:hint="eastAsia" w:ascii="宋体" w:hAnsi="宋体" w:cs="宋体"/>
          <w:sz w:val="24"/>
          <w:szCs w:val="24"/>
        </w:rPr>
        <w:fldChar w:fldCharType="end"/>
      </w:r>
    </w:p>
    <w:p>
      <w:pPr>
        <w:pStyle w:val="15"/>
        <w:tabs>
          <w:tab w:val="right" w:leader="dot" w:pos="8306"/>
          <w:tab w:val="clear" w:pos="8296"/>
        </w:tabs>
        <w:rPr>
          <w:rFonts w:ascii="宋体" w:hAnsi="宋体" w:cs="宋体"/>
          <w:sz w:val="24"/>
          <w:szCs w:val="24"/>
        </w:rPr>
      </w:pPr>
      <w:r>
        <w:fldChar w:fldCharType="begin"/>
      </w:r>
      <w:r>
        <w:instrText xml:space="preserve"> HYPERLINK \l "_Toc6118" </w:instrText>
      </w:r>
      <w:r>
        <w:fldChar w:fldCharType="separate"/>
      </w:r>
      <w:r>
        <w:rPr>
          <w:rFonts w:hint="eastAsia" w:ascii="宋体" w:hAnsi="宋体" w:cs="宋体"/>
          <w:sz w:val="24"/>
          <w:szCs w:val="24"/>
        </w:rPr>
        <w:t>第五部分  基金备案</w:t>
      </w:r>
      <w:r>
        <w:rPr>
          <w:rFonts w:hint="eastAsia" w:ascii="宋体" w:hAnsi="宋体" w:cs="宋体"/>
          <w:sz w:val="24"/>
          <w:szCs w:val="24"/>
        </w:rPr>
        <w:tab/>
      </w:r>
      <w:r>
        <w:rPr>
          <w:rFonts w:hint="eastAsia" w:ascii="宋体" w:hAnsi="宋体" w:cs="宋体"/>
          <w:sz w:val="24"/>
          <w:szCs w:val="24"/>
        </w:rPr>
        <w:fldChar w:fldCharType="begin"/>
      </w:r>
      <w:r>
        <w:rPr>
          <w:rFonts w:hint="eastAsia" w:ascii="宋体" w:hAnsi="宋体" w:cs="宋体"/>
          <w:sz w:val="24"/>
          <w:szCs w:val="24"/>
        </w:rPr>
        <w:instrText xml:space="preserve"> PAGEREF _Toc6118 \h </w:instrText>
      </w:r>
      <w:r>
        <w:rPr>
          <w:rFonts w:hint="eastAsia" w:ascii="宋体" w:hAnsi="宋体" w:cs="宋体"/>
          <w:sz w:val="24"/>
          <w:szCs w:val="24"/>
        </w:rPr>
        <w:fldChar w:fldCharType="separate"/>
      </w:r>
      <w:r>
        <w:rPr>
          <w:rFonts w:hint="eastAsia" w:ascii="宋体" w:hAnsi="宋体" w:cs="宋体"/>
          <w:sz w:val="24"/>
          <w:szCs w:val="24"/>
        </w:rPr>
        <w:t>11</w:t>
      </w:r>
      <w:r>
        <w:rPr>
          <w:rFonts w:hint="eastAsia" w:ascii="宋体" w:hAnsi="宋体" w:cs="宋体"/>
          <w:sz w:val="24"/>
          <w:szCs w:val="24"/>
        </w:rPr>
        <w:fldChar w:fldCharType="end"/>
      </w:r>
      <w:r>
        <w:rPr>
          <w:rFonts w:hint="eastAsia" w:ascii="宋体" w:hAnsi="宋体" w:cs="宋体"/>
          <w:sz w:val="24"/>
          <w:szCs w:val="24"/>
        </w:rPr>
        <w:fldChar w:fldCharType="end"/>
      </w:r>
    </w:p>
    <w:p>
      <w:pPr>
        <w:pStyle w:val="15"/>
        <w:tabs>
          <w:tab w:val="right" w:leader="dot" w:pos="8306"/>
          <w:tab w:val="clear" w:pos="8296"/>
        </w:tabs>
        <w:rPr>
          <w:rFonts w:ascii="宋体" w:hAnsi="宋体" w:cs="宋体"/>
          <w:sz w:val="24"/>
          <w:szCs w:val="24"/>
        </w:rPr>
      </w:pPr>
      <w:r>
        <w:fldChar w:fldCharType="begin"/>
      </w:r>
      <w:r>
        <w:instrText xml:space="preserve"> HYPERLINK \l "_Toc18004" </w:instrText>
      </w:r>
      <w:r>
        <w:fldChar w:fldCharType="separate"/>
      </w:r>
      <w:r>
        <w:rPr>
          <w:rFonts w:hint="eastAsia" w:ascii="宋体" w:hAnsi="宋体" w:cs="宋体"/>
          <w:sz w:val="24"/>
          <w:szCs w:val="24"/>
        </w:rPr>
        <w:t>第六部分  基金份额的其他业务</w:t>
      </w:r>
      <w:r>
        <w:rPr>
          <w:rFonts w:hint="eastAsia" w:ascii="宋体" w:hAnsi="宋体" w:cs="宋体"/>
          <w:sz w:val="24"/>
          <w:szCs w:val="24"/>
        </w:rPr>
        <w:tab/>
      </w:r>
      <w:r>
        <w:rPr>
          <w:rFonts w:hint="eastAsia" w:ascii="宋体" w:hAnsi="宋体" w:cs="宋体"/>
          <w:sz w:val="24"/>
          <w:szCs w:val="24"/>
        </w:rPr>
        <w:fldChar w:fldCharType="begin"/>
      </w:r>
      <w:r>
        <w:rPr>
          <w:rFonts w:hint="eastAsia" w:ascii="宋体" w:hAnsi="宋体" w:cs="宋体"/>
          <w:sz w:val="24"/>
          <w:szCs w:val="24"/>
        </w:rPr>
        <w:instrText xml:space="preserve"> PAGEREF _Toc18004 \h </w:instrText>
      </w:r>
      <w:r>
        <w:rPr>
          <w:rFonts w:hint="eastAsia" w:ascii="宋体" w:hAnsi="宋体" w:cs="宋体"/>
          <w:sz w:val="24"/>
          <w:szCs w:val="24"/>
        </w:rPr>
        <w:fldChar w:fldCharType="separate"/>
      </w:r>
      <w:r>
        <w:rPr>
          <w:rFonts w:hint="eastAsia" w:ascii="宋体" w:hAnsi="宋体" w:cs="宋体"/>
          <w:sz w:val="24"/>
          <w:szCs w:val="24"/>
        </w:rPr>
        <w:t>12</w:t>
      </w:r>
      <w:r>
        <w:rPr>
          <w:rFonts w:hint="eastAsia" w:ascii="宋体" w:hAnsi="宋体" w:cs="宋体"/>
          <w:sz w:val="24"/>
          <w:szCs w:val="24"/>
        </w:rPr>
        <w:fldChar w:fldCharType="end"/>
      </w:r>
      <w:r>
        <w:rPr>
          <w:rFonts w:hint="eastAsia" w:ascii="宋体" w:hAnsi="宋体" w:cs="宋体"/>
          <w:sz w:val="24"/>
          <w:szCs w:val="24"/>
        </w:rPr>
        <w:fldChar w:fldCharType="end"/>
      </w:r>
    </w:p>
    <w:p>
      <w:pPr>
        <w:pStyle w:val="15"/>
        <w:tabs>
          <w:tab w:val="right" w:leader="dot" w:pos="8306"/>
          <w:tab w:val="clear" w:pos="8296"/>
        </w:tabs>
        <w:rPr>
          <w:rFonts w:ascii="宋体" w:hAnsi="宋体" w:cs="宋体"/>
          <w:sz w:val="24"/>
          <w:szCs w:val="24"/>
        </w:rPr>
      </w:pPr>
      <w:r>
        <w:fldChar w:fldCharType="begin"/>
      </w:r>
      <w:r>
        <w:instrText xml:space="preserve"> HYPERLINK \l "_Toc9386" </w:instrText>
      </w:r>
      <w:r>
        <w:fldChar w:fldCharType="separate"/>
      </w:r>
      <w:r>
        <w:rPr>
          <w:rFonts w:hint="eastAsia" w:ascii="宋体" w:hAnsi="宋体" w:cs="宋体"/>
          <w:sz w:val="24"/>
          <w:szCs w:val="24"/>
        </w:rPr>
        <w:t>第七部分  基金合同当事人及权利义务</w:t>
      </w:r>
      <w:r>
        <w:rPr>
          <w:rFonts w:hint="eastAsia" w:ascii="宋体" w:hAnsi="宋体" w:cs="宋体"/>
          <w:sz w:val="24"/>
          <w:szCs w:val="24"/>
        </w:rPr>
        <w:tab/>
      </w:r>
      <w:r>
        <w:rPr>
          <w:rFonts w:hint="eastAsia" w:ascii="宋体" w:hAnsi="宋体" w:cs="宋体"/>
          <w:sz w:val="24"/>
          <w:szCs w:val="24"/>
        </w:rPr>
        <w:fldChar w:fldCharType="begin"/>
      </w:r>
      <w:r>
        <w:rPr>
          <w:rFonts w:hint="eastAsia" w:ascii="宋体" w:hAnsi="宋体" w:cs="宋体"/>
          <w:sz w:val="24"/>
          <w:szCs w:val="24"/>
        </w:rPr>
        <w:instrText xml:space="preserve"> PAGEREF _Toc9386 \h </w:instrText>
      </w:r>
      <w:r>
        <w:rPr>
          <w:rFonts w:hint="eastAsia" w:ascii="宋体" w:hAnsi="宋体" w:cs="宋体"/>
          <w:sz w:val="24"/>
          <w:szCs w:val="24"/>
        </w:rPr>
        <w:fldChar w:fldCharType="separate"/>
      </w:r>
      <w:r>
        <w:rPr>
          <w:rFonts w:hint="eastAsia" w:ascii="宋体" w:hAnsi="宋体" w:cs="宋体"/>
          <w:sz w:val="24"/>
          <w:szCs w:val="24"/>
        </w:rPr>
        <w:t>14</w:t>
      </w:r>
      <w:r>
        <w:rPr>
          <w:rFonts w:hint="eastAsia" w:ascii="宋体" w:hAnsi="宋体" w:cs="宋体"/>
          <w:sz w:val="24"/>
          <w:szCs w:val="24"/>
        </w:rPr>
        <w:fldChar w:fldCharType="end"/>
      </w:r>
      <w:r>
        <w:rPr>
          <w:rFonts w:hint="eastAsia" w:ascii="宋体" w:hAnsi="宋体" w:cs="宋体"/>
          <w:sz w:val="24"/>
          <w:szCs w:val="24"/>
        </w:rPr>
        <w:fldChar w:fldCharType="end"/>
      </w:r>
    </w:p>
    <w:p>
      <w:pPr>
        <w:pStyle w:val="15"/>
        <w:tabs>
          <w:tab w:val="right" w:leader="dot" w:pos="8306"/>
          <w:tab w:val="clear" w:pos="8296"/>
        </w:tabs>
        <w:rPr>
          <w:rFonts w:ascii="宋体" w:hAnsi="宋体" w:cs="宋体"/>
          <w:sz w:val="24"/>
          <w:szCs w:val="24"/>
        </w:rPr>
      </w:pPr>
      <w:r>
        <w:fldChar w:fldCharType="begin"/>
      </w:r>
      <w:r>
        <w:instrText xml:space="preserve"> HYPERLINK \l "_Toc27701" </w:instrText>
      </w:r>
      <w:r>
        <w:fldChar w:fldCharType="separate"/>
      </w:r>
      <w:r>
        <w:rPr>
          <w:rFonts w:hint="eastAsia" w:ascii="宋体" w:hAnsi="宋体" w:cs="宋体"/>
          <w:sz w:val="24"/>
          <w:szCs w:val="24"/>
        </w:rPr>
        <w:t>第八部分  基金份额持有人大会</w:t>
      </w:r>
      <w:r>
        <w:rPr>
          <w:rFonts w:hint="eastAsia" w:ascii="宋体" w:hAnsi="宋体" w:cs="宋体"/>
          <w:sz w:val="24"/>
          <w:szCs w:val="24"/>
        </w:rPr>
        <w:tab/>
      </w:r>
      <w:r>
        <w:rPr>
          <w:rFonts w:hint="eastAsia" w:ascii="宋体" w:hAnsi="宋体" w:cs="宋体"/>
          <w:sz w:val="24"/>
          <w:szCs w:val="24"/>
        </w:rPr>
        <w:fldChar w:fldCharType="begin"/>
      </w:r>
      <w:r>
        <w:rPr>
          <w:rFonts w:hint="eastAsia" w:ascii="宋体" w:hAnsi="宋体" w:cs="宋体"/>
          <w:sz w:val="24"/>
          <w:szCs w:val="24"/>
        </w:rPr>
        <w:instrText xml:space="preserve"> PAGEREF _Toc27701 \h </w:instrText>
      </w:r>
      <w:r>
        <w:rPr>
          <w:rFonts w:hint="eastAsia" w:ascii="宋体" w:hAnsi="宋体" w:cs="宋体"/>
          <w:sz w:val="24"/>
          <w:szCs w:val="24"/>
        </w:rPr>
        <w:fldChar w:fldCharType="separate"/>
      </w:r>
      <w:r>
        <w:rPr>
          <w:rFonts w:hint="eastAsia" w:ascii="宋体" w:hAnsi="宋体" w:cs="宋体"/>
          <w:sz w:val="24"/>
          <w:szCs w:val="24"/>
        </w:rPr>
        <w:t>22</w:t>
      </w:r>
      <w:r>
        <w:rPr>
          <w:rFonts w:hint="eastAsia" w:ascii="宋体" w:hAnsi="宋体" w:cs="宋体"/>
          <w:sz w:val="24"/>
          <w:szCs w:val="24"/>
        </w:rPr>
        <w:fldChar w:fldCharType="end"/>
      </w:r>
      <w:r>
        <w:rPr>
          <w:rFonts w:hint="eastAsia" w:ascii="宋体" w:hAnsi="宋体" w:cs="宋体"/>
          <w:sz w:val="24"/>
          <w:szCs w:val="24"/>
        </w:rPr>
        <w:fldChar w:fldCharType="end"/>
      </w:r>
    </w:p>
    <w:p>
      <w:pPr>
        <w:pStyle w:val="15"/>
        <w:tabs>
          <w:tab w:val="right" w:leader="dot" w:pos="8306"/>
          <w:tab w:val="clear" w:pos="8296"/>
        </w:tabs>
        <w:rPr>
          <w:rFonts w:ascii="宋体" w:hAnsi="宋体" w:cs="宋体"/>
          <w:sz w:val="24"/>
          <w:szCs w:val="24"/>
        </w:rPr>
      </w:pPr>
      <w:r>
        <w:fldChar w:fldCharType="begin"/>
      </w:r>
      <w:r>
        <w:instrText xml:space="preserve"> HYPERLINK \l "_Toc20383" </w:instrText>
      </w:r>
      <w:r>
        <w:fldChar w:fldCharType="separate"/>
      </w:r>
      <w:r>
        <w:rPr>
          <w:rFonts w:hint="eastAsia" w:ascii="宋体" w:hAnsi="宋体" w:cs="宋体"/>
          <w:sz w:val="24"/>
          <w:szCs w:val="24"/>
        </w:rPr>
        <w:t>第九部分  基金管理人、基金托管人的更换条件和程序</w:t>
      </w:r>
      <w:r>
        <w:rPr>
          <w:rFonts w:hint="eastAsia" w:ascii="宋体" w:hAnsi="宋体" w:cs="宋体"/>
          <w:sz w:val="24"/>
          <w:szCs w:val="24"/>
        </w:rPr>
        <w:tab/>
      </w:r>
      <w:r>
        <w:rPr>
          <w:rFonts w:hint="eastAsia" w:ascii="宋体" w:hAnsi="宋体" w:cs="宋体"/>
          <w:sz w:val="24"/>
          <w:szCs w:val="24"/>
        </w:rPr>
        <w:fldChar w:fldCharType="begin"/>
      </w:r>
      <w:r>
        <w:rPr>
          <w:rFonts w:hint="eastAsia" w:ascii="宋体" w:hAnsi="宋体" w:cs="宋体"/>
          <w:sz w:val="24"/>
          <w:szCs w:val="24"/>
        </w:rPr>
        <w:instrText xml:space="preserve"> PAGEREF _Toc20383 \h </w:instrText>
      </w:r>
      <w:r>
        <w:rPr>
          <w:rFonts w:hint="eastAsia" w:ascii="宋体" w:hAnsi="宋体" w:cs="宋体"/>
          <w:sz w:val="24"/>
          <w:szCs w:val="24"/>
        </w:rPr>
        <w:fldChar w:fldCharType="separate"/>
      </w:r>
      <w:r>
        <w:rPr>
          <w:rFonts w:hint="eastAsia" w:ascii="宋体" w:hAnsi="宋体" w:cs="宋体"/>
          <w:sz w:val="24"/>
          <w:szCs w:val="24"/>
        </w:rPr>
        <w:t>30</w:t>
      </w:r>
      <w:r>
        <w:rPr>
          <w:rFonts w:hint="eastAsia" w:ascii="宋体" w:hAnsi="宋体" w:cs="宋体"/>
          <w:sz w:val="24"/>
          <w:szCs w:val="24"/>
        </w:rPr>
        <w:fldChar w:fldCharType="end"/>
      </w:r>
      <w:r>
        <w:rPr>
          <w:rFonts w:hint="eastAsia" w:ascii="宋体" w:hAnsi="宋体" w:cs="宋体"/>
          <w:sz w:val="24"/>
          <w:szCs w:val="24"/>
        </w:rPr>
        <w:fldChar w:fldCharType="end"/>
      </w:r>
    </w:p>
    <w:p>
      <w:pPr>
        <w:pStyle w:val="15"/>
        <w:tabs>
          <w:tab w:val="right" w:leader="dot" w:pos="8306"/>
          <w:tab w:val="clear" w:pos="8296"/>
        </w:tabs>
        <w:rPr>
          <w:rFonts w:ascii="宋体" w:hAnsi="宋体" w:cs="宋体"/>
          <w:sz w:val="24"/>
          <w:szCs w:val="24"/>
        </w:rPr>
      </w:pPr>
      <w:r>
        <w:fldChar w:fldCharType="begin"/>
      </w:r>
      <w:r>
        <w:instrText xml:space="preserve"> HYPERLINK \l "_Toc4659" </w:instrText>
      </w:r>
      <w:r>
        <w:fldChar w:fldCharType="separate"/>
      </w:r>
      <w:r>
        <w:rPr>
          <w:rFonts w:hint="eastAsia" w:ascii="宋体" w:hAnsi="宋体" w:cs="宋体"/>
          <w:sz w:val="24"/>
          <w:szCs w:val="24"/>
        </w:rPr>
        <w:t>第十部分  基金的托管</w:t>
      </w:r>
      <w:r>
        <w:rPr>
          <w:rFonts w:hint="eastAsia" w:ascii="宋体" w:hAnsi="宋体" w:cs="宋体"/>
          <w:sz w:val="24"/>
          <w:szCs w:val="24"/>
        </w:rPr>
        <w:tab/>
      </w:r>
      <w:r>
        <w:rPr>
          <w:rFonts w:hint="eastAsia" w:ascii="宋体" w:hAnsi="宋体" w:cs="宋体"/>
          <w:sz w:val="24"/>
          <w:szCs w:val="24"/>
        </w:rPr>
        <w:fldChar w:fldCharType="begin"/>
      </w:r>
      <w:r>
        <w:rPr>
          <w:rFonts w:hint="eastAsia" w:ascii="宋体" w:hAnsi="宋体" w:cs="宋体"/>
          <w:sz w:val="24"/>
          <w:szCs w:val="24"/>
        </w:rPr>
        <w:instrText xml:space="preserve"> PAGEREF _Toc4659 \h </w:instrText>
      </w:r>
      <w:r>
        <w:rPr>
          <w:rFonts w:hint="eastAsia" w:ascii="宋体" w:hAnsi="宋体" w:cs="宋体"/>
          <w:sz w:val="24"/>
          <w:szCs w:val="24"/>
        </w:rPr>
        <w:fldChar w:fldCharType="separate"/>
      </w:r>
      <w:r>
        <w:rPr>
          <w:rFonts w:hint="eastAsia" w:ascii="宋体" w:hAnsi="宋体" w:cs="宋体"/>
          <w:sz w:val="24"/>
          <w:szCs w:val="24"/>
        </w:rPr>
        <w:t>33</w:t>
      </w:r>
      <w:r>
        <w:rPr>
          <w:rFonts w:hint="eastAsia" w:ascii="宋体" w:hAnsi="宋体" w:cs="宋体"/>
          <w:sz w:val="24"/>
          <w:szCs w:val="24"/>
        </w:rPr>
        <w:fldChar w:fldCharType="end"/>
      </w:r>
      <w:r>
        <w:rPr>
          <w:rFonts w:hint="eastAsia" w:ascii="宋体" w:hAnsi="宋体" w:cs="宋体"/>
          <w:sz w:val="24"/>
          <w:szCs w:val="24"/>
        </w:rPr>
        <w:fldChar w:fldCharType="end"/>
      </w:r>
    </w:p>
    <w:p>
      <w:pPr>
        <w:pStyle w:val="15"/>
        <w:tabs>
          <w:tab w:val="right" w:leader="dot" w:pos="8306"/>
          <w:tab w:val="clear" w:pos="8296"/>
        </w:tabs>
        <w:rPr>
          <w:rFonts w:ascii="宋体" w:hAnsi="宋体" w:cs="宋体"/>
          <w:sz w:val="24"/>
          <w:szCs w:val="24"/>
        </w:rPr>
      </w:pPr>
      <w:r>
        <w:fldChar w:fldCharType="begin"/>
      </w:r>
      <w:r>
        <w:instrText xml:space="preserve"> HYPERLINK \l "_Toc29489" </w:instrText>
      </w:r>
      <w:r>
        <w:fldChar w:fldCharType="separate"/>
      </w:r>
      <w:r>
        <w:rPr>
          <w:rFonts w:hint="eastAsia" w:ascii="宋体" w:hAnsi="宋体" w:cs="宋体"/>
          <w:sz w:val="24"/>
          <w:szCs w:val="24"/>
        </w:rPr>
        <w:t>第十一部分  基金份额的登记</w:t>
      </w:r>
      <w:r>
        <w:rPr>
          <w:rFonts w:hint="eastAsia" w:ascii="宋体" w:hAnsi="宋体" w:cs="宋体"/>
          <w:sz w:val="24"/>
          <w:szCs w:val="24"/>
        </w:rPr>
        <w:tab/>
      </w:r>
      <w:r>
        <w:rPr>
          <w:rFonts w:hint="eastAsia" w:ascii="宋体" w:hAnsi="宋体" w:cs="宋体"/>
          <w:sz w:val="24"/>
          <w:szCs w:val="24"/>
        </w:rPr>
        <w:fldChar w:fldCharType="begin"/>
      </w:r>
      <w:r>
        <w:rPr>
          <w:rFonts w:hint="eastAsia" w:ascii="宋体" w:hAnsi="宋体" w:cs="宋体"/>
          <w:sz w:val="24"/>
          <w:szCs w:val="24"/>
        </w:rPr>
        <w:instrText xml:space="preserve"> PAGEREF _Toc29489 \h </w:instrText>
      </w:r>
      <w:r>
        <w:rPr>
          <w:rFonts w:hint="eastAsia" w:ascii="宋体" w:hAnsi="宋体" w:cs="宋体"/>
          <w:sz w:val="24"/>
          <w:szCs w:val="24"/>
        </w:rPr>
        <w:fldChar w:fldCharType="separate"/>
      </w:r>
      <w:r>
        <w:rPr>
          <w:rFonts w:hint="eastAsia" w:ascii="宋体" w:hAnsi="宋体" w:cs="宋体"/>
          <w:sz w:val="24"/>
          <w:szCs w:val="24"/>
        </w:rPr>
        <w:t>34</w:t>
      </w:r>
      <w:r>
        <w:rPr>
          <w:rFonts w:hint="eastAsia" w:ascii="宋体" w:hAnsi="宋体" w:cs="宋体"/>
          <w:sz w:val="24"/>
          <w:szCs w:val="24"/>
        </w:rPr>
        <w:fldChar w:fldCharType="end"/>
      </w:r>
      <w:r>
        <w:rPr>
          <w:rFonts w:hint="eastAsia" w:ascii="宋体" w:hAnsi="宋体" w:cs="宋体"/>
          <w:sz w:val="24"/>
          <w:szCs w:val="24"/>
        </w:rPr>
        <w:fldChar w:fldCharType="end"/>
      </w:r>
    </w:p>
    <w:p>
      <w:pPr>
        <w:pStyle w:val="15"/>
        <w:tabs>
          <w:tab w:val="right" w:leader="dot" w:pos="8306"/>
          <w:tab w:val="clear" w:pos="8296"/>
        </w:tabs>
        <w:rPr>
          <w:rFonts w:ascii="宋体" w:hAnsi="宋体" w:cs="宋体"/>
          <w:sz w:val="24"/>
          <w:szCs w:val="24"/>
        </w:rPr>
      </w:pPr>
      <w:r>
        <w:fldChar w:fldCharType="begin"/>
      </w:r>
      <w:r>
        <w:instrText xml:space="preserve"> HYPERLINK \l "_Toc18552" </w:instrText>
      </w:r>
      <w:r>
        <w:fldChar w:fldCharType="separate"/>
      </w:r>
      <w:r>
        <w:rPr>
          <w:rFonts w:hint="eastAsia" w:ascii="宋体" w:hAnsi="宋体" w:cs="宋体"/>
          <w:sz w:val="24"/>
          <w:szCs w:val="24"/>
        </w:rPr>
        <w:t>第十二部分  基金的投资</w:t>
      </w:r>
      <w:r>
        <w:rPr>
          <w:rFonts w:hint="eastAsia" w:ascii="宋体" w:hAnsi="宋体" w:cs="宋体"/>
          <w:sz w:val="24"/>
          <w:szCs w:val="24"/>
        </w:rPr>
        <w:tab/>
      </w:r>
      <w:r>
        <w:rPr>
          <w:rFonts w:hint="eastAsia" w:ascii="宋体" w:hAnsi="宋体" w:cs="宋体"/>
          <w:sz w:val="24"/>
          <w:szCs w:val="24"/>
        </w:rPr>
        <w:fldChar w:fldCharType="begin"/>
      </w:r>
      <w:r>
        <w:rPr>
          <w:rFonts w:hint="eastAsia" w:ascii="宋体" w:hAnsi="宋体" w:cs="宋体"/>
          <w:sz w:val="24"/>
          <w:szCs w:val="24"/>
        </w:rPr>
        <w:instrText xml:space="preserve"> PAGEREF _Toc18552 \h </w:instrText>
      </w:r>
      <w:r>
        <w:rPr>
          <w:rFonts w:hint="eastAsia" w:ascii="宋体" w:hAnsi="宋体" w:cs="宋体"/>
          <w:sz w:val="24"/>
          <w:szCs w:val="24"/>
        </w:rPr>
        <w:fldChar w:fldCharType="separate"/>
      </w:r>
      <w:r>
        <w:rPr>
          <w:rFonts w:hint="eastAsia" w:ascii="宋体" w:hAnsi="宋体" w:cs="宋体"/>
          <w:sz w:val="24"/>
          <w:szCs w:val="24"/>
        </w:rPr>
        <w:t>36</w:t>
      </w:r>
      <w:r>
        <w:rPr>
          <w:rFonts w:hint="eastAsia" w:ascii="宋体" w:hAnsi="宋体" w:cs="宋体"/>
          <w:sz w:val="24"/>
          <w:szCs w:val="24"/>
        </w:rPr>
        <w:fldChar w:fldCharType="end"/>
      </w:r>
      <w:r>
        <w:rPr>
          <w:rFonts w:hint="eastAsia" w:ascii="宋体" w:hAnsi="宋体" w:cs="宋体"/>
          <w:sz w:val="24"/>
          <w:szCs w:val="24"/>
        </w:rPr>
        <w:fldChar w:fldCharType="end"/>
      </w:r>
    </w:p>
    <w:p>
      <w:pPr>
        <w:pStyle w:val="15"/>
        <w:tabs>
          <w:tab w:val="right" w:leader="dot" w:pos="8306"/>
          <w:tab w:val="clear" w:pos="8296"/>
        </w:tabs>
        <w:rPr>
          <w:rFonts w:ascii="宋体" w:hAnsi="宋体" w:cs="宋体"/>
          <w:sz w:val="24"/>
          <w:szCs w:val="24"/>
        </w:rPr>
      </w:pPr>
      <w:r>
        <w:fldChar w:fldCharType="begin"/>
      </w:r>
      <w:r>
        <w:instrText xml:space="preserve"> HYPERLINK \l "_Toc18572" </w:instrText>
      </w:r>
      <w:r>
        <w:fldChar w:fldCharType="separate"/>
      </w:r>
      <w:r>
        <w:rPr>
          <w:rFonts w:hint="eastAsia" w:ascii="宋体" w:hAnsi="宋体" w:cs="宋体"/>
          <w:sz w:val="24"/>
          <w:szCs w:val="24"/>
        </w:rPr>
        <w:t>第十三部分  基金的财产</w:t>
      </w:r>
      <w:r>
        <w:rPr>
          <w:rFonts w:hint="eastAsia" w:ascii="宋体" w:hAnsi="宋体" w:cs="宋体"/>
          <w:sz w:val="24"/>
          <w:szCs w:val="24"/>
        </w:rPr>
        <w:tab/>
      </w:r>
      <w:r>
        <w:rPr>
          <w:rFonts w:hint="eastAsia" w:ascii="宋体" w:hAnsi="宋体" w:cs="宋体"/>
          <w:sz w:val="24"/>
          <w:szCs w:val="24"/>
        </w:rPr>
        <w:fldChar w:fldCharType="begin"/>
      </w:r>
      <w:r>
        <w:rPr>
          <w:rFonts w:hint="eastAsia" w:ascii="宋体" w:hAnsi="宋体" w:cs="宋体"/>
          <w:sz w:val="24"/>
          <w:szCs w:val="24"/>
        </w:rPr>
        <w:instrText xml:space="preserve"> PAGEREF _Toc18572 \h </w:instrText>
      </w:r>
      <w:r>
        <w:rPr>
          <w:rFonts w:hint="eastAsia" w:ascii="宋体" w:hAnsi="宋体" w:cs="宋体"/>
          <w:sz w:val="24"/>
          <w:szCs w:val="24"/>
        </w:rPr>
        <w:fldChar w:fldCharType="separate"/>
      </w:r>
      <w:r>
        <w:rPr>
          <w:rFonts w:hint="eastAsia" w:ascii="宋体" w:hAnsi="宋体" w:cs="宋体"/>
          <w:sz w:val="24"/>
          <w:szCs w:val="24"/>
        </w:rPr>
        <w:t>44</w:t>
      </w:r>
      <w:r>
        <w:rPr>
          <w:rFonts w:hint="eastAsia" w:ascii="宋体" w:hAnsi="宋体" w:cs="宋体"/>
          <w:sz w:val="24"/>
          <w:szCs w:val="24"/>
        </w:rPr>
        <w:fldChar w:fldCharType="end"/>
      </w:r>
      <w:r>
        <w:rPr>
          <w:rFonts w:hint="eastAsia" w:ascii="宋体" w:hAnsi="宋体" w:cs="宋体"/>
          <w:sz w:val="24"/>
          <w:szCs w:val="24"/>
        </w:rPr>
        <w:fldChar w:fldCharType="end"/>
      </w:r>
    </w:p>
    <w:p>
      <w:pPr>
        <w:pStyle w:val="15"/>
        <w:tabs>
          <w:tab w:val="right" w:leader="dot" w:pos="8306"/>
          <w:tab w:val="clear" w:pos="8296"/>
        </w:tabs>
        <w:rPr>
          <w:rFonts w:ascii="宋体" w:hAnsi="宋体" w:cs="宋体"/>
          <w:sz w:val="24"/>
          <w:szCs w:val="24"/>
        </w:rPr>
      </w:pPr>
      <w:r>
        <w:fldChar w:fldCharType="begin"/>
      </w:r>
      <w:r>
        <w:instrText xml:space="preserve"> HYPERLINK \l "_Toc20103" </w:instrText>
      </w:r>
      <w:r>
        <w:fldChar w:fldCharType="separate"/>
      </w:r>
      <w:r>
        <w:rPr>
          <w:rFonts w:hint="eastAsia" w:ascii="宋体" w:hAnsi="宋体" w:cs="宋体"/>
          <w:sz w:val="24"/>
          <w:szCs w:val="24"/>
        </w:rPr>
        <w:t>第十四部分  基金资产估值</w:t>
      </w:r>
      <w:r>
        <w:rPr>
          <w:rFonts w:hint="eastAsia" w:ascii="宋体" w:hAnsi="宋体" w:cs="宋体"/>
          <w:sz w:val="24"/>
          <w:szCs w:val="24"/>
        </w:rPr>
        <w:tab/>
      </w:r>
      <w:r>
        <w:rPr>
          <w:rFonts w:hint="eastAsia" w:ascii="宋体" w:hAnsi="宋体" w:cs="宋体"/>
          <w:sz w:val="24"/>
          <w:szCs w:val="24"/>
        </w:rPr>
        <w:fldChar w:fldCharType="begin"/>
      </w:r>
      <w:r>
        <w:rPr>
          <w:rFonts w:hint="eastAsia" w:ascii="宋体" w:hAnsi="宋体" w:cs="宋体"/>
          <w:sz w:val="24"/>
          <w:szCs w:val="24"/>
        </w:rPr>
        <w:instrText xml:space="preserve"> PAGEREF _Toc20103 \h </w:instrText>
      </w:r>
      <w:r>
        <w:rPr>
          <w:rFonts w:hint="eastAsia" w:ascii="宋体" w:hAnsi="宋体" w:cs="宋体"/>
          <w:sz w:val="24"/>
          <w:szCs w:val="24"/>
        </w:rPr>
        <w:fldChar w:fldCharType="separate"/>
      </w:r>
      <w:r>
        <w:rPr>
          <w:rFonts w:hint="eastAsia" w:ascii="宋体" w:hAnsi="宋体" w:cs="宋体"/>
          <w:sz w:val="24"/>
          <w:szCs w:val="24"/>
        </w:rPr>
        <w:t>45</w:t>
      </w:r>
      <w:r>
        <w:rPr>
          <w:rFonts w:hint="eastAsia" w:ascii="宋体" w:hAnsi="宋体" w:cs="宋体"/>
          <w:sz w:val="24"/>
          <w:szCs w:val="24"/>
        </w:rPr>
        <w:fldChar w:fldCharType="end"/>
      </w:r>
      <w:r>
        <w:rPr>
          <w:rFonts w:hint="eastAsia" w:ascii="宋体" w:hAnsi="宋体" w:cs="宋体"/>
          <w:sz w:val="24"/>
          <w:szCs w:val="24"/>
        </w:rPr>
        <w:fldChar w:fldCharType="end"/>
      </w:r>
    </w:p>
    <w:p>
      <w:pPr>
        <w:pStyle w:val="15"/>
        <w:tabs>
          <w:tab w:val="right" w:leader="dot" w:pos="8306"/>
          <w:tab w:val="clear" w:pos="8296"/>
        </w:tabs>
        <w:rPr>
          <w:rFonts w:ascii="宋体" w:hAnsi="宋体" w:cs="宋体"/>
          <w:sz w:val="24"/>
          <w:szCs w:val="24"/>
        </w:rPr>
      </w:pPr>
      <w:r>
        <w:fldChar w:fldCharType="begin"/>
      </w:r>
      <w:r>
        <w:instrText xml:space="preserve"> HYPERLINK \l "_Toc22564" </w:instrText>
      </w:r>
      <w:r>
        <w:fldChar w:fldCharType="separate"/>
      </w:r>
      <w:r>
        <w:rPr>
          <w:rFonts w:hint="eastAsia" w:ascii="宋体" w:hAnsi="宋体" w:cs="宋体"/>
          <w:sz w:val="24"/>
          <w:szCs w:val="24"/>
        </w:rPr>
        <w:t>第十五部分  基金费用与税收</w:t>
      </w:r>
      <w:r>
        <w:rPr>
          <w:rFonts w:hint="eastAsia" w:ascii="宋体" w:hAnsi="宋体" w:cs="宋体"/>
          <w:sz w:val="24"/>
          <w:szCs w:val="24"/>
        </w:rPr>
        <w:tab/>
      </w:r>
      <w:r>
        <w:rPr>
          <w:rFonts w:hint="eastAsia" w:ascii="宋体" w:hAnsi="宋体" w:cs="宋体"/>
          <w:sz w:val="24"/>
          <w:szCs w:val="24"/>
        </w:rPr>
        <w:fldChar w:fldCharType="begin"/>
      </w:r>
      <w:r>
        <w:rPr>
          <w:rFonts w:hint="eastAsia" w:ascii="宋体" w:hAnsi="宋体" w:cs="宋体"/>
          <w:sz w:val="24"/>
          <w:szCs w:val="24"/>
        </w:rPr>
        <w:instrText xml:space="preserve"> PAGEREF _Toc22564 \h </w:instrText>
      </w:r>
      <w:r>
        <w:rPr>
          <w:rFonts w:hint="eastAsia" w:ascii="宋体" w:hAnsi="宋体" w:cs="宋体"/>
          <w:sz w:val="24"/>
          <w:szCs w:val="24"/>
        </w:rPr>
        <w:fldChar w:fldCharType="separate"/>
      </w:r>
      <w:r>
        <w:rPr>
          <w:rFonts w:hint="eastAsia" w:ascii="宋体" w:hAnsi="宋体" w:cs="宋体"/>
          <w:sz w:val="24"/>
          <w:szCs w:val="24"/>
        </w:rPr>
        <w:t>50</w:t>
      </w:r>
      <w:r>
        <w:rPr>
          <w:rFonts w:hint="eastAsia" w:ascii="宋体" w:hAnsi="宋体" w:cs="宋体"/>
          <w:sz w:val="24"/>
          <w:szCs w:val="24"/>
        </w:rPr>
        <w:fldChar w:fldCharType="end"/>
      </w:r>
      <w:r>
        <w:rPr>
          <w:rFonts w:hint="eastAsia" w:ascii="宋体" w:hAnsi="宋体" w:cs="宋体"/>
          <w:sz w:val="24"/>
          <w:szCs w:val="24"/>
        </w:rPr>
        <w:fldChar w:fldCharType="end"/>
      </w:r>
    </w:p>
    <w:p>
      <w:pPr>
        <w:pStyle w:val="15"/>
        <w:tabs>
          <w:tab w:val="right" w:leader="dot" w:pos="8306"/>
          <w:tab w:val="clear" w:pos="8296"/>
        </w:tabs>
        <w:rPr>
          <w:rFonts w:ascii="宋体" w:hAnsi="宋体" w:cs="宋体"/>
          <w:sz w:val="24"/>
          <w:szCs w:val="24"/>
        </w:rPr>
      </w:pPr>
      <w:r>
        <w:fldChar w:fldCharType="begin"/>
      </w:r>
      <w:r>
        <w:instrText xml:space="preserve"> HYPERLINK \l "_Toc7696" </w:instrText>
      </w:r>
      <w:r>
        <w:fldChar w:fldCharType="separate"/>
      </w:r>
      <w:r>
        <w:rPr>
          <w:rFonts w:hint="eastAsia" w:ascii="宋体" w:hAnsi="宋体" w:cs="宋体"/>
          <w:sz w:val="24"/>
          <w:szCs w:val="24"/>
        </w:rPr>
        <w:t>第十六部分  基金的收益与分配</w:t>
      </w:r>
      <w:r>
        <w:rPr>
          <w:rFonts w:hint="eastAsia" w:ascii="宋体" w:hAnsi="宋体" w:cs="宋体"/>
          <w:sz w:val="24"/>
          <w:szCs w:val="24"/>
        </w:rPr>
        <w:tab/>
      </w:r>
      <w:r>
        <w:rPr>
          <w:rFonts w:hint="eastAsia" w:ascii="宋体" w:hAnsi="宋体" w:cs="宋体"/>
          <w:sz w:val="24"/>
          <w:szCs w:val="24"/>
        </w:rPr>
        <w:fldChar w:fldCharType="begin"/>
      </w:r>
      <w:r>
        <w:rPr>
          <w:rFonts w:hint="eastAsia" w:ascii="宋体" w:hAnsi="宋体" w:cs="宋体"/>
          <w:sz w:val="24"/>
          <w:szCs w:val="24"/>
        </w:rPr>
        <w:instrText xml:space="preserve"> PAGEREF _Toc7696 \h </w:instrText>
      </w:r>
      <w:r>
        <w:rPr>
          <w:rFonts w:hint="eastAsia" w:ascii="宋体" w:hAnsi="宋体" w:cs="宋体"/>
          <w:sz w:val="24"/>
          <w:szCs w:val="24"/>
        </w:rPr>
        <w:fldChar w:fldCharType="separate"/>
      </w:r>
      <w:r>
        <w:rPr>
          <w:rFonts w:hint="eastAsia" w:ascii="宋体" w:hAnsi="宋体" w:cs="宋体"/>
          <w:sz w:val="24"/>
          <w:szCs w:val="24"/>
        </w:rPr>
        <w:t>52</w:t>
      </w:r>
      <w:r>
        <w:rPr>
          <w:rFonts w:hint="eastAsia" w:ascii="宋体" w:hAnsi="宋体" w:cs="宋体"/>
          <w:sz w:val="24"/>
          <w:szCs w:val="24"/>
        </w:rPr>
        <w:fldChar w:fldCharType="end"/>
      </w:r>
      <w:r>
        <w:rPr>
          <w:rFonts w:hint="eastAsia" w:ascii="宋体" w:hAnsi="宋体" w:cs="宋体"/>
          <w:sz w:val="24"/>
          <w:szCs w:val="24"/>
        </w:rPr>
        <w:fldChar w:fldCharType="end"/>
      </w:r>
    </w:p>
    <w:p>
      <w:pPr>
        <w:pStyle w:val="15"/>
        <w:tabs>
          <w:tab w:val="right" w:leader="dot" w:pos="8306"/>
          <w:tab w:val="clear" w:pos="8296"/>
        </w:tabs>
        <w:rPr>
          <w:rFonts w:ascii="宋体" w:hAnsi="宋体" w:cs="宋体"/>
          <w:sz w:val="24"/>
          <w:szCs w:val="24"/>
        </w:rPr>
      </w:pPr>
      <w:r>
        <w:fldChar w:fldCharType="begin"/>
      </w:r>
      <w:r>
        <w:instrText xml:space="preserve"> HYPERLINK \l "_Toc17330" </w:instrText>
      </w:r>
      <w:r>
        <w:fldChar w:fldCharType="separate"/>
      </w:r>
      <w:r>
        <w:rPr>
          <w:rFonts w:hint="eastAsia" w:ascii="宋体" w:hAnsi="宋体" w:cs="宋体"/>
          <w:sz w:val="24"/>
          <w:szCs w:val="24"/>
        </w:rPr>
        <w:t>第十七部分  基金的会计与审计</w:t>
      </w:r>
      <w:r>
        <w:rPr>
          <w:rFonts w:hint="eastAsia" w:ascii="宋体" w:hAnsi="宋体" w:cs="宋体"/>
          <w:sz w:val="24"/>
          <w:szCs w:val="24"/>
        </w:rPr>
        <w:tab/>
      </w:r>
      <w:r>
        <w:rPr>
          <w:rFonts w:hint="eastAsia" w:ascii="宋体" w:hAnsi="宋体" w:cs="宋体"/>
          <w:sz w:val="24"/>
          <w:szCs w:val="24"/>
        </w:rPr>
        <w:fldChar w:fldCharType="begin"/>
      </w:r>
      <w:r>
        <w:rPr>
          <w:rFonts w:hint="eastAsia" w:ascii="宋体" w:hAnsi="宋体" w:cs="宋体"/>
          <w:sz w:val="24"/>
          <w:szCs w:val="24"/>
        </w:rPr>
        <w:instrText xml:space="preserve"> PAGEREF _Toc17330 \h </w:instrText>
      </w:r>
      <w:r>
        <w:rPr>
          <w:rFonts w:hint="eastAsia" w:ascii="宋体" w:hAnsi="宋体" w:cs="宋体"/>
          <w:sz w:val="24"/>
          <w:szCs w:val="24"/>
        </w:rPr>
        <w:fldChar w:fldCharType="separate"/>
      </w:r>
      <w:r>
        <w:rPr>
          <w:rFonts w:hint="eastAsia" w:ascii="宋体" w:hAnsi="宋体" w:cs="宋体"/>
          <w:sz w:val="24"/>
          <w:szCs w:val="24"/>
        </w:rPr>
        <w:t>54</w:t>
      </w:r>
      <w:r>
        <w:rPr>
          <w:rFonts w:hint="eastAsia" w:ascii="宋体" w:hAnsi="宋体" w:cs="宋体"/>
          <w:sz w:val="24"/>
          <w:szCs w:val="24"/>
        </w:rPr>
        <w:fldChar w:fldCharType="end"/>
      </w:r>
      <w:r>
        <w:rPr>
          <w:rFonts w:hint="eastAsia" w:ascii="宋体" w:hAnsi="宋体" w:cs="宋体"/>
          <w:sz w:val="24"/>
          <w:szCs w:val="24"/>
        </w:rPr>
        <w:fldChar w:fldCharType="end"/>
      </w:r>
    </w:p>
    <w:p>
      <w:pPr>
        <w:pStyle w:val="15"/>
        <w:tabs>
          <w:tab w:val="right" w:leader="dot" w:pos="8306"/>
          <w:tab w:val="clear" w:pos="8296"/>
        </w:tabs>
        <w:rPr>
          <w:rFonts w:ascii="宋体" w:hAnsi="宋体" w:cs="宋体"/>
          <w:sz w:val="24"/>
          <w:szCs w:val="24"/>
        </w:rPr>
      </w:pPr>
      <w:r>
        <w:fldChar w:fldCharType="begin"/>
      </w:r>
      <w:r>
        <w:instrText xml:space="preserve"> HYPERLINK \l "_Toc19857" </w:instrText>
      </w:r>
      <w:r>
        <w:fldChar w:fldCharType="separate"/>
      </w:r>
      <w:r>
        <w:rPr>
          <w:rFonts w:hint="eastAsia" w:ascii="宋体" w:hAnsi="宋体" w:cs="宋体"/>
          <w:sz w:val="24"/>
          <w:szCs w:val="24"/>
        </w:rPr>
        <w:t>第十八部分  基金的信息披露</w:t>
      </w:r>
      <w:r>
        <w:rPr>
          <w:rFonts w:hint="eastAsia" w:ascii="宋体" w:hAnsi="宋体" w:cs="宋体"/>
          <w:sz w:val="24"/>
          <w:szCs w:val="24"/>
        </w:rPr>
        <w:tab/>
      </w:r>
      <w:r>
        <w:rPr>
          <w:rFonts w:hint="eastAsia" w:ascii="宋体" w:hAnsi="宋体" w:cs="宋体"/>
          <w:sz w:val="24"/>
          <w:szCs w:val="24"/>
        </w:rPr>
        <w:fldChar w:fldCharType="begin"/>
      </w:r>
      <w:r>
        <w:rPr>
          <w:rFonts w:hint="eastAsia" w:ascii="宋体" w:hAnsi="宋体" w:cs="宋体"/>
          <w:sz w:val="24"/>
          <w:szCs w:val="24"/>
        </w:rPr>
        <w:instrText xml:space="preserve"> PAGEREF _Toc19857 \h </w:instrText>
      </w:r>
      <w:r>
        <w:rPr>
          <w:rFonts w:hint="eastAsia" w:ascii="宋体" w:hAnsi="宋体" w:cs="宋体"/>
          <w:sz w:val="24"/>
          <w:szCs w:val="24"/>
        </w:rPr>
        <w:fldChar w:fldCharType="separate"/>
      </w:r>
      <w:r>
        <w:rPr>
          <w:rFonts w:hint="eastAsia" w:ascii="宋体" w:hAnsi="宋体" w:cs="宋体"/>
          <w:sz w:val="24"/>
          <w:szCs w:val="24"/>
        </w:rPr>
        <w:t>55</w:t>
      </w:r>
      <w:r>
        <w:rPr>
          <w:rFonts w:hint="eastAsia" w:ascii="宋体" w:hAnsi="宋体" w:cs="宋体"/>
          <w:sz w:val="24"/>
          <w:szCs w:val="24"/>
        </w:rPr>
        <w:fldChar w:fldCharType="end"/>
      </w:r>
      <w:r>
        <w:rPr>
          <w:rFonts w:hint="eastAsia" w:ascii="宋体" w:hAnsi="宋体" w:cs="宋体"/>
          <w:sz w:val="24"/>
          <w:szCs w:val="24"/>
        </w:rPr>
        <w:fldChar w:fldCharType="end"/>
      </w:r>
    </w:p>
    <w:p>
      <w:pPr>
        <w:pStyle w:val="15"/>
        <w:tabs>
          <w:tab w:val="right" w:leader="dot" w:pos="8306"/>
          <w:tab w:val="clear" w:pos="8296"/>
        </w:tabs>
        <w:rPr>
          <w:rFonts w:ascii="宋体" w:hAnsi="宋体" w:cs="宋体"/>
          <w:sz w:val="24"/>
          <w:szCs w:val="24"/>
        </w:rPr>
      </w:pPr>
      <w:r>
        <w:fldChar w:fldCharType="begin"/>
      </w:r>
      <w:r>
        <w:instrText xml:space="preserve"> HYPERLINK \l "_Toc23762" </w:instrText>
      </w:r>
      <w:r>
        <w:fldChar w:fldCharType="separate"/>
      </w:r>
      <w:r>
        <w:rPr>
          <w:rFonts w:hint="eastAsia" w:ascii="宋体" w:hAnsi="宋体" w:cs="宋体"/>
          <w:sz w:val="24"/>
          <w:szCs w:val="24"/>
        </w:rPr>
        <w:t>第十九部分  基金合同的变更、终止与基金财产的清算</w:t>
      </w:r>
      <w:r>
        <w:rPr>
          <w:rFonts w:hint="eastAsia" w:ascii="宋体" w:hAnsi="宋体" w:cs="宋体"/>
          <w:sz w:val="24"/>
          <w:szCs w:val="24"/>
        </w:rPr>
        <w:tab/>
      </w:r>
      <w:r>
        <w:rPr>
          <w:rFonts w:hint="eastAsia" w:ascii="宋体" w:hAnsi="宋体" w:cs="宋体"/>
          <w:sz w:val="24"/>
          <w:szCs w:val="24"/>
        </w:rPr>
        <w:fldChar w:fldCharType="begin"/>
      </w:r>
      <w:r>
        <w:rPr>
          <w:rFonts w:hint="eastAsia" w:ascii="宋体" w:hAnsi="宋体" w:cs="宋体"/>
          <w:sz w:val="24"/>
          <w:szCs w:val="24"/>
        </w:rPr>
        <w:instrText xml:space="preserve"> PAGEREF _Toc23762 \h </w:instrText>
      </w:r>
      <w:r>
        <w:rPr>
          <w:rFonts w:hint="eastAsia" w:ascii="宋体" w:hAnsi="宋体" w:cs="宋体"/>
          <w:sz w:val="24"/>
          <w:szCs w:val="24"/>
        </w:rPr>
        <w:fldChar w:fldCharType="separate"/>
      </w:r>
      <w:r>
        <w:rPr>
          <w:rFonts w:hint="eastAsia" w:ascii="宋体" w:hAnsi="宋体" w:cs="宋体"/>
          <w:sz w:val="24"/>
          <w:szCs w:val="24"/>
        </w:rPr>
        <w:t>62</w:t>
      </w:r>
      <w:r>
        <w:rPr>
          <w:rFonts w:hint="eastAsia" w:ascii="宋体" w:hAnsi="宋体" w:cs="宋体"/>
          <w:sz w:val="24"/>
          <w:szCs w:val="24"/>
        </w:rPr>
        <w:fldChar w:fldCharType="end"/>
      </w:r>
      <w:r>
        <w:rPr>
          <w:rFonts w:hint="eastAsia" w:ascii="宋体" w:hAnsi="宋体" w:cs="宋体"/>
          <w:sz w:val="24"/>
          <w:szCs w:val="24"/>
        </w:rPr>
        <w:fldChar w:fldCharType="end"/>
      </w:r>
    </w:p>
    <w:p>
      <w:pPr>
        <w:pStyle w:val="15"/>
        <w:tabs>
          <w:tab w:val="right" w:leader="dot" w:pos="8306"/>
          <w:tab w:val="clear" w:pos="8296"/>
        </w:tabs>
        <w:rPr>
          <w:rFonts w:ascii="宋体" w:hAnsi="宋体" w:cs="宋体"/>
          <w:sz w:val="24"/>
          <w:szCs w:val="24"/>
        </w:rPr>
      </w:pPr>
      <w:r>
        <w:fldChar w:fldCharType="begin"/>
      </w:r>
      <w:r>
        <w:instrText xml:space="preserve"> HYPERLINK \l "_Toc4322" </w:instrText>
      </w:r>
      <w:r>
        <w:fldChar w:fldCharType="separate"/>
      </w:r>
      <w:r>
        <w:rPr>
          <w:rFonts w:hint="eastAsia" w:ascii="宋体" w:hAnsi="宋体" w:cs="宋体"/>
          <w:sz w:val="24"/>
          <w:szCs w:val="24"/>
        </w:rPr>
        <w:t>第二十部分  违约责任</w:t>
      </w:r>
      <w:r>
        <w:rPr>
          <w:rFonts w:hint="eastAsia" w:ascii="宋体" w:hAnsi="宋体" w:cs="宋体"/>
          <w:sz w:val="24"/>
          <w:szCs w:val="24"/>
        </w:rPr>
        <w:tab/>
      </w:r>
      <w:r>
        <w:rPr>
          <w:rFonts w:hint="eastAsia" w:ascii="宋体" w:hAnsi="宋体" w:cs="宋体"/>
          <w:sz w:val="24"/>
          <w:szCs w:val="24"/>
        </w:rPr>
        <w:fldChar w:fldCharType="begin"/>
      </w:r>
      <w:r>
        <w:rPr>
          <w:rFonts w:hint="eastAsia" w:ascii="宋体" w:hAnsi="宋体" w:cs="宋体"/>
          <w:sz w:val="24"/>
          <w:szCs w:val="24"/>
        </w:rPr>
        <w:instrText xml:space="preserve"> PAGEREF _Toc4322 \h </w:instrText>
      </w:r>
      <w:r>
        <w:rPr>
          <w:rFonts w:hint="eastAsia" w:ascii="宋体" w:hAnsi="宋体" w:cs="宋体"/>
          <w:sz w:val="24"/>
          <w:szCs w:val="24"/>
        </w:rPr>
        <w:fldChar w:fldCharType="separate"/>
      </w:r>
      <w:r>
        <w:rPr>
          <w:rFonts w:hint="eastAsia" w:ascii="宋体" w:hAnsi="宋体" w:cs="宋体"/>
          <w:sz w:val="24"/>
          <w:szCs w:val="24"/>
        </w:rPr>
        <w:t>64</w:t>
      </w:r>
      <w:r>
        <w:rPr>
          <w:rFonts w:hint="eastAsia" w:ascii="宋体" w:hAnsi="宋体" w:cs="宋体"/>
          <w:sz w:val="24"/>
          <w:szCs w:val="24"/>
        </w:rPr>
        <w:fldChar w:fldCharType="end"/>
      </w:r>
      <w:r>
        <w:rPr>
          <w:rFonts w:hint="eastAsia" w:ascii="宋体" w:hAnsi="宋体" w:cs="宋体"/>
          <w:sz w:val="24"/>
          <w:szCs w:val="24"/>
        </w:rPr>
        <w:fldChar w:fldCharType="end"/>
      </w:r>
    </w:p>
    <w:p>
      <w:pPr>
        <w:pStyle w:val="15"/>
        <w:tabs>
          <w:tab w:val="right" w:leader="dot" w:pos="8306"/>
          <w:tab w:val="clear" w:pos="8296"/>
        </w:tabs>
        <w:rPr>
          <w:rFonts w:ascii="宋体" w:hAnsi="宋体" w:cs="宋体"/>
          <w:sz w:val="24"/>
          <w:szCs w:val="24"/>
        </w:rPr>
      </w:pPr>
      <w:r>
        <w:fldChar w:fldCharType="begin"/>
      </w:r>
      <w:r>
        <w:instrText xml:space="preserve"> HYPERLINK \l "_Toc21996" </w:instrText>
      </w:r>
      <w:r>
        <w:fldChar w:fldCharType="separate"/>
      </w:r>
      <w:r>
        <w:rPr>
          <w:rFonts w:hint="eastAsia" w:ascii="宋体" w:hAnsi="宋体" w:cs="宋体"/>
          <w:sz w:val="24"/>
          <w:szCs w:val="24"/>
        </w:rPr>
        <w:t>第二十一部分  争议的处理和适用的法律</w:t>
      </w:r>
      <w:r>
        <w:rPr>
          <w:rFonts w:hint="eastAsia" w:ascii="宋体" w:hAnsi="宋体" w:cs="宋体"/>
          <w:sz w:val="24"/>
          <w:szCs w:val="24"/>
        </w:rPr>
        <w:tab/>
      </w:r>
      <w:r>
        <w:rPr>
          <w:rFonts w:hint="eastAsia" w:ascii="宋体" w:hAnsi="宋体" w:cs="宋体"/>
          <w:sz w:val="24"/>
          <w:szCs w:val="24"/>
        </w:rPr>
        <w:fldChar w:fldCharType="begin"/>
      </w:r>
      <w:r>
        <w:rPr>
          <w:rFonts w:hint="eastAsia" w:ascii="宋体" w:hAnsi="宋体" w:cs="宋体"/>
          <w:sz w:val="24"/>
          <w:szCs w:val="24"/>
        </w:rPr>
        <w:instrText xml:space="preserve"> PAGEREF _Toc21996 \h </w:instrText>
      </w:r>
      <w:r>
        <w:rPr>
          <w:rFonts w:hint="eastAsia" w:ascii="宋体" w:hAnsi="宋体" w:cs="宋体"/>
          <w:sz w:val="24"/>
          <w:szCs w:val="24"/>
        </w:rPr>
        <w:fldChar w:fldCharType="separate"/>
      </w:r>
      <w:r>
        <w:rPr>
          <w:rFonts w:hint="eastAsia" w:ascii="宋体" w:hAnsi="宋体" w:cs="宋体"/>
          <w:sz w:val="24"/>
          <w:szCs w:val="24"/>
        </w:rPr>
        <w:t>65</w:t>
      </w:r>
      <w:r>
        <w:rPr>
          <w:rFonts w:hint="eastAsia" w:ascii="宋体" w:hAnsi="宋体" w:cs="宋体"/>
          <w:sz w:val="24"/>
          <w:szCs w:val="24"/>
        </w:rPr>
        <w:fldChar w:fldCharType="end"/>
      </w:r>
      <w:r>
        <w:rPr>
          <w:rFonts w:hint="eastAsia" w:ascii="宋体" w:hAnsi="宋体" w:cs="宋体"/>
          <w:sz w:val="24"/>
          <w:szCs w:val="24"/>
        </w:rPr>
        <w:fldChar w:fldCharType="end"/>
      </w:r>
    </w:p>
    <w:p>
      <w:pPr>
        <w:pStyle w:val="15"/>
        <w:tabs>
          <w:tab w:val="right" w:leader="dot" w:pos="8306"/>
          <w:tab w:val="clear" w:pos="8296"/>
        </w:tabs>
        <w:rPr>
          <w:rFonts w:ascii="宋体" w:hAnsi="宋体" w:cs="宋体"/>
          <w:sz w:val="24"/>
          <w:szCs w:val="24"/>
        </w:rPr>
      </w:pPr>
      <w:r>
        <w:fldChar w:fldCharType="begin"/>
      </w:r>
      <w:r>
        <w:instrText xml:space="preserve"> HYPERLINK \l "_Toc3856" </w:instrText>
      </w:r>
      <w:r>
        <w:fldChar w:fldCharType="separate"/>
      </w:r>
      <w:r>
        <w:rPr>
          <w:rFonts w:hint="eastAsia" w:ascii="宋体" w:hAnsi="宋体" w:cs="宋体"/>
          <w:sz w:val="24"/>
          <w:szCs w:val="24"/>
        </w:rPr>
        <w:t>第二十二部分  基金合同的效力</w:t>
      </w:r>
      <w:r>
        <w:rPr>
          <w:rFonts w:hint="eastAsia" w:ascii="宋体" w:hAnsi="宋体" w:cs="宋体"/>
          <w:sz w:val="24"/>
          <w:szCs w:val="24"/>
        </w:rPr>
        <w:tab/>
      </w:r>
      <w:r>
        <w:rPr>
          <w:rFonts w:hint="eastAsia" w:ascii="宋体" w:hAnsi="宋体" w:cs="宋体"/>
          <w:sz w:val="24"/>
          <w:szCs w:val="24"/>
        </w:rPr>
        <w:fldChar w:fldCharType="begin"/>
      </w:r>
      <w:r>
        <w:rPr>
          <w:rFonts w:hint="eastAsia" w:ascii="宋体" w:hAnsi="宋体" w:cs="宋体"/>
          <w:sz w:val="24"/>
          <w:szCs w:val="24"/>
        </w:rPr>
        <w:instrText xml:space="preserve"> PAGEREF _Toc3856 \h </w:instrText>
      </w:r>
      <w:r>
        <w:rPr>
          <w:rFonts w:hint="eastAsia" w:ascii="宋体" w:hAnsi="宋体" w:cs="宋体"/>
          <w:sz w:val="24"/>
          <w:szCs w:val="24"/>
        </w:rPr>
        <w:fldChar w:fldCharType="separate"/>
      </w:r>
      <w:r>
        <w:rPr>
          <w:rFonts w:hint="eastAsia" w:ascii="宋体" w:hAnsi="宋体" w:cs="宋体"/>
          <w:sz w:val="24"/>
          <w:szCs w:val="24"/>
        </w:rPr>
        <w:t>66</w:t>
      </w:r>
      <w:r>
        <w:rPr>
          <w:rFonts w:hint="eastAsia" w:ascii="宋体" w:hAnsi="宋体" w:cs="宋体"/>
          <w:sz w:val="24"/>
          <w:szCs w:val="24"/>
        </w:rPr>
        <w:fldChar w:fldCharType="end"/>
      </w:r>
      <w:r>
        <w:rPr>
          <w:rFonts w:hint="eastAsia" w:ascii="宋体" w:hAnsi="宋体" w:cs="宋体"/>
          <w:sz w:val="24"/>
          <w:szCs w:val="24"/>
        </w:rPr>
        <w:fldChar w:fldCharType="end"/>
      </w:r>
    </w:p>
    <w:p>
      <w:pPr>
        <w:pStyle w:val="15"/>
        <w:tabs>
          <w:tab w:val="right" w:leader="dot" w:pos="8306"/>
          <w:tab w:val="clear" w:pos="8296"/>
        </w:tabs>
        <w:rPr>
          <w:rFonts w:ascii="宋体" w:hAnsi="宋体" w:cs="宋体"/>
          <w:sz w:val="24"/>
          <w:szCs w:val="24"/>
        </w:rPr>
      </w:pPr>
      <w:r>
        <w:fldChar w:fldCharType="begin"/>
      </w:r>
      <w:r>
        <w:instrText xml:space="preserve"> HYPERLINK \l "_Toc1807" </w:instrText>
      </w:r>
      <w:r>
        <w:fldChar w:fldCharType="separate"/>
      </w:r>
      <w:r>
        <w:rPr>
          <w:rFonts w:hint="eastAsia" w:ascii="宋体" w:hAnsi="宋体" w:cs="宋体"/>
          <w:sz w:val="24"/>
          <w:szCs w:val="24"/>
        </w:rPr>
        <w:t>第二十三部分  其他事项</w:t>
      </w:r>
      <w:r>
        <w:rPr>
          <w:rFonts w:hint="eastAsia" w:ascii="宋体" w:hAnsi="宋体" w:cs="宋体"/>
          <w:sz w:val="24"/>
          <w:szCs w:val="24"/>
        </w:rPr>
        <w:tab/>
      </w:r>
      <w:r>
        <w:rPr>
          <w:rFonts w:hint="eastAsia" w:ascii="宋体" w:hAnsi="宋体" w:cs="宋体"/>
          <w:sz w:val="24"/>
          <w:szCs w:val="24"/>
        </w:rPr>
        <w:fldChar w:fldCharType="begin"/>
      </w:r>
      <w:r>
        <w:rPr>
          <w:rFonts w:hint="eastAsia" w:ascii="宋体" w:hAnsi="宋体" w:cs="宋体"/>
          <w:sz w:val="24"/>
          <w:szCs w:val="24"/>
        </w:rPr>
        <w:instrText xml:space="preserve"> PAGEREF _Toc1807 \h </w:instrText>
      </w:r>
      <w:r>
        <w:rPr>
          <w:rFonts w:hint="eastAsia" w:ascii="宋体" w:hAnsi="宋体" w:cs="宋体"/>
          <w:sz w:val="24"/>
          <w:szCs w:val="24"/>
        </w:rPr>
        <w:fldChar w:fldCharType="separate"/>
      </w:r>
      <w:r>
        <w:rPr>
          <w:rFonts w:hint="eastAsia" w:ascii="宋体" w:hAnsi="宋体" w:cs="宋体"/>
          <w:sz w:val="24"/>
          <w:szCs w:val="24"/>
        </w:rPr>
        <w:t>67</w:t>
      </w:r>
      <w:r>
        <w:rPr>
          <w:rFonts w:hint="eastAsia" w:ascii="宋体" w:hAnsi="宋体" w:cs="宋体"/>
          <w:sz w:val="24"/>
          <w:szCs w:val="24"/>
        </w:rPr>
        <w:fldChar w:fldCharType="end"/>
      </w:r>
      <w:r>
        <w:rPr>
          <w:rFonts w:hint="eastAsia" w:ascii="宋体" w:hAnsi="宋体" w:cs="宋体"/>
          <w:sz w:val="24"/>
          <w:szCs w:val="24"/>
        </w:rPr>
        <w:fldChar w:fldCharType="end"/>
      </w:r>
    </w:p>
    <w:p>
      <w:pPr>
        <w:pStyle w:val="15"/>
        <w:tabs>
          <w:tab w:val="right" w:leader="dot" w:pos="8306"/>
          <w:tab w:val="clear" w:pos="8296"/>
        </w:tabs>
      </w:pPr>
      <w:r>
        <w:fldChar w:fldCharType="begin"/>
      </w:r>
      <w:r>
        <w:instrText xml:space="preserve"> HYPERLINK \l "_Toc16445" </w:instrText>
      </w:r>
      <w:r>
        <w:fldChar w:fldCharType="separate"/>
      </w:r>
      <w:r>
        <w:rPr>
          <w:rFonts w:hint="eastAsia" w:ascii="宋体" w:hAnsi="宋体" w:cs="宋体"/>
          <w:sz w:val="24"/>
          <w:szCs w:val="24"/>
        </w:rPr>
        <w:t>第二十四部分  基金合同内容摘要</w:t>
      </w:r>
      <w:r>
        <w:rPr>
          <w:rFonts w:hint="eastAsia" w:ascii="宋体" w:hAnsi="宋体" w:cs="宋体"/>
          <w:sz w:val="24"/>
          <w:szCs w:val="24"/>
        </w:rPr>
        <w:tab/>
      </w:r>
      <w:r>
        <w:rPr>
          <w:rFonts w:hint="eastAsia" w:ascii="宋体" w:hAnsi="宋体" w:cs="宋体"/>
          <w:sz w:val="24"/>
          <w:szCs w:val="24"/>
        </w:rPr>
        <w:fldChar w:fldCharType="begin"/>
      </w:r>
      <w:r>
        <w:rPr>
          <w:rFonts w:hint="eastAsia" w:ascii="宋体" w:hAnsi="宋体" w:cs="宋体"/>
          <w:sz w:val="24"/>
          <w:szCs w:val="24"/>
        </w:rPr>
        <w:instrText xml:space="preserve"> PAGEREF _Toc16445 \h </w:instrText>
      </w:r>
      <w:r>
        <w:rPr>
          <w:rFonts w:hint="eastAsia" w:ascii="宋体" w:hAnsi="宋体" w:cs="宋体"/>
          <w:sz w:val="24"/>
          <w:szCs w:val="24"/>
        </w:rPr>
        <w:fldChar w:fldCharType="separate"/>
      </w:r>
      <w:r>
        <w:rPr>
          <w:rFonts w:hint="eastAsia" w:ascii="宋体" w:hAnsi="宋体" w:cs="宋体"/>
          <w:sz w:val="24"/>
          <w:szCs w:val="24"/>
        </w:rPr>
        <w:t>68</w:t>
      </w:r>
      <w:r>
        <w:rPr>
          <w:rFonts w:hint="eastAsia" w:ascii="宋体" w:hAnsi="宋体" w:cs="宋体"/>
          <w:sz w:val="24"/>
          <w:szCs w:val="24"/>
        </w:rPr>
        <w:fldChar w:fldCharType="end"/>
      </w:r>
      <w:r>
        <w:rPr>
          <w:rFonts w:hint="eastAsia" w:ascii="宋体" w:hAnsi="宋体" w:cs="宋体"/>
          <w:sz w:val="24"/>
          <w:szCs w:val="24"/>
        </w:rPr>
        <w:fldChar w:fldCharType="end"/>
      </w:r>
    </w:p>
    <w:p>
      <w:pPr>
        <w:pStyle w:val="2"/>
        <w:spacing w:before="0" w:after="0"/>
        <w:jc w:val="left"/>
        <w:rPr>
          <w:rFonts w:hAnsi="宋体" w:cs="宋体"/>
          <w:b w:val="0"/>
          <w:bCs/>
          <w:color w:val="auto"/>
          <w:kern w:val="2"/>
        </w:rPr>
        <w:sectPr>
          <w:headerReference r:id="rId6" w:type="default"/>
          <w:pgSz w:w="11906" w:h="16838"/>
          <w:pgMar w:top="1440" w:right="1800" w:bottom="1440" w:left="1800" w:header="851" w:footer="992" w:gutter="0"/>
          <w:pgNumType w:start="1"/>
          <w:cols w:space="720" w:num="1"/>
          <w:docGrid w:type="lines" w:linePitch="312" w:charSpace="0"/>
        </w:sectPr>
      </w:pPr>
      <w:r>
        <w:rPr>
          <w:rFonts w:hint="eastAsia" w:hAnsi="宋体" w:cs="宋体"/>
          <w:b w:val="0"/>
          <w:bCs/>
          <w:color w:val="auto"/>
          <w:kern w:val="2"/>
        </w:rPr>
        <w:fldChar w:fldCharType="end"/>
      </w:r>
      <w:bookmarkEnd w:id="31"/>
      <w:bookmarkStart w:id="33" w:name="_Toc8727"/>
      <w:bookmarkStart w:id="34" w:name="_Toc23386"/>
      <w:bookmarkStart w:id="35" w:name="_Toc32639"/>
      <w:bookmarkStart w:id="36" w:name="_Toc4966"/>
      <w:bookmarkStart w:id="37" w:name="_Toc30935"/>
      <w:bookmarkStart w:id="38" w:name="_Toc26897"/>
      <w:bookmarkStart w:id="39" w:name="_Toc139991730"/>
      <w:bookmarkStart w:id="40" w:name="_Toc15517"/>
      <w:bookmarkStart w:id="41" w:name="_Toc6306"/>
      <w:bookmarkStart w:id="42" w:name="_Toc141703880"/>
      <w:bookmarkStart w:id="43" w:name="_Toc29629"/>
      <w:bookmarkStart w:id="44" w:name="_Toc4867"/>
      <w:bookmarkStart w:id="45" w:name="_Toc123112229"/>
      <w:bookmarkStart w:id="46" w:name="_Toc123112268"/>
      <w:bookmarkStart w:id="47" w:name="_Toc123701389"/>
      <w:bookmarkStart w:id="48" w:name="_Toc233456271"/>
    </w:p>
    <w:p>
      <w:pPr>
        <w:pStyle w:val="2"/>
        <w:spacing w:before="0" w:after="0"/>
        <w:jc w:val="center"/>
        <w:rPr>
          <w:rFonts w:hAnsi="宋体" w:cs="宋体"/>
          <w:color w:val="auto"/>
          <w:sz w:val="30"/>
        </w:rPr>
      </w:pPr>
      <w:bookmarkStart w:id="49" w:name="_Toc11660"/>
      <w:bookmarkStart w:id="50" w:name="CLAUSE_0ba858bd04a945e28241adbc8b778bbc"/>
      <w:r>
        <w:rPr>
          <w:rFonts w:hint="eastAsia" w:hAnsi="宋体" w:cs="宋体"/>
        </w:rPr>
        <w:t xml:space="preserve"> </w:t>
      </w:r>
      <w:bookmarkStart w:id="51" w:name="CTS_0ba858bd04a945e28241adbc8b778bbc"/>
      <w:bookmarkEnd w:id="51"/>
      <w:bookmarkStart w:id="52" w:name="_Toc9598"/>
      <w:r>
        <w:rPr>
          <w:rFonts w:hint="eastAsia" w:hAnsi="宋体" w:cs="宋体"/>
          <w:color w:val="auto"/>
          <w:sz w:val="30"/>
        </w:rPr>
        <w:t>第一部分  前言</w:t>
      </w:r>
      <w:bookmarkEnd w:id="33"/>
      <w:bookmarkEnd w:id="34"/>
      <w:bookmarkEnd w:id="35"/>
      <w:bookmarkEnd w:id="36"/>
      <w:bookmarkEnd w:id="37"/>
      <w:bookmarkEnd w:id="38"/>
      <w:bookmarkEnd w:id="39"/>
      <w:bookmarkEnd w:id="40"/>
      <w:bookmarkEnd w:id="41"/>
      <w:bookmarkEnd w:id="42"/>
      <w:bookmarkEnd w:id="43"/>
      <w:bookmarkEnd w:id="44"/>
      <w:bookmarkEnd w:id="49"/>
      <w:bookmarkEnd w:id="52"/>
    </w:p>
    <w:p>
      <w:pPr>
        <w:rPr>
          <w:rFonts w:ascii="宋体" w:hAnsi="宋体" w:cs="宋体"/>
          <w:bCs/>
        </w:rPr>
      </w:pPr>
      <w:bookmarkStart w:id="53" w:name="_Toc139991731"/>
    </w:p>
    <w:bookmarkEnd w:id="45"/>
    <w:bookmarkEnd w:id="46"/>
    <w:bookmarkEnd w:id="47"/>
    <w:bookmarkEnd w:id="53"/>
    <w:p>
      <w:pPr>
        <w:spacing w:line="360" w:lineRule="auto"/>
        <w:ind w:firstLine="480" w:firstLineChars="200"/>
        <w:rPr>
          <w:rFonts w:ascii="宋体" w:hAnsi="宋体" w:cs="宋体"/>
          <w:bCs/>
          <w:sz w:val="24"/>
        </w:rPr>
      </w:pPr>
      <w:bookmarkStart w:id="54" w:name="_Toc258829399"/>
      <w:r>
        <w:rPr>
          <w:rFonts w:hint="eastAsia" w:ascii="宋体" w:hAnsi="宋体" w:cs="宋体"/>
          <w:bCs/>
          <w:sz w:val="24"/>
        </w:rPr>
        <w:t>一、订立本基金合同的目的、依据和原则</w:t>
      </w:r>
    </w:p>
    <w:p>
      <w:pPr>
        <w:spacing w:line="360" w:lineRule="auto"/>
        <w:ind w:firstLine="480" w:firstLineChars="200"/>
        <w:rPr>
          <w:rFonts w:ascii="宋体" w:hAnsi="宋体" w:cs="宋体"/>
          <w:bCs/>
          <w:sz w:val="24"/>
        </w:rPr>
      </w:pPr>
      <w:r>
        <w:rPr>
          <w:rFonts w:hint="eastAsia" w:ascii="宋体" w:hAnsi="宋体" w:cs="宋体"/>
          <w:bCs/>
          <w:sz w:val="24"/>
        </w:rPr>
        <w:t>1、订立本基金合同的目的是保护投资人合法权益，明确基金合同当事人的权利义务，规范基金运作。</w:t>
      </w:r>
    </w:p>
    <w:p>
      <w:pPr>
        <w:spacing w:line="360" w:lineRule="auto"/>
        <w:ind w:firstLine="480" w:firstLineChars="200"/>
        <w:rPr>
          <w:rFonts w:ascii="宋体" w:hAnsi="宋体" w:cs="宋体"/>
          <w:bCs/>
          <w:sz w:val="24"/>
        </w:rPr>
      </w:pPr>
      <w:r>
        <w:rPr>
          <w:rFonts w:hint="eastAsia" w:ascii="宋体" w:hAnsi="宋体" w:cs="宋体"/>
          <w:bCs/>
          <w:sz w:val="24"/>
        </w:rPr>
        <w:t>2、订立本基金合同的依据是《中华人民共和国民法典》、《中华人民共和国证券投资基金法》(以下简称“《基金法》”)、《公开募集证券投资基金运作管理办法》(以下简称“《运作办法》”)、《公开募集证券投资基金销售机构监督管理办法》(以下简称“《销售办法》”)、《公开募集证券投资基金信息披露管理办法》(以下简称“《信息披露办法》”) 和其他有关法律法规。</w:t>
      </w:r>
    </w:p>
    <w:p>
      <w:pPr>
        <w:spacing w:line="360" w:lineRule="auto"/>
        <w:ind w:firstLine="480" w:firstLineChars="200"/>
        <w:rPr>
          <w:rFonts w:ascii="宋体" w:hAnsi="宋体" w:cs="宋体"/>
          <w:bCs/>
          <w:sz w:val="24"/>
        </w:rPr>
      </w:pPr>
      <w:r>
        <w:rPr>
          <w:rFonts w:hint="eastAsia" w:ascii="宋体" w:hAnsi="宋体" w:cs="宋体"/>
          <w:bCs/>
          <w:sz w:val="24"/>
        </w:rPr>
        <w:t>3、订立本基金合同的原则是平等自愿、诚实信用、充分保护投资人合法权益。</w:t>
      </w:r>
    </w:p>
    <w:p>
      <w:pPr>
        <w:spacing w:line="360" w:lineRule="auto"/>
        <w:ind w:firstLine="480" w:firstLineChars="200"/>
        <w:rPr>
          <w:rFonts w:ascii="宋体" w:hAnsi="宋体" w:cs="宋体"/>
          <w:bCs/>
          <w:sz w:val="24"/>
        </w:rPr>
      </w:pPr>
      <w:r>
        <w:rPr>
          <w:rFonts w:hint="eastAsia" w:ascii="宋体" w:hAnsi="宋体" w:cs="宋体"/>
          <w:bCs/>
          <w:sz w:val="24"/>
        </w:rPr>
        <w:t>二、基金合同是规定基金合同当事人之间权利义务关系的基本法律文件，其他与基金相关的涉及基金合同当事人之间权利义务关系的任何文件或表述，如与基金合同有冲突，均以基金合同为准。基金合同当事人按照《基金法》、基金合同及其他有关规定享有权利、承担义务。</w:t>
      </w:r>
    </w:p>
    <w:p>
      <w:pPr>
        <w:spacing w:line="360" w:lineRule="auto"/>
        <w:ind w:firstLine="480" w:firstLineChars="200"/>
        <w:rPr>
          <w:rFonts w:ascii="宋体" w:hAnsi="宋体" w:cs="宋体"/>
          <w:bCs/>
        </w:rPr>
      </w:pPr>
      <w:r>
        <w:rPr>
          <w:rFonts w:hint="eastAsia" w:ascii="宋体" w:hAnsi="宋体" w:cs="宋体"/>
          <w:bCs/>
          <w:sz w:val="24"/>
        </w:rPr>
        <w:t>基金合同的当事人包括基金管理人、基金托管人和基金份额持有人。基金投资人自依本基金合同取得基金份额，即成为基金份额持有人和本基金合同的当事人，其持有基金份额的行为本身即表明其对基金合同的承认和接受。</w:t>
      </w:r>
    </w:p>
    <w:p>
      <w:pPr>
        <w:spacing w:line="360" w:lineRule="auto"/>
        <w:ind w:firstLine="480" w:firstLineChars="200"/>
        <w:rPr>
          <w:rFonts w:ascii="宋体" w:hAnsi="宋体" w:cs="宋体"/>
          <w:bCs/>
          <w:sz w:val="24"/>
        </w:rPr>
      </w:pPr>
      <w:r>
        <w:rPr>
          <w:rFonts w:hint="eastAsia" w:ascii="宋体" w:hAnsi="宋体" w:cs="宋体"/>
          <w:bCs/>
          <w:sz w:val="24"/>
        </w:rPr>
        <w:t>三、东方阿尔法聚利63个月封闭式债券型证券投资基金由基金管理人依照《基金法》、基金合同及其他有关规定募集，并经中国证券监督管理委员会(以下简称“中国证监会”)注册。</w:t>
      </w:r>
    </w:p>
    <w:p>
      <w:pPr>
        <w:spacing w:line="360" w:lineRule="auto"/>
        <w:ind w:firstLine="480" w:firstLineChars="200"/>
        <w:rPr>
          <w:rFonts w:ascii="宋体" w:hAnsi="宋体" w:cs="宋体"/>
          <w:bCs/>
          <w:sz w:val="24"/>
        </w:rPr>
      </w:pPr>
      <w:r>
        <w:rPr>
          <w:rFonts w:hint="eastAsia" w:ascii="宋体" w:hAnsi="宋体" w:cs="宋体"/>
          <w:bCs/>
          <w:sz w:val="24"/>
        </w:rPr>
        <w:t>中国证监会对本基金募集的注册，并不表明其对本基金的投资价值和市场前景做出实质性判断或保证，也不表明投资于本基金没有风险。</w:t>
      </w:r>
    </w:p>
    <w:p>
      <w:pPr>
        <w:spacing w:line="360" w:lineRule="auto"/>
        <w:ind w:firstLine="480" w:firstLineChars="200"/>
        <w:rPr>
          <w:rFonts w:ascii="宋体" w:hAnsi="宋体" w:cs="宋体"/>
          <w:bCs/>
          <w:sz w:val="24"/>
        </w:rPr>
      </w:pPr>
      <w:r>
        <w:rPr>
          <w:rFonts w:hint="eastAsia" w:ascii="宋体" w:hAnsi="宋体" w:cs="宋体"/>
          <w:bCs/>
          <w:sz w:val="24"/>
        </w:rPr>
        <w:t>基金管理人依照恪尽职守、诚实信用、谨慎勤勉的原则管理和运用基金财产，但不保证投资于本基金一定盈利，也不保证最低收益。</w:t>
      </w:r>
    </w:p>
    <w:p>
      <w:pPr>
        <w:spacing w:line="360" w:lineRule="auto"/>
        <w:ind w:firstLine="480" w:firstLineChars="200"/>
        <w:rPr>
          <w:rFonts w:ascii="宋体" w:hAnsi="宋体" w:cs="宋体"/>
          <w:bCs/>
          <w:sz w:val="24"/>
        </w:rPr>
      </w:pPr>
      <w:r>
        <w:rPr>
          <w:rFonts w:hint="eastAsia" w:ascii="宋体" w:hAnsi="宋体" w:cs="宋体"/>
          <w:bCs/>
          <w:sz w:val="24"/>
        </w:rPr>
        <w:t>投资者应当认真阅读基金合同、基金招募说明书、基金产品资料概要等信息披露文件，自主判断基金的投资价值，自主做出投资决策，自行承担投资风险。</w:t>
      </w:r>
    </w:p>
    <w:p>
      <w:pPr>
        <w:numPr>
          <w:ilvl w:val="0"/>
          <w:numId w:val="2"/>
        </w:numPr>
        <w:spacing w:line="360" w:lineRule="auto"/>
        <w:ind w:firstLine="480" w:firstLineChars="200"/>
        <w:rPr>
          <w:rFonts w:ascii="宋体" w:hAnsi="宋体" w:cs="宋体"/>
          <w:bCs/>
          <w:sz w:val="24"/>
        </w:rPr>
      </w:pPr>
      <w:r>
        <w:rPr>
          <w:rFonts w:hint="eastAsia" w:ascii="宋体" w:hAnsi="宋体" w:cs="宋体"/>
          <w:bCs/>
          <w:sz w:val="24"/>
        </w:rPr>
        <w:t>基金管理人、基金托管人在本基金合同之外披露涉及本基金的信息，其内容涉及界定基金合同当事人之间权利义务关系的，如与基金合同有冲突，以基金合同为准。</w:t>
      </w:r>
    </w:p>
    <w:p>
      <w:pPr>
        <w:numPr>
          <w:ilvl w:val="0"/>
          <w:numId w:val="2"/>
        </w:numPr>
        <w:spacing w:line="360" w:lineRule="auto"/>
        <w:ind w:firstLine="480" w:firstLineChars="200"/>
        <w:rPr>
          <w:rFonts w:ascii="宋体" w:hAnsi="宋体" w:cs="宋体"/>
          <w:bCs/>
          <w:sz w:val="24"/>
        </w:rPr>
      </w:pPr>
      <w:r>
        <w:rPr>
          <w:rFonts w:hint="eastAsia" w:ascii="宋体" w:hAnsi="宋体" w:cs="宋体"/>
          <w:bCs/>
          <w:sz w:val="24"/>
        </w:rPr>
        <w:t>管理人依据相关法律法规及核准设立批复等，经尽职调查、进行了充分的评估论证、履行了必要的决策程序，现将份额登记、估值核算等业务委托给本基金合同约定的基金服务机构——</w:t>
      </w:r>
      <w:bookmarkStart w:id="55" w:name="OLE_LINK3"/>
      <w:bookmarkStart w:id="56" w:name="OLE_LINK1"/>
      <w:r>
        <w:rPr>
          <w:rFonts w:hint="eastAsia" w:ascii="宋体" w:hAnsi="宋体" w:cs="宋体"/>
          <w:bCs/>
          <w:sz w:val="24"/>
        </w:rPr>
        <w:t>招商证券股份有限公司</w:t>
      </w:r>
      <w:bookmarkEnd w:id="55"/>
      <w:bookmarkEnd w:id="56"/>
      <w:r>
        <w:rPr>
          <w:rFonts w:hint="eastAsia" w:ascii="宋体" w:hAnsi="宋体" w:cs="宋体"/>
          <w:bCs/>
          <w:sz w:val="24"/>
        </w:rPr>
        <w:t>负责日常运营；管理人需定期了解基金服务机构的人员配备情况、业务操作的专业能力、业务隔离措施、软硬件设施等基本运作情况，以保证满足业务发展的实际需求；如本基金合同约定的基金服务机构发生变更的，管理人将另行发布相关公告。</w:t>
      </w:r>
    </w:p>
    <w:p>
      <w:pPr>
        <w:numPr>
          <w:ilvl w:val="0"/>
          <w:numId w:val="2"/>
        </w:numPr>
        <w:spacing w:line="360" w:lineRule="auto"/>
        <w:ind w:firstLine="480" w:firstLineChars="200"/>
        <w:rPr>
          <w:rFonts w:ascii="宋体" w:hAnsi="宋体" w:cs="宋体"/>
          <w:bCs/>
          <w:sz w:val="24"/>
        </w:rPr>
      </w:pPr>
      <w:r>
        <w:rPr>
          <w:rFonts w:hint="eastAsia" w:ascii="宋体" w:hAnsi="宋体" w:cs="宋体"/>
          <w:bCs/>
          <w:sz w:val="24"/>
        </w:rPr>
        <w:t>本基金按照中国法律法规成立并运作，若基金合同的内容与届时有效的法律法规的强制性规定不一致，应当以届时有效的法律法规的规定为准。</w:t>
      </w:r>
    </w:p>
    <w:p>
      <w:pPr>
        <w:numPr>
          <w:ilvl w:val="0"/>
          <w:numId w:val="2"/>
        </w:numPr>
        <w:spacing w:line="360" w:lineRule="auto"/>
        <w:ind w:firstLine="480" w:firstLineChars="200"/>
        <w:rPr>
          <w:rFonts w:ascii="宋体" w:hAnsi="宋体" w:cs="宋体"/>
          <w:bCs/>
          <w:sz w:val="24"/>
        </w:rPr>
      </w:pPr>
      <w:bookmarkStart w:id="57" w:name="OLE_LINK19"/>
      <w:r>
        <w:rPr>
          <w:rFonts w:hint="eastAsia" w:ascii="宋体" w:hAnsi="宋体" w:cs="宋体"/>
          <w:bCs/>
          <w:sz w:val="24"/>
        </w:rPr>
        <w:t>本基金采用摊余成本法估值，但不保本保收益，本基金发生风险时需计提资产减值准备，存在导致基金份额净值下降的风险。</w:t>
      </w:r>
    </w:p>
    <w:p>
      <w:pPr>
        <w:numPr>
          <w:ilvl w:val="0"/>
          <w:numId w:val="2"/>
        </w:numPr>
        <w:spacing w:line="360" w:lineRule="auto"/>
        <w:ind w:firstLine="480" w:firstLineChars="200"/>
        <w:rPr>
          <w:rFonts w:ascii="宋体" w:hAnsi="宋体" w:cs="宋体"/>
          <w:bCs/>
          <w:sz w:val="24"/>
        </w:rPr>
      </w:pPr>
      <w:r>
        <w:rPr>
          <w:rFonts w:hint="eastAsia" w:ascii="宋体" w:hAnsi="宋体" w:cs="宋体"/>
          <w:bCs/>
          <w:sz w:val="24"/>
        </w:rPr>
        <w:t>本基金在封闭期内严格执行买入并持有到期策略构建投资组合，所投金融资产持有到期，可能会损失一定的交易收益。</w:t>
      </w:r>
    </w:p>
    <w:p>
      <w:pPr>
        <w:numPr>
          <w:ilvl w:val="0"/>
          <w:numId w:val="2"/>
        </w:numPr>
        <w:spacing w:line="360" w:lineRule="auto"/>
        <w:ind w:firstLine="480" w:firstLineChars="200"/>
        <w:rPr>
          <w:rFonts w:ascii="宋体" w:hAnsi="宋体" w:cs="宋体"/>
          <w:bCs/>
          <w:sz w:val="24"/>
        </w:rPr>
      </w:pPr>
      <w:r>
        <w:rPr>
          <w:rFonts w:ascii="宋体" w:hAnsi="宋体" w:cs="宋体"/>
          <w:bCs/>
          <w:sz w:val="24"/>
        </w:rPr>
        <w:t>本基金封闭期为</w:t>
      </w:r>
      <w:r>
        <w:rPr>
          <w:rFonts w:hint="eastAsia" w:ascii="宋体" w:hAnsi="宋体" w:cs="宋体"/>
          <w:bCs/>
          <w:sz w:val="24"/>
        </w:rPr>
        <w:t>63</w:t>
      </w:r>
      <w:r>
        <w:rPr>
          <w:rFonts w:ascii="宋体" w:hAnsi="宋体" w:cs="宋体"/>
          <w:bCs/>
          <w:sz w:val="24"/>
        </w:rPr>
        <w:t>个月，在封闭期内，本基金不办理申购与赎回业务，且本基金不上市交易。本基金将在封闭期到期日对基金份额进行自动赎回，并于封闭期到期日的次日，基金合同自动终止并进入基金财产清算程序。请投资者合理安排资金进行投资。</w:t>
      </w:r>
      <w:bookmarkEnd w:id="57"/>
    </w:p>
    <w:p>
      <w:pPr>
        <w:pStyle w:val="2"/>
        <w:spacing w:before="0" w:after="0"/>
        <w:jc w:val="center"/>
        <w:rPr>
          <w:rFonts w:hAnsi="宋体" w:cs="宋体"/>
          <w:color w:val="auto"/>
          <w:sz w:val="30"/>
        </w:rPr>
      </w:pPr>
      <w:r>
        <w:rPr>
          <w:rFonts w:hint="eastAsia" w:hAnsi="宋体" w:cs="宋体"/>
          <w:b w:val="0"/>
          <w:color w:val="auto"/>
          <w:kern w:val="2"/>
        </w:rPr>
        <w:br w:type="page"/>
      </w:r>
      <w:bookmarkStart w:id="58" w:name="_Toc31551"/>
      <w:bookmarkStart w:id="59" w:name="_Toc19592"/>
      <w:bookmarkStart w:id="60" w:name="_Toc21301"/>
      <w:bookmarkStart w:id="61" w:name="_Toc8772"/>
      <w:bookmarkStart w:id="62" w:name="_Toc3224"/>
      <w:bookmarkStart w:id="63" w:name="_Toc22864"/>
      <w:bookmarkStart w:id="64" w:name="_Toc24860"/>
      <w:bookmarkStart w:id="65" w:name="_Toc13020"/>
      <w:bookmarkStart w:id="66" w:name="_Toc15067"/>
      <w:bookmarkStart w:id="67" w:name="_Toc6617"/>
      <w:bookmarkStart w:id="68" w:name="_Toc2465"/>
      <w:bookmarkStart w:id="69" w:name="_Toc819"/>
      <w:r>
        <w:rPr>
          <w:rFonts w:hint="eastAsia" w:hAnsi="宋体" w:cs="宋体"/>
          <w:color w:val="auto"/>
          <w:sz w:val="30"/>
        </w:rPr>
        <w:t>第二部分 释义</w:t>
      </w:r>
      <w:bookmarkEnd w:id="48"/>
      <w:bookmarkEnd w:id="54"/>
      <w:bookmarkEnd w:id="58"/>
      <w:bookmarkEnd w:id="59"/>
      <w:bookmarkEnd w:id="60"/>
      <w:bookmarkEnd w:id="61"/>
      <w:bookmarkEnd w:id="62"/>
      <w:bookmarkEnd w:id="63"/>
      <w:bookmarkEnd w:id="64"/>
      <w:bookmarkEnd w:id="65"/>
      <w:bookmarkEnd w:id="66"/>
      <w:bookmarkEnd w:id="67"/>
      <w:bookmarkEnd w:id="68"/>
      <w:bookmarkEnd w:id="69"/>
    </w:p>
    <w:p>
      <w:pPr>
        <w:autoSpaceDE w:val="0"/>
        <w:autoSpaceDN w:val="0"/>
        <w:adjustRightInd w:val="0"/>
        <w:spacing w:line="360" w:lineRule="auto"/>
        <w:ind w:firstLine="420" w:firstLineChars="200"/>
        <w:rPr>
          <w:rFonts w:ascii="宋体" w:hAnsi="宋体" w:cs="宋体"/>
          <w:bCs/>
        </w:rPr>
      </w:pPr>
    </w:p>
    <w:p>
      <w:pPr>
        <w:spacing w:line="360" w:lineRule="auto"/>
        <w:ind w:firstLine="480" w:firstLineChars="200"/>
        <w:rPr>
          <w:rFonts w:ascii="宋体" w:hAnsi="宋体" w:cs="宋体"/>
          <w:bCs/>
          <w:sz w:val="24"/>
        </w:rPr>
      </w:pPr>
      <w:bookmarkStart w:id="70" w:name="OLE_LINK25"/>
      <w:bookmarkStart w:id="71" w:name="OLE_LINK24"/>
      <w:r>
        <w:rPr>
          <w:rFonts w:hint="eastAsia" w:ascii="宋体" w:hAnsi="宋体" w:cs="宋体"/>
          <w:bCs/>
          <w:sz w:val="24"/>
        </w:rPr>
        <w:t>在本基金合同中，除非文意另有所指，下列词语或简称具有如下含义：</w:t>
      </w:r>
    </w:p>
    <w:p>
      <w:pPr>
        <w:spacing w:line="360" w:lineRule="auto"/>
        <w:ind w:firstLine="480" w:firstLineChars="200"/>
        <w:rPr>
          <w:rFonts w:ascii="宋体" w:hAnsi="宋体" w:cs="宋体"/>
          <w:bCs/>
          <w:sz w:val="24"/>
        </w:rPr>
      </w:pPr>
      <w:r>
        <w:rPr>
          <w:rFonts w:hint="eastAsia" w:ascii="宋体" w:hAnsi="宋体" w:cs="宋体"/>
          <w:bCs/>
          <w:sz w:val="24"/>
        </w:rPr>
        <w:t>1、基金或本基金：指</w:t>
      </w:r>
      <w:bookmarkStart w:id="72" w:name="OLE_LINK238"/>
      <w:bookmarkStart w:id="73" w:name="OLE_LINK317"/>
      <w:bookmarkStart w:id="74" w:name="OLE_LINK237"/>
      <w:r>
        <w:rPr>
          <w:rFonts w:hint="eastAsia" w:ascii="宋体" w:hAnsi="宋体" w:cs="宋体"/>
          <w:bCs/>
          <w:sz w:val="24"/>
          <w:szCs w:val="21"/>
        </w:rPr>
        <w:t>东方阿尔法</w:t>
      </w:r>
      <w:bookmarkStart w:id="75" w:name="OLE_LINK239"/>
      <w:bookmarkStart w:id="76" w:name="OLE_LINK240"/>
      <w:r>
        <w:rPr>
          <w:rFonts w:hint="eastAsia" w:ascii="宋体" w:hAnsi="宋体" w:cs="宋体"/>
          <w:bCs/>
          <w:sz w:val="24"/>
          <w:szCs w:val="21"/>
        </w:rPr>
        <w:t>聚利</w:t>
      </w:r>
      <w:bookmarkEnd w:id="75"/>
      <w:bookmarkEnd w:id="76"/>
      <w:r>
        <w:rPr>
          <w:rFonts w:hint="eastAsia" w:ascii="宋体" w:hAnsi="宋体" w:cs="宋体"/>
          <w:bCs/>
          <w:sz w:val="24"/>
          <w:szCs w:val="21"/>
        </w:rPr>
        <w:t>63个月封闭式债券型证券投资基金</w:t>
      </w:r>
    </w:p>
    <w:bookmarkEnd w:id="72"/>
    <w:bookmarkEnd w:id="73"/>
    <w:bookmarkEnd w:id="74"/>
    <w:p>
      <w:pPr>
        <w:spacing w:line="360" w:lineRule="auto"/>
        <w:ind w:firstLine="480" w:firstLineChars="200"/>
        <w:rPr>
          <w:rFonts w:ascii="宋体" w:hAnsi="宋体" w:cs="宋体"/>
          <w:bCs/>
          <w:sz w:val="24"/>
        </w:rPr>
      </w:pPr>
      <w:r>
        <w:rPr>
          <w:rFonts w:hint="eastAsia" w:ascii="宋体" w:hAnsi="宋体" w:cs="宋体"/>
          <w:bCs/>
          <w:sz w:val="24"/>
        </w:rPr>
        <w:t xml:space="preserve">2、基金管理人：指东方阿尔法基金管理有限公司     </w:t>
      </w:r>
    </w:p>
    <w:p>
      <w:pPr>
        <w:spacing w:line="360" w:lineRule="auto"/>
        <w:ind w:firstLine="480" w:firstLineChars="200"/>
        <w:rPr>
          <w:rFonts w:ascii="宋体" w:hAnsi="宋体" w:cs="宋体"/>
          <w:bCs/>
          <w:sz w:val="24"/>
        </w:rPr>
      </w:pPr>
      <w:r>
        <w:rPr>
          <w:rFonts w:hint="eastAsia" w:ascii="宋体" w:hAnsi="宋体" w:cs="宋体"/>
          <w:bCs/>
          <w:sz w:val="24"/>
        </w:rPr>
        <w:t>3、基金托管人：指</w:t>
      </w:r>
      <w:r>
        <w:rPr>
          <w:rFonts w:hint="eastAsia" w:ascii="宋体" w:hAnsi="宋体" w:cs="宋体"/>
          <w:bCs/>
          <w:sz w:val="24"/>
          <w:szCs w:val="21"/>
        </w:rPr>
        <w:t>招商银行</w:t>
      </w:r>
      <w:r>
        <w:rPr>
          <w:rFonts w:hint="eastAsia" w:ascii="宋体" w:hAnsi="宋体" w:cs="宋体"/>
          <w:bCs/>
          <w:sz w:val="24"/>
        </w:rPr>
        <w:t xml:space="preserve">股份有限公司   </w:t>
      </w:r>
    </w:p>
    <w:p>
      <w:pPr>
        <w:spacing w:line="360" w:lineRule="auto"/>
        <w:ind w:firstLine="480" w:firstLineChars="200"/>
        <w:rPr>
          <w:rFonts w:ascii="宋体" w:hAnsi="宋体" w:cs="宋体"/>
          <w:bCs/>
          <w:sz w:val="24"/>
        </w:rPr>
      </w:pPr>
      <w:r>
        <w:rPr>
          <w:rFonts w:hint="eastAsia" w:ascii="宋体" w:hAnsi="宋体" w:cs="宋体"/>
          <w:bCs/>
          <w:sz w:val="24"/>
        </w:rPr>
        <w:t>4、基金合同、《基金合同》或本基金合同：指《</w:t>
      </w:r>
      <w:r>
        <w:rPr>
          <w:rFonts w:hint="eastAsia" w:ascii="宋体" w:hAnsi="宋体" w:cs="宋体"/>
          <w:bCs/>
          <w:sz w:val="24"/>
          <w:szCs w:val="21"/>
        </w:rPr>
        <w:t>东方阿尔法聚利63个月封闭式债券型证券投资基金基金</w:t>
      </w:r>
      <w:r>
        <w:rPr>
          <w:rFonts w:hint="eastAsia" w:ascii="宋体" w:hAnsi="宋体" w:cs="宋体"/>
          <w:bCs/>
          <w:sz w:val="24"/>
        </w:rPr>
        <w:t>合同》及对本基金合同的任何有效修订和补充</w:t>
      </w:r>
    </w:p>
    <w:p>
      <w:pPr>
        <w:spacing w:line="360" w:lineRule="auto"/>
        <w:ind w:firstLine="480" w:firstLineChars="200"/>
        <w:rPr>
          <w:rFonts w:ascii="宋体" w:hAnsi="宋体" w:cs="宋体"/>
          <w:bCs/>
          <w:sz w:val="24"/>
        </w:rPr>
      </w:pPr>
      <w:r>
        <w:rPr>
          <w:rFonts w:hint="eastAsia" w:ascii="宋体" w:hAnsi="宋体" w:cs="宋体"/>
          <w:bCs/>
          <w:sz w:val="24"/>
        </w:rPr>
        <w:t>5、托管协议：指基金管理人与基金托管人就本基金签订之《</w:t>
      </w:r>
      <w:r>
        <w:rPr>
          <w:rFonts w:hint="eastAsia" w:ascii="宋体" w:hAnsi="宋体" w:cs="宋体"/>
          <w:bCs/>
          <w:sz w:val="24"/>
          <w:szCs w:val="21"/>
        </w:rPr>
        <w:t>东方阿尔法聚利63个月封闭式债券型证券投资基金</w:t>
      </w:r>
      <w:r>
        <w:rPr>
          <w:rFonts w:hint="eastAsia" w:ascii="宋体" w:hAnsi="宋体" w:cs="宋体"/>
          <w:bCs/>
          <w:sz w:val="24"/>
        </w:rPr>
        <w:t>托管协议》及对该托管协议的任何有效修订和补充</w:t>
      </w:r>
    </w:p>
    <w:p>
      <w:pPr>
        <w:spacing w:line="360" w:lineRule="auto"/>
        <w:ind w:firstLine="480" w:firstLineChars="200"/>
        <w:rPr>
          <w:rFonts w:ascii="宋体" w:hAnsi="宋体" w:cs="宋体"/>
          <w:bCs/>
          <w:sz w:val="24"/>
        </w:rPr>
      </w:pPr>
      <w:r>
        <w:rPr>
          <w:rFonts w:hint="eastAsia" w:ascii="宋体" w:hAnsi="宋体" w:cs="宋体"/>
          <w:bCs/>
          <w:sz w:val="24"/>
        </w:rPr>
        <w:t>6、招募说明书或《招募说明书》：指《</w:t>
      </w:r>
      <w:r>
        <w:rPr>
          <w:rFonts w:hint="eastAsia" w:ascii="宋体" w:hAnsi="宋体" w:cs="宋体"/>
          <w:bCs/>
          <w:sz w:val="24"/>
          <w:szCs w:val="21"/>
        </w:rPr>
        <w:t>东方阿尔法聚利63个月封闭式债券型证券投资基金</w:t>
      </w:r>
      <w:r>
        <w:rPr>
          <w:rFonts w:hint="eastAsia" w:ascii="宋体" w:hAnsi="宋体" w:cs="宋体"/>
          <w:bCs/>
          <w:sz w:val="24"/>
        </w:rPr>
        <w:t>招募说明书》及其更新</w:t>
      </w:r>
    </w:p>
    <w:p>
      <w:pPr>
        <w:spacing w:line="360" w:lineRule="auto"/>
        <w:ind w:firstLine="480" w:firstLineChars="200"/>
        <w:rPr>
          <w:rFonts w:ascii="宋体" w:hAnsi="宋体" w:cs="宋体"/>
          <w:bCs/>
          <w:sz w:val="24"/>
        </w:rPr>
      </w:pPr>
      <w:r>
        <w:rPr>
          <w:rFonts w:hint="eastAsia" w:ascii="宋体" w:hAnsi="宋体" w:cs="宋体"/>
          <w:bCs/>
          <w:sz w:val="24"/>
        </w:rPr>
        <w:t>7、基金份额发售公告：指《</w:t>
      </w:r>
      <w:r>
        <w:rPr>
          <w:rFonts w:hint="eastAsia" w:ascii="宋体" w:hAnsi="宋体" w:cs="宋体"/>
          <w:bCs/>
          <w:sz w:val="24"/>
          <w:szCs w:val="21"/>
        </w:rPr>
        <w:t>东方阿尔法聚利63个月封闭式债券型证券投资基金基金</w:t>
      </w:r>
      <w:r>
        <w:rPr>
          <w:rFonts w:hint="eastAsia" w:ascii="宋体" w:hAnsi="宋体" w:cs="宋体"/>
          <w:bCs/>
          <w:sz w:val="24"/>
        </w:rPr>
        <w:t>份额发售公告》</w:t>
      </w:r>
    </w:p>
    <w:p>
      <w:pPr>
        <w:spacing w:line="360" w:lineRule="auto"/>
        <w:ind w:firstLine="480" w:firstLineChars="200"/>
        <w:rPr>
          <w:rFonts w:ascii="宋体" w:hAnsi="宋体" w:cs="宋体"/>
          <w:bCs/>
          <w:sz w:val="24"/>
        </w:rPr>
      </w:pPr>
      <w:r>
        <w:rPr>
          <w:rFonts w:hint="eastAsia" w:ascii="宋体" w:hAnsi="宋体" w:cs="宋体"/>
          <w:bCs/>
          <w:sz w:val="24"/>
        </w:rPr>
        <w:t>8、基金产品资料概要：指《</w:t>
      </w:r>
      <w:r>
        <w:rPr>
          <w:rFonts w:hint="eastAsia" w:ascii="宋体" w:hAnsi="宋体" w:cs="宋体"/>
          <w:bCs/>
          <w:sz w:val="24"/>
          <w:szCs w:val="21"/>
        </w:rPr>
        <w:t>东方阿尔法聚利63个月封闭式债券型证券投资基金基金</w:t>
      </w:r>
      <w:r>
        <w:rPr>
          <w:rFonts w:hint="eastAsia" w:ascii="宋体" w:hAnsi="宋体" w:cs="宋体"/>
          <w:bCs/>
          <w:sz w:val="24"/>
        </w:rPr>
        <w:t>产品资料概要》及其更新</w:t>
      </w:r>
    </w:p>
    <w:p>
      <w:pPr>
        <w:spacing w:line="360" w:lineRule="auto"/>
        <w:ind w:firstLine="480" w:firstLineChars="200"/>
        <w:rPr>
          <w:rFonts w:ascii="宋体" w:hAnsi="宋体" w:cs="宋体"/>
          <w:bCs/>
          <w:sz w:val="24"/>
        </w:rPr>
      </w:pPr>
      <w:r>
        <w:rPr>
          <w:rFonts w:hint="eastAsia" w:ascii="宋体" w:hAnsi="宋体" w:cs="宋体"/>
          <w:bCs/>
          <w:sz w:val="24"/>
        </w:rPr>
        <w:t>9、法律法规：指中国现行有效并公布实施的法律、行政法规、规范性文件、司法解释、行政规章以及其他对基金合同当事人有约束力的决定、决议、通知等以及颁布机关对其不时做出的修订</w:t>
      </w:r>
    </w:p>
    <w:p>
      <w:pPr>
        <w:spacing w:line="360" w:lineRule="auto"/>
        <w:ind w:firstLine="480" w:firstLineChars="200"/>
        <w:rPr>
          <w:rFonts w:ascii="宋体" w:hAnsi="宋体" w:cs="宋体"/>
          <w:bCs/>
          <w:sz w:val="24"/>
        </w:rPr>
      </w:pPr>
      <w:r>
        <w:rPr>
          <w:rFonts w:hint="eastAsia" w:ascii="宋体" w:hAnsi="宋体" w:cs="宋体"/>
          <w:bCs/>
          <w:sz w:val="24"/>
        </w:rPr>
        <w:t>10、《基金法》：指2003年10月28日经第十届全国人民代表大会常务委员会第五次会议通过，经2004年6月1日起实施并在2012年12月28日经第十一届全国人民代表大会常务委员会第三十次会议修订，自2013年6月1日起实施，并经2015年4 月24日第十二届全国人民代表大会常务委员会第十四次会议《全国人民代表大会常务委员会关于修改&lt;中华人民共和国港口法&gt;等七部法律的决定》修正的《中华人民共和国证券投资基金法》及颁布机关对其不时做出的修订</w:t>
      </w:r>
    </w:p>
    <w:p>
      <w:pPr>
        <w:spacing w:line="360" w:lineRule="auto"/>
        <w:ind w:firstLine="480" w:firstLineChars="200"/>
        <w:rPr>
          <w:rFonts w:ascii="宋体" w:hAnsi="宋体" w:cs="宋体"/>
          <w:bCs/>
          <w:sz w:val="24"/>
        </w:rPr>
      </w:pPr>
      <w:r>
        <w:rPr>
          <w:rFonts w:hint="eastAsia" w:ascii="宋体" w:hAnsi="宋体" w:cs="宋体"/>
          <w:bCs/>
          <w:sz w:val="24"/>
        </w:rPr>
        <w:t>11、《销售办法》：指中国证监会2020年8月28日颁布、同年10月1日实施的《公开募集证券投资基金销售机构监督管理办法》及颁布机关对其不时做出的修订</w:t>
      </w:r>
    </w:p>
    <w:p>
      <w:pPr>
        <w:spacing w:line="360" w:lineRule="auto"/>
        <w:ind w:firstLine="480" w:firstLineChars="200"/>
        <w:rPr>
          <w:rFonts w:ascii="宋体" w:hAnsi="宋体" w:cs="宋体"/>
          <w:bCs/>
          <w:sz w:val="24"/>
        </w:rPr>
      </w:pPr>
      <w:r>
        <w:rPr>
          <w:rFonts w:hint="eastAsia" w:ascii="宋体" w:hAnsi="宋体" w:cs="宋体"/>
          <w:bCs/>
          <w:sz w:val="24"/>
        </w:rPr>
        <w:t>12、《信息披露办法》：指中国证监会2019年7月26日颁布、同年9月1日实施的，并经2020年3月20日中国证监会《关于修改部分证券期货规章的决定》修正的《公开募集证券投资基金信息披露管理办法》及颁布机关对其不时做出的修订</w:t>
      </w:r>
    </w:p>
    <w:p>
      <w:pPr>
        <w:spacing w:line="360" w:lineRule="auto"/>
        <w:ind w:firstLine="480" w:firstLineChars="200"/>
        <w:rPr>
          <w:rFonts w:ascii="宋体" w:hAnsi="宋体" w:cs="宋体"/>
          <w:bCs/>
          <w:sz w:val="24"/>
        </w:rPr>
      </w:pPr>
      <w:r>
        <w:rPr>
          <w:rFonts w:hint="eastAsia" w:ascii="宋体" w:hAnsi="宋体" w:cs="宋体"/>
          <w:bCs/>
          <w:sz w:val="24"/>
        </w:rPr>
        <w:t>13、《运作办法》：指中国证监会2014年7月7日颁布、同年8月8日实施的《公开募集证券投资基金运作管理办法》及颁布机关对其不时做出的修订</w:t>
      </w:r>
    </w:p>
    <w:p>
      <w:pPr>
        <w:spacing w:line="360" w:lineRule="auto"/>
        <w:ind w:firstLine="480" w:firstLineChars="200"/>
        <w:rPr>
          <w:rFonts w:ascii="宋体" w:hAnsi="宋体" w:cs="宋体"/>
          <w:bCs/>
          <w:sz w:val="24"/>
        </w:rPr>
      </w:pPr>
      <w:r>
        <w:rPr>
          <w:rFonts w:hint="eastAsia" w:ascii="宋体" w:hAnsi="宋体" w:cs="宋体"/>
          <w:bCs/>
          <w:sz w:val="24"/>
        </w:rPr>
        <w:t>14、中国证监会：指中国证券监督管理委员会</w:t>
      </w:r>
    </w:p>
    <w:p>
      <w:pPr>
        <w:spacing w:line="360" w:lineRule="auto"/>
        <w:ind w:firstLine="480" w:firstLineChars="200"/>
        <w:rPr>
          <w:rFonts w:ascii="宋体" w:hAnsi="宋体" w:cs="宋体"/>
          <w:bCs/>
          <w:sz w:val="24"/>
        </w:rPr>
      </w:pPr>
      <w:r>
        <w:rPr>
          <w:rFonts w:hint="eastAsia" w:ascii="宋体" w:hAnsi="宋体" w:cs="宋体"/>
          <w:bCs/>
          <w:sz w:val="24"/>
        </w:rPr>
        <w:t>15、银行业监督管理机构：指中国人民银行和/或国家金融监督管理总局</w:t>
      </w:r>
    </w:p>
    <w:p>
      <w:pPr>
        <w:spacing w:line="360" w:lineRule="auto"/>
        <w:ind w:firstLine="480" w:firstLineChars="200"/>
        <w:rPr>
          <w:rFonts w:ascii="宋体" w:hAnsi="宋体" w:cs="宋体"/>
          <w:bCs/>
          <w:sz w:val="24"/>
        </w:rPr>
      </w:pPr>
      <w:r>
        <w:rPr>
          <w:rFonts w:hint="eastAsia" w:ascii="宋体" w:hAnsi="宋体" w:cs="宋体"/>
          <w:bCs/>
          <w:sz w:val="24"/>
        </w:rPr>
        <w:t>16、基金合同当事人：指受基金合同约束，根据基金合同享有权利并承担义务的法律主体，包括基金管理人、基金托管人和基金份额持有人</w:t>
      </w:r>
    </w:p>
    <w:p>
      <w:pPr>
        <w:spacing w:line="360" w:lineRule="auto"/>
        <w:ind w:firstLine="480" w:firstLineChars="200"/>
        <w:rPr>
          <w:rFonts w:ascii="宋体" w:hAnsi="宋体" w:cs="宋体"/>
          <w:bCs/>
          <w:sz w:val="24"/>
        </w:rPr>
      </w:pPr>
      <w:r>
        <w:rPr>
          <w:rFonts w:hint="eastAsia" w:ascii="宋体" w:hAnsi="宋体" w:cs="宋体"/>
          <w:bCs/>
          <w:sz w:val="24"/>
        </w:rPr>
        <w:t>17、个人投资者：指依据有关法律法规规定可投资于证券投资基金的自然人</w:t>
      </w:r>
    </w:p>
    <w:p>
      <w:pPr>
        <w:spacing w:line="360" w:lineRule="auto"/>
        <w:ind w:firstLine="480" w:firstLineChars="200"/>
        <w:rPr>
          <w:rFonts w:ascii="宋体" w:hAnsi="宋体" w:cs="宋体"/>
          <w:bCs/>
          <w:sz w:val="24"/>
        </w:rPr>
      </w:pPr>
      <w:r>
        <w:rPr>
          <w:rFonts w:hint="eastAsia" w:ascii="宋体" w:hAnsi="宋体" w:cs="宋体"/>
          <w:bCs/>
          <w:sz w:val="24"/>
        </w:rPr>
        <w:t>18、机构投资者：指依法可以投资证券投资基金的、在中华人民共和国境内合法登记并存续或经有关政府部门批准设立并存续的企业法人、事业法人、社会团体或其他组织</w:t>
      </w:r>
    </w:p>
    <w:p>
      <w:pPr>
        <w:spacing w:line="360" w:lineRule="auto"/>
        <w:ind w:firstLine="480" w:firstLineChars="200"/>
        <w:rPr>
          <w:rFonts w:ascii="宋体" w:hAnsi="宋体" w:cs="宋体"/>
          <w:bCs/>
          <w:sz w:val="24"/>
        </w:rPr>
      </w:pPr>
      <w:r>
        <w:rPr>
          <w:rFonts w:hint="eastAsia" w:ascii="宋体" w:hAnsi="宋体" w:cs="宋体"/>
          <w:bCs/>
          <w:sz w:val="24"/>
        </w:rPr>
        <w:t>19、合格境外投资者：指符合《合格境外机构投资者和人民币合格境外机构投资者境内证券期货投资管理办法》及相关法律法规规定使用来自境外的资金进行境内证券期货投资的境外机构投资者，包括合格境外机构投资者和人民币合格境外机构投资者</w:t>
      </w:r>
    </w:p>
    <w:p>
      <w:pPr>
        <w:spacing w:line="360" w:lineRule="auto"/>
        <w:ind w:firstLine="480" w:firstLineChars="200"/>
        <w:rPr>
          <w:rFonts w:ascii="宋体" w:hAnsi="宋体" w:cs="宋体"/>
          <w:bCs/>
          <w:sz w:val="24"/>
        </w:rPr>
      </w:pPr>
      <w:r>
        <w:rPr>
          <w:rFonts w:hint="eastAsia" w:ascii="宋体" w:hAnsi="宋体" w:cs="宋体"/>
          <w:bCs/>
          <w:sz w:val="24"/>
        </w:rPr>
        <w:t>20、投资人、投资者：指个人投资者、机构投资者、合格境外投资者以及法律法规或中国证监会允许购买证券投资基金的其他投资人的合称</w:t>
      </w:r>
    </w:p>
    <w:p>
      <w:pPr>
        <w:spacing w:line="360" w:lineRule="auto"/>
        <w:ind w:firstLine="480" w:firstLineChars="200"/>
        <w:rPr>
          <w:rFonts w:ascii="宋体" w:hAnsi="宋体" w:cs="宋体"/>
          <w:bCs/>
          <w:sz w:val="24"/>
        </w:rPr>
      </w:pPr>
      <w:r>
        <w:rPr>
          <w:rFonts w:hint="eastAsia" w:ascii="宋体" w:hAnsi="宋体" w:cs="宋体"/>
          <w:bCs/>
          <w:sz w:val="24"/>
        </w:rPr>
        <w:t>21、基金份额持有人：指依基金合同和招募说明书合法取得基金份额的投资人</w:t>
      </w:r>
    </w:p>
    <w:p>
      <w:pPr>
        <w:spacing w:line="360" w:lineRule="auto"/>
        <w:ind w:firstLine="480" w:firstLineChars="200"/>
        <w:rPr>
          <w:rFonts w:ascii="宋体" w:hAnsi="宋体" w:cs="宋体"/>
          <w:bCs/>
          <w:sz w:val="24"/>
        </w:rPr>
      </w:pPr>
      <w:r>
        <w:rPr>
          <w:rFonts w:hint="eastAsia" w:ascii="宋体" w:hAnsi="宋体" w:cs="宋体"/>
          <w:bCs/>
          <w:sz w:val="24"/>
        </w:rPr>
        <w:t>22、基金销售业务：指为投资者开立基金交易账户，宣传推介基金，办理基金份额发售、转托管及定期定额投资及提供基金交易账户信息查询等活动</w:t>
      </w:r>
    </w:p>
    <w:p>
      <w:pPr>
        <w:spacing w:line="360" w:lineRule="auto"/>
        <w:ind w:firstLine="480" w:firstLineChars="200"/>
        <w:rPr>
          <w:rFonts w:ascii="宋体" w:hAnsi="宋体" w:cs="宋体"/>
          <w:bCs/>
          <w:sz w:val="24"/>
        </w:rPr>
      </w:pPr>
      <w:r>
        <w:rPr>
          <w:rFonts w:hint="eastAsia" w:ascii="宋体" w:hAnsi="宋体" w:cs="宋体"/>
          <w:bCs/>
          <w:sz w:val="24"/>
        </w:rPr>
        <w:t>23、销售机构：包括直销机构和代销机构。直销机构，指东方阿尔法基金管理有限公司，即基金管理人；代销机构，指符合《销售办法》和中国证监会规定的其他条件，取得基金销售业务资格并与基金管理人签订了基金销售服务协议，办理基金销售业务的机构</w:t>
      </w:r>
    </w:p>
    <w:p>
      <w:pPr>
        <w:spacing w:line="360" w:lineRule="auto"/>
        <w:ind w:firstLine="480" w:firstLineChars="200"/>
        <w:rPr>
          <w:rFonts w:ascii="宋体" w:hAnsi="宋体" w:cs="宋体"/>
          <w:bCs/>
          <w:sz w:val="24"/>
        </w:rPr>
      </w:pPr>
      <w:r>
        <w:rPr>
          <w:rFonts w:hint="eastAsia" w:ascii="宋体" w:hAnsi="宋体" w:cs="宋体"/>
          <w:bCs/>
          <w:sz w:val="24"/>
        </w:rPr>
        <w:t>24、登记业务：指基金登记、存管、过户、清算和结算业务，具体内容包括投资人基金账户的建立和管理、基金份额登记、基金销售业务的确认、清算和结算、代理发放红利、建立并保管基金份额持有人名册和办理非交易过户等</w:t>
      </w:r>
    </w:p>
    <w:p>
      <w:pPr>
        <w:spacing w:line="360" w:lineRule="auto"/>
        <w:ind w:firstLine="480" w:firstLineChars="200"/>
        <w:rPr>
          <w:rFonts w:ascii="宋体" w:hAnsi="宋体" w:cs="宋体"/>
          <w:bCs/>
          <w:sz w:val="24"/>
        </w:rPr>
      </w:pPr>
      <w:r>
        <w:rPr>
          <w:rFonts w:hint="eastAsia" w:ascii="宋体" w:hAnsi="宋体" w:cs="宋体"/>
          <w:bCs/>
          <w:sz w:val="24"/>
        </w:rPr>
        <w:t>25、登记机构：指办理登记业务的机构。基金的登记机构为东方阿尔法</w:t>
      </w:r>
      <w:r>
        <w:rPr>
          <w:rFonts w:hint="eastAsia" w:ascii="宋体" w:hAnsi="宋体" w:cs="宋体"/>
          <w:sz w:val="24"/>
        </w:rPr>
        <w:t>基金</w:t>
      </w:r>
      <w:r>
        <w:rPr>
          <w:rFonts w:hint="eastAsia" w:ascii="宋体" w:hAnsi="宋体" w:cs="宋体"/>
          <w:bCs/>
          <w:sz w:val="24"/>
        </w:rPr>
        <w:t>管理有限公司或接受东方阿尔法</w:t>
      </w:r>
      <w:r>
        <w:rPr>
          <w:rFonts w:hint="eastAsia" w:ascii="宋体" w:hAnsi="宋体" w:cs="宋体"/>
          <w:sz w:val="24"/>
        </w:rPr>
        <w:t>基金</w:t>
      </w:r>
      <w:r>
        <w:rPr>
          <w:rFonts w:hint="eastAsia" w:ascii="宋体" w:hAnsi="宋体" w:cs="宋体"/>
          <w:bCs/>
          <w:sz w:val="24"/>
        </w:rPr>
        <w:t>管理有限公司委托代为办理登记业务的机构</w:t>
      </w:r>
    </w:p>
    <w:p>
      <w:pPr>
        <w:spacing w:line="360" w:lineRule="auto"/>
        <w:ind w:firstLine="480" w:firstLineChars="200"/>
        <w:rPr>
          <w:rFonts w:ascii="宋体" w:hAnsi="宋体" w:cs="宋体"/>
          <w:bCs/>
          <w:sz w:val="24"/>
        </w:rPr>
      </w:pPr>
      <w:r>
        <w:rPr>
          <w:rFonts w:hint="eastAsia" w:ascii="宋体" w:hAnsi="宋体" w:cs="宋体"/>
          <w:bCs/>
          <w:sz w:val="24"/>
        </w:rPr>
        <w:t>26、基金账户：指登记机构为投资人开立的、记录其持有的、基金管理人所管理的基金份额余额及其变动情况的账户</w:t>
      </w:r>
    </w:p>
    <w:p>
      <w:pPr>
        <w:spacing w:line="360" w:lineRule="auto"/>
        <w:ind w:firstLine="480" w:firstLineChars="200"/>
        <w:rPr>
          <w:rFonts w:ascii="宋体" w:hAnsi="宋体" w:cs="宋体"/>
          <w:bCs/>
          <w:sz w:val="24"/>
        </w:rPr>
      </w:pPr>
      <w:r>
        <w:rPr>
          <w:rFonts w:hint="eastAsia" w:ascii="宋体" w:hAnsi="宋体" w:cs="宋体"/>
          <w:bCs/>
          <w:sz w:val="24"/>
        </w:rPr>
        <w:t>27、基金交易账户：指销售机构为投资人开立的、记录投资人通过该销售机构办理认购、转托管等业务而引起的基金份额变动及结余情况的账户</w:t>
      </w:r>
    </w:p>
    <w:p>
      <w:pPr>
        <w:spacing w:line="360" w:lineRule="auto"/>
        <w:ind w:firstLine="480" w:firstLineChars="200"/>
        <w:rPr>
          <w:rFonts w:ascii="宋体" w:hAnsi="宋体" w:cs="宋体"/>
          <w:bCs/>
          <w:sz w:val="24"/>
        </w:rPr>
      </w:pPr>
      <w:r>
        <w:rPr>
          <w:rFonts w:hint="eastAsia" w:ascii="宋体" w:hAnsi="宋体" w:cs="宋体"/>
          <w:bCs/>
          <w:sz w:val="24"/>
        </w:rPr>
        <w:t>28、基金合同生效日：指基金募集达到法律法规规定及基金合同规定的条件，基金管理人向中国证监会办理基金备案手续完毕，并获得中国证监会书面确认的日期</w:t>
      </w:r>
    </w:p>
    <w:p>
      <w:pPr>
        <w:spacing w:line="360" w:lineRule="auto"/>
        <w:ind w:firstLine="480" w:firstLineChars="200"/>
        <w:rPr>
          <w:rFonts w:ascii="宋体" w:hAnsi="宋体" w:cs="宋体"/>
          <w:bCs/>
          <w:sz w:val="24"/>
        </w:rPr>
      </w:pPr>
      <w:r>
        <w:rPr>
          <w:rFonts w:hint="eastAsia" w:ascii="宋体" w:hAnsi="宋体" w:cs="宋体"/>
          <w:bCs/>
          <w:sz w:val="24"/>
        </w:rPr>
        <w:t>29、基金合同终止日：指基金合同规定的基金合同终止事由出现后，基金财产清算完毕，清算结果报中国证监会备案并予以公告的日期</w:t>
      </w:r>
    </w:p>
    <w:p>
      <w:pPr>
        <w:spacing w:line="360" w:lineRule="auto"/>
        <w:ind w:firstLine="480" w:firstLineChars="200"/>
        <w:rPr>
          <w:rFonts w:ascii="宋体" w:hAnsi="宋体" w:cs="宋体"/>
          <w:bCs/>
          <w:sz w:val="24"/>
        </w:rPr>
      </w:pPr>
      <w:r>
        <w:rPr>
          <w:rFonts w:hint="eastAsia" w:ascii="宋体" w:hAnsi="宋体" w:cs="宋体"/>
          <w:bCs/>
          <w:sz w:val="24"/>
        </w:rPr>
        <w:t>30、基金募集期：指自基金份额发售之日起至发售结束之日止的期间，最长不得超过3个月</w:t>
      </w:r>
    </w:p>
    <w:p>
      <w:pPr>
        <w:spacing w:line="360" w:lineRule="auto"/>
        <w:ind w:firstLine="480" w:firstLineChars="200"/>
        <w:rPr>
          <w:rFonts w:ascii="宋体" w:hAnsi="宋体" w:cs="宋体"/>
          <w:bCs/>
          <w:sz w:val="24"/>
        </w:rPr>
      </w:pPr>
      <w:r>
        <w:rPr>
          <w:rFonts w:hint="eastAsia" w:ascii="宋体" w:hAnsi="宋体" w:cs="宋体"/>
          <w:bCs/>
          <w:sz w:val="24"/>
        </w:rPr>
        <w:t>31、月度对日：指某一特定日期在后续日历月度中的对应日期，若日历月度中不存在对应日期的，则月度对日为该日历月度的最后一日</w:t>
      </w:r>
    </w:p>
    <w:p>
      <w:pPr>
        <w:spacing w:line="360" w:lineRule="auto"/>
        <w:ind w:firstLine="480" w:firstLineChars="200"/>
        <w:rPr>
          <w:rFonts w:ascii="宋体" w:hAnsi="宋体" w:cs="宋体"/>
          <w:bCs/>
          <w:sz w:val="24"/>
        </w:rPr>
      </w:pPr>
      <w:r>
        <w:rPr>
          <w:rFonts w:hint="eastAsia" w:ascii="宋体" w:hAnsi="宋体" w:cs="宋体"/>
          <w:bCs/>
          <w:sz w:val="24"/>
        </w:rPr>
        <w:t>32、封闭期：本基金的封闭期为63个月，即自基金合同生效之日起至63个日历月后月度对日的前一日（若该日为非工作日，顺延至下一工作日）。本基金在封闭期内不办理申购、赎回</w:t>
      </w:r>
    </w:p>
    <w:p>
      <w:pPr>
        <w:spacing w:line="360" w:lineRule="auto"/>
        <w:ind w:firstLine="480" w:firstLineChars="200"/>
        <w:rPr>
          <w:rFonts w:ascii="宋体" w:hAnsi="宋体" w:cs="宋体"/>
          <w:bCs/>
          <w:sz w:val="24"/>
        </w:rPr>
      </w:pPr>
      <w:r>
        <w:rPr>
          <w:rFonts w:hint="eastAsia" w:ascii="宋体" w:hAnsi="宋体" w:cs="宋体"/>
          <w:bCs/>
          <w:sz w:val="24"/>
        </w:rPr>
        <w:t>33</w:t>
      </w:r>
      <w:r>
        <w:rPr>
          <w:rFonts w:ascii="宋体" w:hAnsi="宋体" w:cs="宋体"/>
          <w:bCs/>
          <w:sz w:val="24"/>
        </w:rPr>
        <w:t>、封闭期到期日：本基金封闭期结束后的下一个工作日</w:t>
      </w:r>
    </w:p>
    <w:p>
      <w:pPr>
        <w:spacing w:line="360" w:lineRule="auto"/>
        <w:ind w:firstLine="480" w:firstLineChars="200"/>
        <w:rPr>
          <w:rFonts w:ascii="宋体" w:hAnsi="宋体" w:cs="宋体"/>
          <w:bCs/>
          <w:sz w:val="24"/>
        </w:rPr>
      </w:pPr>
      <w:r>
        <w:rPr>
          <w:rFonts w:hint="eastAsia" w:ascii="宋体" w:hAnsi="宋体" w:cs="宋体"/>
          <w:bCs/>
          <w:sz w:val="24"/>
        </w:rPr>
        <w:t>34、</w:t>
      </w:r>
      <w:bookmarkStart w:id="77" w:name="OLE_LINK202"/>
      <w:bookmarkStart w:id="78" w:name="OLE_LINK201"/>
      <w:r>
        <w:rPr>
          <w:rFonts w:hint="eastAsia" w:ascii="宋体" w:hAnsi="宋体" w:cs="宋体"/>
          <w:bCs/>
          <w:sz w:val="24"/>
        </w:rPr>
        <w:t>工作日：</w:t>
      </w:r>
      <w:bookmarkEnd w:id="77"/>
      <w:bookmarkEnd w:id="78"/>
      <w:r>
        <w:rPr>
          <w:rFonts w:hint="eastAsia" w:ascii="宋体" w:hAnsi="宋体" w:cs="宋体"/>
          <w:sz w:val="24"/>
        </w:rPr>
        <w:t>指上海证券交易所、深圳证券交易所的正常交易日</w:t>
      </w:r>
    </w:p>
    <w:p>
      <w:pPr>
        <w:spacing w:line="360" w:lineRule="auto"/>
        <w:ind w:firstLine="480" w:firstLineChars="200"/>
        <w:rPr>
          <w:rFonts w:ascii="宋体" w:hAnsi="宋体" w:cs="宋体"/>
          <w:bCs/>
          <w:sz w:val="24"/>
        </w:rPr>
      </w:pPr>
      <w:r>
        <w:rPr>
          <w:rFonts w:hint="eastAsia" w:ascii="宋体" w:hAnsi="宋体" w:cs="宋体"/>
          <w:bCs/>
          <w:sz w:val="24"/>
        </w:rPr>
        <w:t>35、认购：指在基金募集期内，投资人根据基金合同和招募说明书的规定申请购买基金份额的行为</w:t>
      </w:r>
    </w:p>
    <w:p>
      <w:pPr>
        <w:spacing w:line="360" w:lineRule="auto"/>
        <w:ind w:firstLine="480" w:firstLineChars="200"/>
        <w:rPr>
          <w:rFonts w:ascii="宋体" w:hAnsi="宋体" w:cs="宋体"/>
          <w:bCs/>
          <w:sz w:val="24"/>
        </w:rPr>
      </w:pPr>
      <w:r>
        <w:rPr>
          <w:rFonts w:hint="eastAsia" w:ascii="宋体" w:hAnsi="宋体" w:cs="宋体"/>
          <w:bCs/>
          <w:sz w:val="24"/>
        </w:rPr>
        <w:t>36、转托管：指基金份额持有人在本基金的不同销售机构之间实施的变更所持基金份额销售机构的操作</w:t>
      </w:r>
    </w:p>
    <w:p>
      <w:pPr>
        <w:spacing w:line="360" w:lineRule="auto"/>
        <w:ind w:firstLine="480" w:firstLineChars="200"/>
        <w:rPr>
          <w:rFonts w:ascii="宋体" w:hAnsi="宋体" w:cs="宋体"/>
          <w:bCs/>
          <w:sz w:val="24"/>
        </w:rPr>
      </w:pPr>
      <w:r>
        <w:rPr>
          <w:rFonts w:hint="eastAsia" w:ascii="宋体" w:hAnsi="宋体" w:cs="宋体"/>
          <w:bCs/>
          <w:sz w:val="24"/>
        </w:rPr>
        <w:t>37、元：指人民币元</w:t>
      </w:r>
    </w:p>
    <w:p>
      <w:pPr>
        <w:spacing w:line="360" w:lineRule="auto"/>
        <w:ind w:firstLine="480" w:firstLineChars="200"/>
        <w:rPr>
          <w:rFonts w:ascii="宋体" w:hAnsi="宋体" w:cs="宋体"/>
          <w:bCs/>
          <w:sz w:val="24"/>
        </w:rPr>
      </w:pPr>
      <w:r>
        <w:rPr>
          <w:rFonts w:hint="eastAsia" w:ascii="宋体" w:hAnsi="宋体" w:cs="宋体"/>
          <w:bCs/>
          <w:sz w:val="24"/>
        </w:rPr>
        <w:t>38、基金收益：指基金投资所得债券利息、买卖证券价差、银行存款利息、已实现的其他合法收入及因运用基金财产带来的成本和费用的节约</w:t>
      </w:r>
    </w:p>
    <w:p>
      <w:pPr>
        <w:spacing w:line="360" w:lineRule="auto"/>
        <w:ind w:firstLine="480" w:firstLineChars="200"/>
        <w:rPr>
          <w:rFonts w:ascii="宋体" w:hAnsi="宋体" w:cs="宋体"/>
          <w:bCs/>
          <w:sz w:val="24"/>
        </w:rPr>
      </w:pPr>
      <w:r>
        <w:rPr>
          <w:rFonts w:hint="eastAsia" w:ascii="宋体" w:hAnsi="宋体" w:cs="宋体"/>
          <w:bCs/>
          <w:sz w:val="24"/>
        </w:rPr>
        <w:t>39、基金资产总值：</w:t>
      </w:r>
      <w:bookmarkStart w:id="79" w:name="OLE_LINK173"/>
      <w:bookmarkStart w:id="80" w:name="OLE_LINK172"/>
      <w:r>
        <w:rPr>
          <w:rFonts w:hint="eastAsia" w:ascii="宋体" w:hAnsi="宋体" w:cs="宋体"/>
          <w:bCs/>
          <w:sz w:val="24"/>
        </w:rPr>
        <w:t>指基金拥有的各类有价证券、银行存款本息、基金应收款项及其他资产的价值总和</w:t>
      </w:r>
      <w:bookmarkEnd w:id="79"/>
      <w:bookmarkEnd w:id="80"/>
    </w:p>
    <w:p>
      <w:pPr>
        <w:spacing w:line="360" w:lineRule="auto"/>
        <w:ind w:firstLine="480" w:firstLineChars="200"/>
        <w:rPr>
          <w:rFonts w:ascii="宋体" w:hAnsi="宋体" w:cs="宋体"/>
          <w:bCs/>
          <w:sz w:val="24"/>
        </w:rPr>
      </w:pPr>
      <w:r>
        <w:rPr>
          <w:rFonts w:hint="eastAsia" w:ascii="宋体" w:hAnsi="宋体" w:cs="宋体"/>
          <w:bCs/>
          <w:sz w:val="24"/>
        </w:rPr>
        <w:t>40、基金资产净值：指基金资产总值减去基金负债后的价值</w:t>
      </w:r>
    </w:p>
    <w:p>
      <w:pPr>
        <w:spacing w:line="360" w:lineRule="auto"/>
        <w:ind w:firstLine="480" w:firstLineChars="200"/>
        <w:rPr>
          <w:rFonts w:ascii="宋体" w:hAnsi="宋体" w:cs="宋体"/>
          <w:bCs/>
          <w:sz w:val="24"/>
        </w:rPr>
      </w:pPr>
      <w:r>
        <w:rPr>
          <w:rFonts w:hint="eastAsia" w:ascii="宋体" w:hAnsi="宋体" w:cs="宋体"/>
          <w:bCs/>
          <w:sz w:val="24"/>
        </w:rPr>
        <w:t>41、基金份额净值：指计算日基金资产净值除以计算日基金份额总数</w:t>
      </w:r>
    </w:p>
    <w:p>
      <w:pPr>
        <w:spacing w:line="360" w:lineRule="auto"/>
        <w:ind w:firstLine="480" w:firstLineChars="200"/>
        <w:rPr>
          <w:rFonts w:ascii="宋体" w:hAnsi="宋体" w:cs="宋体"/>
          <w:bCs/>
          <w:sz w:val="24"/>
        </w:rPr>
      </w:pPr>
      <w:r>
        <w:rPr>
          <w:rFonts w:hint="eastAsia" w:ascii="宋体" w:hAnsi="宋体" w:cs="宋体"/>
          <w:bCs/>
          <w:sz w:val="24"/>
        </w:rPr>
        <w:t>42、基金资产估值：指计算评估基金资产和负债的价值，以确定基金资产净值和基金份额净值的过程</w:t>
      </w:r>
    </w:p>
    <w:p>
      <w:pPr>
        <w:spacing w:line="360" w:lineRule="auto"/>
        <w:ind w:firstLine="480" w:firstLineChars="200"/>
        <w:rPr>
          <w:rFonts w:ascii="宋体" w:hAnsi="宋体" w:cs="宋体"/>
          <w:bCs/>
          <w:sz w:val="24"/>
        </w:rPr>
      </w:pPr>
      <w:r>
        <w:rPr>
          <w:rFonts w:hint="eastAsia" w:ascii="宋体" w:hAnsi="宋体" w:cs="宋体"/>
          <w:bCs/>
          <w:sz w:val="24"/>
        </w:rPr>
        <w:t>43、规定媒介：指符合中国证监会规定条件的用以进行信息披露的全国性报刊及《信息披露办法》规定的互联网网站（包括基金管理人网站、基金托管人网站、中国证监会基金电子披露网站）等媒介</w:t>
      </w:r>
    </w:p>
    <w:p>
      <w:pPr>
        <w:spacing w:line="360" w:lineRule="auto"/>
        <w:ind w:firstLine="468" w:firstLineChars="200"/>
        <w:rPr>
          <w:rFonts w:ascii="宋体" w:hAnsi="宋体" w:cs="宋体"/>
          <w:bCs/>
          <w:sz w:val="24"/>
        </w:rPr>
      </w:pPr>
      <w:r>
        <w:rPr>
          <w:rFonts w:hint="eastAsia" w:ascii="宋体" w:hAnsi="宋体" w:cs="宋体"/>
          <w:spacing w:val="-3"/>
          <w:sz w:val="24"/>
          <w:szCs w:val="24"/>
        </w:rPr>
        <w:t>44</w:t>
      </w:r>
      <w:r>
        <w:rPr>
          <w:rFonts w:ascii="宋体" w:hAnsi="宋体" w:cs="宋体"/>
          <w:spacing w:val="-3"/>
          <w:sz w:val="24"/>
          <w:szCs w:val="24"/>
        </w:rPr>
        <w:t>、摊余成本法：指计价对象以买入成本列示，按照票面利率或协议利率并考虑其买入时的溢价与折价，在剩余存续期内按实际利率法进行摊销，确认利息</w:t>
      </w:r>
      <w:r>
        <w:rPr>
          <w:rFonts w:ascii="宋体" w:hAnsi="宋体" w:cs="宋体"/>
          <w:spacing w:val="-1"/>
          <w:sz w:val="24"/>
          <w:szCs w:val="24"/>
        </w:rPr>
        <w:t>收入并评估减值准备</w:t>
      </w:r>
    </w:p>
    <w:p>
      <w:pPr>
        <w:spacing w:line="360" w:lineRule="auto"/>
        <w:ind w:firstLine="480" w:firstLineChars="200"/>
        <w:rPr>
          <w:rFonts w:ascii="宋体" w:hAnsi="宋体" w:cs="宋体"/>
          <w:bCs/>
          <w:sz w:val="24"/>
        </w:rPr>
      </w:pPr>
      <w:r>
        <w:rPr>
          <w:rFonts w:hint="eastAsia" w:ascii="宋体" w:hAnsi="宋体" w:cs="宋体"/>
          <w:bCs/>
          <w:sz w:val="24"/>
        </w:rPr>
        <w:t>45、不可抗力：指本基金合同当事人不能预见、不能避免且不能克服的客观事件</w:t>
      </w:r>
    </w:p>
    <w:p>
      <w:pPr>
        <w:pStyle w:val="2"/>
        <w:spacing w:before="0" w:after="0"/>
        <w:jc w:val="center"/>
        <w:rPr>
          <w:rFonts w:hAnsi="宋体" w:cs="宋体"/>
          <w:color w:val="auto"/>
          <w:sz w:val="30"/>
        </w:rPr>
      </w:pPr>
      <w:r>
        <w:rPr>
          <w:rFonts w:hint="eastAsia" w:hAnsi="宋体" w:cs="宋体"/>
          <w:b w:val="0"/>
          <w:bCs/>
          <w:color w:val="auto"/>
        </w:rPr>
        <w:br w:type="page"/>
      </w:r>
      <w:bookmarkEnd w:id="70"/>
      <w:bookmarkEnd w:id="71"/>
      <w:bookmarkStart w:id="81" w:name="_Toc5246"/>
      <w:bookmarkStart w:id="82" w:name="_Toc13288"/>
      <w:bookmarkStart w:id="83" w:name="_Toc24571"/>
      <w:bookmarkStart w:id="84" w:name="_Toc6149"/>
      <w:bookmarkStart w:id="85" w:name="_Toc20318"/>
      <w:bookmarkStart w:id="86" w:name="_Toc15222"/>
      <w:bookmarkStart w:id="87" w:name="_Toc18631"/>
      <w:bookmarkStart w:id="88" w:name="_Toc545"/>
      <w:bookmarkStart w:id="89" w:name="_Toc733"/>
      <w:bookmarkStart w:id="90" w:name="_Toc20627"/>
      <w:bookmarkStart w:id="91" w:name="_Toc6683"/>
      <w:bookmarkStart w:id="92" w:name="_Toc22708"/>
      <w:bookmarkStart w:id="93" w:name="_Toc233456272"/>
      <w:bookmarkStart w:id="94" w:name="_Toc258829400"/>
      <w:r>
        <w:rPr>
          <w:rFonts w:hint="eastAsia" w:hAnsi="宋体" w:cs="宋体"/>
          <w:color w:val="auto"/>
          <w:sz w:val="30"/>
        </w:rPr>
        <w:t>第三部分  基金的基本情况</w:t>
      </w:r>
      <w:bookmarkEnd w:id="81"/>
      <w:bookmarkEnd w:id="82"/>
      <w:bookmarkEnd w:id="83"/>
      <w:bookmarkEnd w:id="84"/>
      <w:bookmarkEnd w:id="85"/>
      <w:bookmarkEnd w:id="86"/>
      <w:bookmarkEnd w:id="87"/>
      <w:bookmarkEnd w:id="88"/>
      <w:bookmarkEnd w:id="89"/>
      <w:bookmarkEnd w:id="90"/>
      <w:bookmarkEnd w:id="91"/>
      <w:bookmarkEnd w:id="92"/>
      <w:bookmarkStart w:id="95" w:name="_Toc79392573"/>
    </w:p>
    <w:p>
      <w:pPr>
        <w:spacing w:line="360" w:lineRule="auto"/>
        <w:ind w:firstLine="540"/>
        <w:rPr>
          <w:rFonts w:ascii="宋体" w:hAnsi="宋体" w:cs="宋体"/>
          <w:bCs/>
          <w:sz w:val="24"/>
        </w:rPr>
      </w:pPr>
      <w:bookmarkStart w:id="96" w:name="_Hlt88031774"/>
      <w:bookmarkEnd w:id="96"/>
      <w:bookmarkStart w:id="97" w:name="_Hlt88031741"/>
    </w:p>
    <w:bookmarkEnd w:id="97"/>
    <w:p>
      <w:pPr>
        <w:spacing w:line="360" w:lineRule="auto"/>
        <w:ind w:firstLine="482" w:firstLineChars="200"/>
        <w:rPr>
          <w:rFonts w:ascii="宋体" w:hAnsi="宋体" w:cs="宋体"/>
          <w:b/>
          <w:sz w:val="24"/>
        </w:rPr>
      </w:pPr>
      <w:r>
        <w:rPr>
          <w:rFonts w:hint="eastAsia" w:ascii="宋体" w:hAnsi="宋体" w:cs="宋体"/>
          <w:b/>
          <w:sz w:val="24"/>
        </w:rPr>
        <w:t>一、基金名称</w:t>
      </w:r>
      <w:bookmarkEnd w:id="95"/>
    </w:p>
    <w:p>
      <w:pPr>
        <w:spacing w:line="360" w:lineRule="auto"/>
        <w:ind w:firstLine="480" w:firstLineChars="200"/>
        <w:rPr>
          <w:rFonts w:ascii="宋体" w:hAnsi="宋体" w:cs="宋体"/>
          <w:sz w:val="24"/>
        </w:rPr>
      </w:pPr>
      <w:r>
        <w:rPr>
          <w:rFonts w:hint="eastAsia" w:ascii="宋体" w:hAnsi="宋体" w:cs="宋体"/>
          <w:bCs/>
          <w:sz w:val="24"/>
        </w:rPr>
        <w:t>东方阿尔法聚利63个月封闭式债券型证券投资基金</w:t>
      </w:r>
    </w:p>
    <w:p>
      <w:pPr>
        <w:spacing w:line="360" w:lineRule="auto"/>
        <w:ind w:firstLine="480" w:firstLineChars="200"/>
        <w:rPr>
          <w:rFonts w:ascii="宋体" w:hAnsi="宋体" w:cs="宋体"/>
          <w:bCs/>
          <w:sz w:val="24"/>
        </w:rPr>
      </w:pPr>
    </w:p>
    <w:p>
      <w:pPr>
        <w:spacing w:line="360" w:lineRule="auto"/>
        <w:ind w:firstLine="482" w:firstLineChars="200"/>
        <w:rPr>
          <w:rFonts w:ascii="宋体" w:hAnsi="宋体" w:cs="宋体"/>
          <w:b/>
          <w:sz w:val="24"/>
        </w:rPr>
      </w:pPr>
      <w:bookmarkStart w:id="98" w:name="_Toc79392574"/>
      <w:r>
        <w:rPr>
          <w:rFonts w:hint="eastAsia" w:ascii="宋体" w:hAnsi="宋体" w:cs="宋体"/>
          <w:b/>
          <w:sz w:val="24"/>
        </w:rPr>
        <w:t>二、基金的类别</w:t>
      </w:r>
      <w:bookmarkEnd w:id="98"/>
    </w:p>
    <w:p>
      <w:pPr>
        <w:spacing w:before="181" w:line="220" w:lineRule="auto"/>
        <w:ind w:left="579"/>
        <w:rPr>
          <w:rFonts w:ascii="宋体" w:hAnsi="宋体" w:cs="宋体"/>
          <w:sz w:val="24"/>
          <w:szCs w:val="24"/>
        </w:rPr>
      </w:pPr>
      <w:r>
        <w:rPr>
          <w:rFonts w:ascii="宋体" w:hAnsi="宋体" w:cs="宋体"/>
          <w:spacing w:val="-2"/>
          <w:sz w:val="24"/>
          <w:szCs w:val="24"/>
        </w:rPr>
        <w:t>债券型证券投资基金</w:t>
      </w:r>
    </w:p>
    <w:p>
      <w:pPr>
        <w:spacing w:line="360" w:lineRule="auto"/>
        <w:ind w:left="796" w:leftChars="257" w:hanging="256"/>
        <w:rPr>
          <w:rFonts w:ascii="宋体" w:hAnsi="宋体" w:cs="宋体"/>
          <w:bCs/>
          <w:sz w:val="24"/>
        </w:rPr>
      </w:pPr>
    </w:p>
    <w:p>
      <w:pPr>
        <w:spacing w:line="360" w:lineRule="auto"/>
        <w:ind w:firstLine="482" w:firstLineChars="200"/>
        <w:rPr>
          <w:rFonts w:ascii="宋体" w:hAnsi="宋体" w:cs="宋体"/>
          <w:b/>
          <w:sz w:val="24"/>
        </w:rPr>
      </w:pPr>
      <w:bookmarkStart w:id="99" w:name="_Toc79392575"/>
      <w:r>
        <w:rPr>
          <w:rFonts w:hint="eastAsia" w:ascii="宋体" w:hAnsi="宋体" w:cs="宋体"/>
          <w:b/>
          <w:sz w:val="24"/>
        </w:rPr>
        <w:t>三、基金的运作方式</w:t>
      </w:r>
    </w:p>
    <w:p>
      <w:pPr>
        <w:spacing w:line="360" w:lineRule="auto"/>
        <w:ind w:firstLine="480" w:firstLineChars="200"/>
        <w:rPr>
          <w:rFonts w:ascii="宋体" w:hAnsi="宋体" w:cs="宋体"/>
          <w:bCs/>
          <w:sz w:val="24"/>
        </w:rPr>
      </w:pPr>
      <w:r>
        <w:rPr>
          <w:rFonts w:ascii="宋体" w:hAnsi="宋体" w:cs="宋体"/>
          <w:bCs/>
          <w:sz w:val="24"/>
        </w:rPr>
        <w:t>契约型封闭式</w:t>
      </w:r>
      <w:r>
        <w:rPr>
          <w:rFonts w:hint="eastAsia" w:ascii="宋体" w:hAnsi="宋体" w:cs="宋体"/>
          <w:bCs/>
          <w:sz w:val="24"/>
        </w:rPr>
        <w:t>。</w:t>
      </w:r>
    </w:p>
    <w:p>
      <w:pPr>
        <w:spacing w:line="360" w:lineRule="auto"/>
        <w:ind w:firstLine="480" w:firstLineChars="200"/>
        <w:rPr>
          <w:rFonts w:ascii="宋体" w:hAnsi="宋体" w:cs="宋体"/>
          <w:bCs/>
          <w:sz w:val="24"/>
        </w:rPr>
      </w:pPr>
      <w:r>
        <w:rPr>
          <w:rFonts w:hint="eastAsia" w:ascii="宋体" w:hAnsi="宋体" w:cs="宋体"/>
          <w:bCs/>
          <w:sz w:val="24"/>
        </w:rPr>
        <w:t>本基金自基金合同生效之日起进入封闭期，封闭期为本基金基金合同生效之日起至63个日历月后月度对日的前一日(若该日为非工作日，顺延至下一工作日)。</w:t>
      </w:r>
    </w:p>
    <w:p>
      <w:pPr>
        <w:spacing w:line="360" w:lineRule="auto"/>
        <w:ind w:firstLine="480" w:firstLineChars="200"/>
        <w:rPr>
          <w:rFonts w:ascii="宋体" w:hAnsi="宋体" w:cs="宋体"/>
          <w:bCs/>
          <w:sz w:val="24"/>
        </w:rPr>
      </w:pPr>
      <w:r>
        <w:rPr>
          <w:rFonts w:hint="eastAsia" w:ascii="宋体" w:hAnsi="宋体" w:cs="宋体"/>
          <w:bCs/>
          <w:sz w:val="24"/>
        </w:rPr>
        <w:t>本基金在封闭期内不办理申购与赎回业务。</w:t>
      </w:r>
    </w:p>
    <w:p>
      <w:pPr>
        <w:spacing w:line="360" w:lineRule="auto"/>
        <w:ind w:firstLine="480" w:firstLineChars="200"/>
        <w:rPr>
          <w:rFonts w:ascii="宋体" w:hAnsi="宋体" w:cs="宋体"/>
          <w:bCs/>
          <w:sz w:val="24"/>
        </w:rPr>
      </w:pPr>
      <w:r>
        <w:rPr>
          <w:rFonts w:hint="eastAsia" w:ascii="宋体" w:hAnsi="宋体" w:cs="宋体"/>
          <w:bCs/>
          <w:sz w:val="24"/>
        </w:rPr>
        <w:t>本基金将在封闭期到期日对基金份额进行自动赎回，按已变现的基金财产支付部分赎回款项，基金管理人将在T+7个工作日内(含)将已变现的基金财产对应款项按基金份额持有人持有的基金份额比例自动赎回给本基金全体基金份额持有人。自动赎回的赎回份额和赎回金额计算公式，见基金管理人届时发布的公告。</w:t>
      </w:r>
    </w:p>
    <w:p>
      <w:pPr>
        <w:spacing w:line="360" w:lineRule="auto"/>
        <w:ind w:firstLine="480" w:firstLineChars="200"/>
        <w:rPr>
          <w:rFonts w:ascii="宋体" w:hAnsi="宋体" w:cs="宋体"/>
          <w:bCs/>
          <w:sz w:val="24"/>
        </w:rPr>
      </w:pPr>
      <w:r>
        <w:rPr>
          <w:rFonts w:hint="eastAsia" w:ascii="宋体" w:hAnsi="宋体" w:cs="宋体"/>
          <w:bCs/>
          <w:sz w:val="24"/>
        </w:rPr>
        <w:t>封闭期到期日的次日，本基金基金合同自动终止并进入基金财产清算程序。进入基金财产清算程序时，若存在未变现的资产，登记机构将于该部分资产变现完成后，将对应款项按基金份额持有人持有的基金份额比例分配给本基金全体基金份额持有人，单位基金份额所分配的资产金额按照资产变现完成后的净额进行计算，单位基金份额对应的总到账款项可能与封闭期到期日基金份额净值不一致。</w:t>
      </w:r>
    </w:p>
    <w:p>
      <w:pPr>
        <w:spacing w:line="360" w:lineRule="auto"/>
        <w:ind w:firstLine="480" w:firstLineChars="200"/>
        <w:rPr>
          <w:rFonts w:ascii="宋体" w:hAnsi="宋体" w:cs="宋体"/>
          <w:sz w:val="24"/>
        </w:rPr>
      </w:pPr>
      <w:r>
        <w:rPr>
          <w:rFonts w:hint="eastAsia" w:ascii="宋体" w:hAnsi="宋体" w:cs="宋体"/>
          <w:bCs/>
          <w:sz w:val="24"/>
        </w:rPr>
        <w:t>基金管理人应在封闭期到期日的下一个工作日发布相关提示公告。若由于不可抗力的原因导致无法按时办理基金份额自动赎回的，则办理日相应顺延。</w:t>
      </w:r>
    </w:p>
    <w:p>
      <w:pPr>
        <w:spacing w:line="360" w:lineRule="auto"/>
        <w:ind w:firstLine="480" w:firstLineChars="200"/>
        <w:rPr>
          <w:rFonts w:ascii="宋体" w:hAnsi="宋体" w:cs="宋体"/>
          <w:bCs/>
          <w:sz w:val="24"/>
        </w:rPr>
      </w:pPr>
    </w:p>
    <w:p>
      <w:pPr>
        <w:spacing w:line="360" w:lineRule="auto"/>
        <w:ind w:firstLine="482" w:firstLineChars="200"/>
        <w:rPr>
          <w:rFonts w:ascii="宋体" w:hAnsi="宋体" w:cs="宋体"/>
          <w:b/>
          <w:sz w:val="24"/>
        </w:rPr>
      </w:pPr>
      <w:r>
        <w:rPr>
          <w:rFonts w:hint="eastAsia" w:ascii="宋体" w:hAnsi="宋体" w:cs="宋体"/>
          <w:b/>
          <w:sz w:val="24"/>
        </w:rPr>
        <w:t>四、基金的投资目标</w:t>
      </w:r>
      <w:bookmarkEnd w:id="99"/>
    </w:p>
    <w:p>
      <w:pPr>
        <w:spacing w:line="360" w:lineRule="auto"/>
        <w:ind w:firstLine="480"/>
        <w:rPr>
          <w:rFonts w:ascii="宋体" w:hAnsi="宋体" w:cs="宋体"/>
          <w:bCs/>
          <w:sz w:val="24"/>
        </w:rPr>
      </w:pPr>
      <w:bookmarkStart w:id="100" w:name="OLE_LINK115"/>
      <w:bookmarkStart w:id="101" w:name="OLE_LINK2"/>
      <w:r>
        <w:rPr>
          <w:rFonts w:hint="eastAsia" w:ascii="宋体" w:hAnsi="宋体" w:cs="宋体"/>
          <w:bCs/>
          <w:sz w:val="24"/>
        </w:rPr>
        <w:t>本基金在严格控制投资组合风险的前提下,追求基金资产的长期稳健增值。</w:t>
      </w:r>
      <w:bookmarkEnd w:id="100"/>
      <w:bookmarkEnd w:id="101"/>
    </w:p>
    <w:p>
      <w:pPr>
        <w:pStyle w:val="11"/>
        <w:rPr>
          <w:rFonts w:ascii="宋体" w:hAnsi="宋体" w:eastAsia="宋体" w:cs="宋体"/>
          <w:bCs/>
          <w:sz w:val="24"/>
        </w:rPr>
      </w:pPr>
    </w:p>
    <w:p>
      <w:pPr>
        <w:spacing w:line="360" w:lineRule="auto"/>
        <w:ind w:firstLine="482" w:firstLineChars="200"/>
        <w:rPr>
          <w:rFonts w:ascii="宋体" w:hAnsi="宋体" w:cs="宋体"/>
          <w:b/>
          <w:sz w:val="24"/>
        </w:rPr>
      </w:pPr>
      <w:bookmarkStart w:id="102" w:name="_Toc79392576"/>
      <w:r>
        <w:rPr>
          <w:rFonts w:hint="eastAsia" w:ascii="宋体" w:hAnsi="宋体" w:cs="宋体"/>
          <w:b/>
          <w:sz w:val="24"/>
        </w:rPr>
        <w:t>五、基金的</w:t>
      </w:r>
      <w:r>
        <w:rPr>
          <w:rFonts w:ascii="宋体" w:hAnsi="宋体" w:cs="宋体"/>
          <w:b/>
          <w:sz w:val="24"/>
        </w:rPr>
        <w:t>目标募集份额总额</w:t>
      </w:r>
      <w:bookmarkEnd w:id="102"/>
    </w:p>
    <w:p>
      <w:pPr>
        <w:spacing w:line="360" w:lineRule="auto"/>
        <w:ind w:firstLine="480" w:firstLineChars="200"/>
        <w:rPr>
          <w:rFonts w:ascii="宋体" w:hAnsi="宋体" w:cs="宋体"/>
          <w:bCs/>
          <w:sz w:val="24"/>
          <w:szCs w:val="21"/>
        </w:rPr>
      </w:pPr>
      <w:r>
        <w:rPr>
          <w:rFonts w:hint="eastAsia" w:ascii="宋体" w:hAnsi="宋体" w:cs="宋体"/>
          <w:bCs/>
          <w:sz w:val="24"/>
          <w:szCs w:val="21"/>
        </w:rPr>
        <w:t>中国证监会准予本基金首次募集的基金份额总额不低于5亿份。</w:t>
      </w:r>
    </w:p>
    <w:p>
      <w:pPr>
        <w:spacing w:line="360" w:lineRule="auto"/>
        <w:ind w:firstLine="480" w:firstLineChars="200"/>
        <w:rPr>
          <w:rFonts w:ascii="宋体" w:hAnsi="宋体" w:cs="宋体"/>
          <w:bCs/>
          <w:sz w:val="24"/>
        </w:rPr>
      </w:pPr>
    </w:p>
    <w:p>
      <w:pPr>
        <w:spacing w:line="360" w:lineRule="auto"/>
        <w:ind w:firstLine="482" w:firstLineChars="200"/>
        <w:rPr>
          <w:rFonts w:ascii="宋体" w:hAnsi="宋体" w:cs="宋体"/>
          <w:b/>
          <w:sz w:val="24"/>
        </w:rPr>
      </w:pPr>
      <w:bookmarkStart w:id="103" w:name="_Toc79392577"/>
      <w:r>
        <w:rPr>
          <w:rFonts w:hint="eastAsia" w:ascii="宋体" w:hAnsi="宋体" w:cs="宋体"/>
          <w:b/>
          <w:sz w:val="24"/>
        </w:rPr>
        <w:t>六、基金份额面值</w:t>
      </w:r>
      <w:bookmarkEnd w:id="103"/>
      <w:r>
        <w:rPr>
          <w:rFonts w:hint="eastAsia" w:ascii="宋体" w:hAnsi="宋体" w:cs="宋体"/>
          <w:b/>
          <w:sz w:val="24"/>
        </w:rPr>
        <w:t>和认购费用</w:t>
      </w:r>
    </w:p>
    <w:p>
      <w:pPr>
        <w:spacing w:line="360" w:lineRule="auto"/>
        <w:ind w:firstLine="480"/>
        <w:rPr>
          <w:rFonts w:ascii="宋体" w:hAnsi="宋体" w:cs="宋体"/>
          <w:bCs/>
          <w:sz w:val="24"/>
        </w:rPr>
      </w:pPr>
      <w:r>
        <w:rPr>
          <w:rFonts w:hint="eastAsia" w:ascii="宋体" w:hAnsi="宋体" w:cs="宋体"/>
          <w:bCs/>
          <w:sz w:val="24"/>
        </w:rPr>
        <w:t>本基金基金份额发售面值为人民币1.00元。</w:t>
      </w:r>
    </w:p>
    <w:p>
      <w:pPr>
        <w:autoSpaceDE w:val="0"/>
        <w:autoSpaceDN w:val="0"/>
        <w:adjustRightInd w:val="0"/>
        <w:spacing w:line="360" w:lineRule="auto"/>
        <w:ind w:firstLine="480" w:firstLineChars="200"/>
        <w:jc w:val="left"/>
        <w:rPr>
          <w:rFonts w:ascii="宋体" w:hAnsi="宋体" w:cs="宋体"/>
          <w:bCs/>
          <w:sz w:val="24"/>
        </w:rPr>
      </w:pPr>
      <w:r>
        <w:rPr>
          <w:rFonts w:hint="eastAsia" w:ascii="宋体" w:hAnsi="宋体" w:cs="宋体"/>
          <w:bCs/>
          <w:sz w:val="24"/>
        </w:rPr>
        <w:t>本基金认购费率按招募说明书的规定执行。</w:t>
      </w:r>
    </w:p>
    <w:p>
      <w:pPr>
        <w:autoSpaceDE w:val="0"/>
        <w:autoSpaceDN w:val="0"/>
        <w:adjustRightInd w:val="0"/>
        <w:spacing w:line="360" w:lineRule="auto"/>
        <w:ind w:firstLine="480" w:firstLineChars="200"/>
        <w:jc w:val="left"/>
        <w:rPr>
          <w:rFonts w:ascii="宋体" w:hAnsi="宋体" w:cs="宋体"/>
          <w:bCs/>
          <w:sz w:val="24"/>
        </w:rPr>
      </w:pPr>
    </w:p>
    <w:p>
      <w:pPr>
        <w:spacing w:line="360" w:lineRule="auto"/>
        <w:ind w:firstLine="482" w:firstLineChars="200"/>
        <w:rPr>
          <w:rFonts w:ascii="宋体" w:hAnsi="宋体" w:cs="宋体"/>
          <w:b/>
          <w:sz w:val="24"/>
        </w:rPr>
      </w:pPr>
      <w:bookmarkStart w:id="104" w:name="_Toc79392578"/>
      <w:r>
        <w:rPr>
          <w:rFonts w:hint="eastAsia" w:ascii="宋体" w:hAnsi="宋体" w:cs="宋体"/>
          <w:b/>
          <w:sz w:val="24"/>
        </w:rPr>
        <w:t>七、基金存续期限</w:t>
      </w:r>
      <w:bookmarkEnd w:id="104"/>
    </w:p>
    <w:p>
      <w:pPr>
        <w:widowControl/>
        <w:spacing w:line="360" w:lineRule="auto"/>
        <w:ind w:firstLine="480"/>
        <w:jc w:val="left"/>
        <w:rPr>
          <w:rFonts w:ascii="宋体" w:hAnsi="宋体" w:cs="宋体"/>
          <w:bCs/>
          <w:sz w:val="24"/>
          <w:szCs w:val="22"/>
        </w:rPr>
      </w:pPr>
      <w:r>
        <w:rPr>
          <w:rFonts w:hint="eastAsia" w:ascii="宋体" w:hAnsi="宋体" w:cs="宋体"/>
          <w:bCs/>
          <w:sz w:val="24"/>
          <w:szCs w:val="22"/>
          <w:lang w:bidi="ar"/>
        </w:rPr>
        <w:t>除基金合同另有约定外，本基金存续期限为自基金合同生效之日起至63个月后月度对日的前一日，若该日为非工作日则顺延至下一工作日。本基金存续期限届满后将终止运作并进入清算期进行资产处置，无需召开基金份额持有人大会。</w:t>
      </w:r>
    </w:p>
    <w:p>
      <w:pPr>
        <w:spacing w:line="360" w:lineRule="auto"/>
        <w:rPr>
          <w:rFonts w:ascii="宋体" w:hAnsi="宋体" w:cs="宋体"/>
          <w:bCs/>
          <w:sz w:val="24"/>
        </w:rPr>
      </w:pPr>
      <w:bookmarkStart w:id="105" w:name="OLE_LINK38"/>
      <w:bookmarkStart w:id="106" w:name="OLE_LINK37"/>
    </w:p>
    <w:p>
      <w:pPr>
        <w:jc w:val="center"/>
        <w:rPr>
          <w:rFonts w:hAnsi="宋体" w:cs="宋体"/>
          <w:bCs/>
        </w:rPr>
      </w:pPr>
    </w:p>
    <w:p>
      <w:pPr>
        <w:jc w:val="center"/>
        <w:rPr>
          <w:rFonts w:hAnsi="宋体" w:cs="宋体"/>
          <w:bCs/>
          <w:color w:val="000000"/>
          <w:sz w:val="24"/>
        </w:rPr>
      </w:pPr>
      <w:r>
        <w:rPr>
          <w:rFonts w:hAnsi="宋体" w:cs="宋体"/>
          <w:bCs/>
          <w:color w:val="000000"/>
          <w:sz w:val="24"/>
        </w:rPr>
        <w:br w:type="page"/>
      </w:r>
    </w:p>
    <w:bookmarkEnd w:id="105"/>
    <w:bookmarkEnd w:id="106"/>
    <w:p>
      <w:pPr>
        <w:pStyle w:val="2"/>
        <w:spacing w:before="0" w:after="0"/>
        <w:jc w:val="center"/>
        <w:rPr>
          <w:rFonts w:hAnsi="宋体" w:cs="宋体"/>
          <w:color w:val="auto"/>
          <w:sz w:val="30"/>
        </w:rPr>
      </w:pPr>
      <w:bookmarkStart w:id="107" w:name="_Toc15203"/>
      <w:bookmarkStart w:id="108" w:name="_Toc16265"/>
      <w:bookmarkStart w:id="109" w:name="_Toc90742390"/>
      <w:bookmarkStart w:id="110" w:name="_Toc29784"/>
      <w:bookmarkStart w:id="111" w:name="_Toc6714"/>
      <w:bookmarkStart w:id="112" w:name="_Toc27226"/>
      <w:bookmarkStart w:id="113" w:name="_Toc3266"/>
      <w:bookmarkStart w:id="114" w:name="_Toc24682"/>
      <w:bookmarkStart w:id="115" w:name="_Toc29948"/>
      <w:bookmarkStart w:id="116" w:name="_Toc27189"/>
      <w:bookmarkStart w:id="117" w:name="_Toc32194"/>
      <w:bookmarkStart w:id="118" w:name="_Toc22074"/>
      <w:bookmarkStart w:id="119" w:name="_Toc7151"/>
      <w:bookmarkStart w:id="120" w:name="_Toc90742321"/>
      <w:bookmarkStart w:id="121" w:name="_Toc90742688"/>
      <w:r>
        <w:rPr>
          <w:rFonts w:hint="eastAsia" w:hAnsi="宋体" w:cs="宋体"/>
          <w:color w:val="auto"/>
          <w:sz w:val="30"/>
        </w:rPr>
        <w:t>第四部分  基金份额的发售</w:t>
      </w:r>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p>
    <w:p>
      <w:pPr>
        <w:spacing w:line="360" w:lineRule="auto"/>
        <w:ind w:firstLine="420" w:firstLineChars="200"/>
        <w:rPr>
          <w:rFonts w:ascii="宋体" w:hAnsi="宋体" w:cs="宋体"/>
          <w:bCs/>
          <w:kern w:val="44"/>
        </w:rPr>
      </w:pPr>
    </w:p>
    <w:p>
      <w:pPr>
        <w:spacing w:line="360" w:lineRule="auto"/>
        <w:ind w:firstLine="482" w:firstLineChars="200"/>
        <w:rPr>
          <w:rFonts w:ascii="宋体" w:hAnsi="宋体" w:cs="宋体"/>
          <w:b/>
          <w:sz w:val="24"/>
        </w:rPr>
      </w:pPr>
      <w:r>
        <w:rPr>
          <w:rFonts w:hint="eastAsia" w:ascii="宋体" w:hAnsi="宋体" w:cs="宋体"/>
          <w:b/>
          <w:sz w:val="24"/>
        </w:rPr>
        <w:t>一、基金份额的发售时间、发售方式、发售对象</w:t>
      </w:r>
    </w:p>
    <w:p>
      <w:pPr>
        <w:spacing w:line="360" w:lineRule="auto"/>
        <w:ind w:firstLine="480" w:firstLineChars="200"/>
        <w:rPr>
          <w:rFonts w:ascii="宋体" w:hAnsi="宋体" w:cs="宋体"/>
          <w:bCs/>
          <w:sz w:val="24"/>
        </w:rPr>
      </w:pPr>
      <w:r>
        <w:rPr>
          <w:rFonts w:hint="eastAsia" w:ascii="宋体" w:hAnsi="宋体" w:cs="宋体"/>
          <w:bCs/>
          <w:sz w:val="24"/>
        </w:rPr>
        <w:t>1、发售时间</w:t>
      </w:r>
    </w:p>
    <w:p>
      <w:pPr>
        <w:spacing w:line="360" w:lineRule="auto"/>
        <w:ind w:firstLine="480" w:firstLineChars="200"/>
        <w:rPr>
          <w:rFonts w:ascii="宋体" w:hAnsi="宋体" w:cs="宋体"/>
          <w:bCs/>
        </w:rPr>
      </w:pPr>
      <w:r>
        <w:rPr>
          <w:rFonts w:hint="eastAsia" w:ascii="宋体" w:hAnsi="宋体" w:cs="宋体"/>
          <w:bCs/>
          <w:sz w:val="24"/>
        </w:rPr>
        <w:t>自基金份额发售之日起最长不得超过3个月，具体发售时间见基金份额发售公告。</w:t>
      </w:r>
    </w:p>
    <w:p>
      <w:pPr>
        <w:spacing w:line="360" w:lineRule="auto"/>
        <w:ind w:firstLine="480" w:firstLineChars="200"/>
        <w:rPr>
          <w:rFonts w:ascii="宋体" w:hAnsi="宋体" w:cs="宋体"/>
          <w:bCs/>
          <w:sz w:val="24"/>
        </w:rPr>
      </w:pPr>
      <w:r>
        <w:rPr>
          <w:rFonts w:hint="eastAsia" w:ascii="宋体" w:hAnsi="宋体" w:cs="宋体"/>
          <w:bCs/>
          <w:sz w:val="24"/>
        </w:rPr>
        <w:t>2、发售方式</w:t>
      </w:r>
    </w:p>
    <w:p>
      <w:pPr>
        <w:spacing w:line="360" w:lineRule="auto"/>
        <w:ind w:firstLine="480" w:firstLineChars="200"/>
        <w:rPr>
          <w:rFonts w:ascii="宋体" w:hAnsi="宋体" w:cs="宋体"/>
          <w:bCs/>
          <w:sz w:val="24"/>
        </w:rPr>
      </w:pPr>
      <w:r>
        <w:rPr>
          <w:rFonts w:hint="eastAsia" w:ascii="宋体" w:hAnsi="宋体" w:cs="宋体"/>
          <w:bCs/>
          <w:sz w:val="24"/>
        </w:rPr>
        <w:t xml:space="preserve">通过各销售机构的基金销售网点公开发售，各销售机构的具体名单见基金份额发售公告以及基金管理人网站的相关公示。 </w:t>
      </w:r>
    </w:p>
    <w:p>
      <w:pPr>
        <w:spacing w:line="360" w:lineRule="auto"/>
        <w:ind w:firstLine="480" w:firstLineChars="200"/>
        <w:rPr>
          <w:rFonts w:ascii="宋体" w:hAnsi="宋体" w:cs="宋体"/>
          <w:bCs/>
          <w:sz w:val="24"/>
        </w:rPr>
      </w:pPr>
      <w:r>
        <w:rPr>
          <w:rFonts w:hint="eastAsia" w:ascii="宋体" w:hAnsi="宋体" w:cs="宋体"/>
          <w:bCs/>
          <w:sz w:val="24"/>
        </w:rPr>
        <w:t>3、发售对象</w:t>
      </w:r>
    </w:p>
    <w:p>
      <w:pPr>
        <w:spacing w:line="360" w:lineRule="auto"/>
        <w:ind w:firstLine="480" w:firstLineChars="200"/>
        <w:rPr>
          <w:rFonts w:ascii="宋体" w:hAnsi="宋体" w:cs="宋体"/>
          <w:bCs/>
          <w:sz w:val="24"/>
        </w:rPr>
      </w:pPr>
      <w:bookmarkStart w:id="122" w:name="OLE_LINK10"/>
      <w:r>
        <w:rPr>
          <w:rFonts w:hint="eastAsia" w:ascii="宋体" w:hAnsi="宋体" w:cs="宋体"/>
          <w:bCs/>
          <w:sz w:val="24"/>
        </w:rPr>
        <w:t>符合法律法规规定的可投资于证券投资基金的个人投资者、机构投资者、合格境外投资者以及法律法规或中国证监会允许购买证券投资基金的其他投资人。</w:t>
      </w:r>
    </w:p>
    <w:bookmarkEnd w:id="122"/>
    <w:p>
      <w:pPr>
        <w:spacing w:line="360" w:lineRule="auto"/>
        <w:ind w:firstLine="480" w:firstLineChars="200"/>
        <w:rPr>
          <w:rFonts w:ascii="宋体" w:hAnsi="宋体" w:cs="宋体"/>
          <w:bCs/>
          <w:sz w:val="24"/>
        </w:rPr>
      </w:pPr>
    </w:p>
    <w:p>
      <w:pPr>
        <w:spacing w:line="360" w:lineRule="auto"/>
        <w:ind w:firstLine="482" w:firstLineChars="200"/>
        <w:rPr>
          <w:rFonts w:ascii="宋体" w:hAnsi="宋体" w:cs="宋体"/>
          <w:b/>
          <w:sz w:val="24"/>
        </w:rPr>
      </w:pPr>
      <w:r>
        <w:rPr>
          <w:rFonts w:hint="eastAsia" w:ascii="宋体" w:hAnsi="宋体" w:cs="宋体"/>
          <w:b/>
          <w:sz w:val="24"/>
        </w:rPr>
        <w:t>二、基金份额的认购</w:t>
      </w:r>
    </w:p>
    <w:p>
      <w:pPr>
        <w:spacing w:line="360" w:lineRule="auto"/>
        <w:ind w:firstLine="480" w:firstLineChars="200"/>
        <w:rPr>
          <w:rFonts w:ascii="宋体" w:hAnsi="宋体" w:cs="宋体"/>
          <w:bCs/>
          <w:sz w:val="24"/>
        </w:rPr>
      </w:pPr>
      <w:r>
        <w:rPr>
          <w:rFonts w:hint="eastAsia" w:ascii="宋体" w:hAnsi="宋体" w:cs="宋体"/>
          <w:bCs/>
          <w:sz w:val="24"/>
          <w:szCs w:val="21"/>
        </w:rPr>
        <w:t>1、认购费用</w:t>
      </w:r>
    </w:p>
    <w:p>
      <w:pPr>
        <w:spacing w:line="360" w:lineRule="auto"/>
        <w:ind w:firstLine="480" w:firstLineChars="200"/>
        <w:rPr>
          <w:rFonts w:ascii="宋体" w:hAnsi="宋体" w:cs="宋体"/>
          <w:bCs/>
          <w:sz w:val="24"/>
        </w:rPr>
      </w:pPr>
      <w:r>
        <w:rPr>
          <w:rFonts w:hint="eastAsia" w:ascii="宋体" w:hAnsi="宋体" w:cs="宋体"/>
          <w:bCs/>
          <w:sz w:val="24"/>
          <w:szCs w:val="21"/>
        </w:rPr>
        <w:t>本基金的认购费率由基金管理人决定，并在招募说明书及基金产品资料概要 中列示。基金认购费用不列入基金财产。</w:t>
      </w:r>
    </w:p>
    <w:p>
      <w:pPr>
        <w:spacing w:line="360" w:lineRule="auto"/>
        <w:ind w:firstLine="480" w:firstLineChars="200"/>
        <w:rPr>
          <w:rFonts w:ascii="宋体" w:hAnsi="宋体" w:cs="宋体"/>
          <w:bCs/>
          <w:sz w:val="24"/>
        </w:rPr>
      </w:pPr>
      <w:r>
        <w:rPr>
          <w:rFonts w:hint="eastAsia" w:ascii="宋体" w:hAnsi="宋体" w:cs="宋体"/>
          <w:bCs/>
          <w:sz w:val="24"/>
          <w:szCs w:val="21"/>
        </w:rPr>
        <w:t>2、募集期利息的处理方式</w:t>
      </w:r>
    </w:p>
    <w:p>
      <w:pPr>
        <w:spacing w:line="360" w:lineRule="auto"/>
        <w:ind w:firstLine="480" w:firstLineChars="200"/>
        <w:rPr>
          <w:rFonts w:ascii="宋体" w:hAnsi="宋体" w:cs="宋体"/>
          <w:bCs/>
          <w:sz w:val="24"/>
        </w:rPr>
      </w:pPr>
      <w:r>
        <w:rPr>
          <w:rFonts w:hint="eastAsia" w:ascii="宋体" w:hAnsi="宋体" w:cs="宋体"/>
          <w:bCs/>
          <w:sz w:val="24"/>
          <w:szCs w:val="21"/>
        </w:rPr>
        <w:t>有效认购款项在募集期间产生的利息将折算为基金份额归基金份额持有人 所有，其中利息转份额以登记机构的记录为准。</w:t>
      </w:r>
    </w:p>
    <w:p>
      <w:pPr>
        <w:spacing w:line="360" w:lineRule="auto"/>
        <w:ind w:firstLine="480" w:firstLineChars="200"/>
        <w:rPr>
          <w:rFonts w:ascii="宋体" w:hAnsi="宋体" w:cs="宋体"/>
          <w:bCs/>
          <w:sz w:val="24"/>
        </w:rPr>
      </w:pPr>
      <w:r>
        <w:rPr>
          <w:rFonts w:hint="eastAsia" w:ascii="宋体" w:hAnsi="宋体" w:cs="宋体"/>
          <w:bCs/>
          <w:sz w:val="24"/>
          <w:szCs w:val="21"/>
        </w:rPr>
        <w:t>3、基金认购份额的计算</w:t>
      </w:r>
    </w:p>
    <w:p>
      <w:pPr>
        <w:spacing w:line="360" w:lineRule="auto"/>
        <w:ind w:firstLine="480" w:firstLineChars="200"/>
        <w:rPr>
          <w:rFonts w:ascii="宋体" w:hAnsi="宋体" w:cs="宋体"/>
          <w:bCs/>
          <w:sz w:val="24"/>
        </w:rPr>
      </w:pPr>
      <w:r>
        <w:rPr>
          <w:rFonts w:hint="eastAsia" w:ascii="宋体" w:hAnsi="宋体" w:cs="宋体"/>
          <w:bCs/>
          <w:sz w:val="24"/>
          <w:szCs w:val="21"/>
        </w:rPr>
        <w:t>基金认购份额具体的计算方法在招募说明书中列示。</w:t>
      </w:r>
    </w:p>
    <w:p>
      <w:pPr>
        <w:spacing w:line="360" w:lineRule="auto"/>
        <w:ind w:firstLine="480" w:firstLineChars="200"/>
        <w:rPr>
          <w:rFonts w:ascii="宋体" w:hAnsi="宋体" w:cs="宋体"/>
          <w:bCs/>
          <w:sz w:val="24"/>
        </w:rPr>
      </w:pPr>
      <w:r>
        <w:rPr>
          <w:rFonts w:hint="eastAsia" w:ascii="宋体" w:hAnsi="宋体" w:cs="宋体"/>
          <w:bCs/>
          <w:sz w:val="24"/>
          <w:szCs w:val="21"/>
        </w:rPr>
        <w:t>4、认购份额余额的处理方式</w:t>
      </w:r>
    </w:p>
    <w:p>
      <w:pPr>
        <w:spacing w:line="360" w:lineRule="auto"/>
        <w:ind w:firstLine="480" w:firstLineChars="200"/>
        <w:rPr>
          <w:rFonts w:ascii="宋体" w:hAnsi="宋体" w:cs="宋体"/>
          <w:bCs/>
          <w:sz w:val="24"/>
        </w:rPr>
      </w:pPr>
      <w:bookmarkStart w:id="123" w:name="OLE_LINK18"/>
      <w:bookmarkStart w:id="124" w:name="OLE_LINK17"/>
      <w:r>
        <w:rPr>
          <w:rFonts w:hint="eastAsia" w:ascii="宋体" w:hAnsi="宋体" w:cs="宋体"/>
          <w:bCs/>
          <w:sz w:val="24"/>
        </w:rPr>
        <w:t>认购份额余额的处理方式在招募说明书中列示。</w:t>
      </w:r>
      <w:bookmarkEnd w:id="123"/>
      <w:bookmarkEnd w:id="124"/>
    </w:p>
    <w:p>
      <w:pPr>
        <w:spacing w:line="360" w:lineRule="auto"/>
        <w:ind w:firstLine="480" w:firstLineChars="200"/>
        <w:rPr>
          <w:rFonts w:ascii="宋体" w:hAnsi="宋体" w:cs="宋体"/>
          <w:bCs/>
          <w:sz w:val="24"/>
        </w:rPr>
      </w:pPr>
      <w:r>
        <w:rPr>
          <w:rFonts w:hint="eastAsia" w:ascii="宋体" w:hAnsi="宋体" w:cs="宋体"/>
          <w:bCs/>
          <w:sz w:val="24"/>
          <w:szCs w:val="21"/>
        </w:rPr>
        <w:t>5、认购申请的确认</w:t>
      </w:r>
    </w:p>
    <w:p>
      <w:pPr>
        <w:spacing w:line="360" w:lineRule="auto"/>
        <w:ind w:firstLine="480" w:firstLineChars="200"/>
        <w:rPr>
          <w:rFonts w:ascii="宋体" w:hAnsi="宋体" w:cs="宋体"/>
          <w:bCs/>
          <w:sz w:val="24"/>
        </w:rPr>
      </w:pPr>
      <w:r>
        <w:rPr>
          <w:rFonts w:hint="eastAsia" w:ascii="宋体" w:hAnsi="宋体" w:cs="宋体"/>
          <w:bCs/>
          <w:sz w:val="24"/>
          <w:szCs w:val="21"/>
        </w:rPr>
        <w:t>基金销售机构对认购申请的受理并不代表该申请一定成功，而仅代表销售机 构确实接收到认购申请。认购申请的确认以登记机构的确认结果为准。对于认购 申请及认购份额的确认情况，投资人应及时查询并妥善行使合法权利，否则，由此产生的任何损失由投资者自行承担。</w:t>
      </w:r>
    </w:p>
    <w:p>
      <w:pPr>
        <w:spacing w:line="360" w:lineRule="auto"/>
        <w:ind w:firstLine="480" w:firstLineChars="200"/>
        <w:rPr>
          <w:rFonts w:ascii="宋体" w:hAnsi="宋体" w:cs="宋体"/>
          <w:bCs/>
          <w:sz w:val="24"/>
        </w:rPr>
      </w:pPr>
    </w:p>
    <w:p>
      <w:pPr>
        <w:spacing w:line="360" w:lineRule="auto"/>
        <w:ind w:firstLine="482" w:firstLineChars="200"/>
        <w:rPr>
          <w:rFonts w:ascii="宋体" w:hAnsi="宋体" w:cs="宋体"/>
          <w:b/>
          <w:sz w:val="24"/>
        </w:rPr>
      </w:pPr>
      <w:r>
        <w:rPr>
          <w:rFonts w:hint="eastAsia" w:ascii="宋体" w:hAnsi="宋体" w:cs="宋体"/>
          <w:b/>
          <w:sz w:val="24"/>
        </w:rPr>
        <w:t>三、基金份额认购金额的限制</w:t>
      </w:r>
    </w:p>
    <w:p>
      <w:pPr>
        <w:spacing w:line="360" w:lineRule="auto"/>
        <w:ind w:firstLine="480" w:firstLineChars="200"/>
        <w:rPr>
          <w:rFonts w:ascii="宋体" w:hAnsi="宋体" w:cs="宋体"/>
          <w:bCs/>
          <w:sz w:val="24"/>
        </w:rPr>
      </w:pPr>
      <w:r>
        <w:rPr>
          <w:rFonts w:hint="eastAsia" w:ascii="宋体" w:hAnsi="宋体" w:cs="宋体"/>
          <w:bCs/>
          <w:sz w:val="24"/>
        </w:rPr>
        <w:t>1、投资人认购时，需按销售机构规定的方式全额缴款。</w:t>
      </w:r>
    </w:p>
    <w:p>
      <w:pPr>
        <w:spacing w:line="360" w:lineRule="auto"/>
        <w:ind w:firstLine="480" w:firstLineChars="200"/>
        <w:rPr>
          <w:rFonts w:ascii="宋体" w:hAnsi="宋体" w:cs="宋体"/>
          <w:bCs/>
          <w:sz w:val="24"/>
        </w:rPr>
      </w:pPr>
      <w:r>
        <w:rPr>
          <w:rFonts w:hint="eastAsia" w:ascii="宋体" w:hAnsi="宋体" w:cs="宋体"/>
          <w:bCs/>
          <w:sz w:val="24"/>
        </w:rPr>
        <w:t>2、基金管理人可以对每个基金交易账户的单笔最低认购金额进行限制，具体限制请参看招募说明书或相关公告。</w:t>
      </w:r>
    </w:p>
    <w:p>
      <w:pPr>
        <w:spacing w:line="360" w:lineRule="auto"/>
        <w:ind w:firstLine="480" w:firstLineChars="200"/>
        <w:rPr>
          <w:rFonts w:ascii="宋体" w:hAnsi="宋体" w:cs="宋体"/>
          <w:bCs/>
          <w:sz w:val="24"/>
        </w:rPr>
      </w:pPr>
      <w:r>
        <w:rPr>
          <w:rFonts w:hint="eastAsia" w:ascii="宋体" w:hAnsi="宋体" w:cs="宋体"/>
          <w:bCs/>
          <w:sz w:val="24"/>
        </w:rPr>
        <w:t>3、基金管理人可以对募集期间的单个投资人的累计认购金额进行限制，具体限制和处理方法请参看招募说明书或相关公告。</w:t>
      </w:r>
    </w:p>
    <w:p>
      <w:pPr>
        <w:spacing w:line="360" w:lineRule="auto"/>
        <w:ind w:firstLine="480" w:firstLineChars="200"/>
        <w:rPr>
          <w:rFonts w:ascii="宋体" w:hAnsi="宋体" w:cs="宋体"/>
          <w:bCs/>
          <w:sz w:val="24"/>
        </w:rPr>
      </w:pPr>
      <w:r>
        <w:rPr>
          <w:rFonts w:hint="eastAsia" w:ascii="宋体" w:hAnsi="宋体" w:cs="宋体"/>
          <w:bCs/>
          <w:sz w:val="24"/>
        </w:rPr>
        <w:t>4、投资人在募集期内可以多次认购基金份额，认购费按每笔认购申请单独计算。已受理的认购申请不允许撤销。</w:t>
      </w:r>
    </w:p>
    <w:p>
      <w:pPr>
        <w:spacing w:line="360" w:lineRule="auto"/>
        <w:ind w:firstLine="480" w:firstLineChars="200"/>
        <w:rPr>
          <w:rFonts w:ascii="宋体" w:hAnsi="宋体" w:cs="宋体"/>
          <w:bCs/>
          <w:sz w:val="24"/>
        </w:rPr>
        <w:sectPr>
          <w:footerReference r:id="rId7" w:type="default"/>
          <w:pgSz w:w="11906" w:h="16838"/>
          <w:pgMar w:top="1440" w:right="1800" w:bottom="1440" w:left="1800" w:header="851" w:footer="992" w:gutter="0"/>
          <w:pgNumType w:start="1" w:chapStyle="1"/>
          <w:cols w:space="720" w:num="1"/>
          <w:docGrid w:type="lines" w:linePitch="312" w:charSpace="0"/>
        </w:sectPr>
      </w:pPr>
      <w:bookmarkStart w:id="125" w:name="OLE_LINK40"/>
      <w:bookmarkStart w:id="126" w:name="OLE_LINK39"/>
      <w:r>
        <w:rPr>
          <w:rFonts w:hint="eastAsia" w:ascii="宋体" w:hAnsi="宋体" w:cs="宋体"/>
          <w:bCs/>
          <w:sz w:val="24"/>
        </w:rPr>
        <w:t>5、本基金单个投资人累计认购的基金份额达到或超过基金总份额50%的，基金管理人可以采取比例确认等方式对该投资人的认购申请进行限制。基金管理人接受某笔或者某些认购申请有可能导致投资者变相规避前述50%比例要求的，基金管理人有权拒绝该等全部或者部分认购申请。投资人认购的基金份额数以基金合同生效后登记机构的确认为准</w:t>
      </w:r>
      <w:bookmarkEnd w:id="125"/>
      <w:bookmarkEnd w:id="126"/>
      <w:r>
        <w:rPr>
          <w:rFonts w:hint="eastAsia" w:ascii="宋体" w:hAnsi="宋体" w:cs="宋体"/>
          <w:bCs/>
          <w:sz w:val="24"/>
        </w:rPr>
        <w:t>。</w:t>
      </w:r>
    </w:p>
    <w:p>
      <w:pPr>
        <w:pStyle w:val="2"/>
        <w:spacing w:before="0" w:after="0"/>
        <w:jc w:val="center"/>
        <w:rPr>
          <w:rFonts w:hAnsi="宋体" w:cs="宋体"/>
          <w:color w:val="auto"/>
          <w:sz w:val="30"/>
        </w:rPr>
      </w:pPr>
      <w:bookmarkStart w:id="127" w:name="_Toc1823"/>
      <w:bookmarkStart w:id="128" w:name="_Toc21988"/>
      <w:bookmarkStart w:id="129" w:name="_Toc7848"/>
      <w:bookmarkStart w:id="130" w:name="_Toc141703885"/>
      <w:bookmarkStart w:id="131" w:name="_Toc17912"/>
      <w:bookmarkStart w:id="132" w:name="_Toc6559"/>
      <w:bookmarkStart w:id="133" w:name="_Toc18797"/>
      <w:bookmarkStart w:id="134" w:name="_Toc139991735"/>
      <w:bookmarkStart w:id="135" w:name="_Toc4741"/>
      <w:bookmarkStart w:id="136" w:name="_Toc26986"/>
      <w:bookmarkStart w:id="137" w:name="_Toc6118"/>
      <w:bookmarkStart w:id="138" w:name="_Toc18526"/>
      <w:bookmarkStart w:id="139" w:name="_Toc14893"/>
      <w:bookmarkStart w:id="140" w:name="_Toc18329"/>
      <w:r>
        <w:rPr>
          <w:rFonts w:hint="eastAsia" w:hAnsi="宋体" w:cs="宋体"/>
          <w:color w:val="auto"/>
          <w:sz w:val="30"/>
        </w:rPr>
        <w:t>第五部分  基金备案</w:t>
      </w:r>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p>
    <w:p>
      <w:pPr>
        <w:spacing w:line="360" w:lineRule="auto"/>
        <w:ind w:firstLine="540"/>
        <w:rPr>
          <w:rFonts w:ascii="宋体" w:hAnsi="宋体" w:cs="宋体"/>
          <w:bCs/>
          <w:sz w:val="24"/>
        </w:rPr>
      </w:pPr>
    </w:p>
    <w:p>
      <w:pPr>
        <w:spacing w:line="360" w:lineRule="auto"/>
        <w:ind w:firstLine="482" w:firstLineChars="200"/>
        <w:rPr>
          <w:rFonts w:ascii="宋体" w:hAnsi="宋体" w:cs="宋体"/>
          <w:b/>
          <w:sz w:val="24"/>
        </w:rPr>
      </w:pPr>
      <w:bookmarkStart w:id="141" w:name="OLE_LINK45"/>
      <w:bookmarkStart w:id="142" w:name="OLE_LINK46"/>
      <w:r>
        <w:rPr>
          <w:rFonts w:hint="eastAsia" w:ascii="宋体" w:hAnsi="宋体" w:cs="宋体"/>
          <w:b/>
          <w:sz w:val="24"/>
        </w:rPr>
        <w:t>一、基金备案的条件</w:t>
      </w:r>
    </w:p>
    <w:p>
      <w:pPr>
        <w:spacing w:line="360" w:lineRule="auto"/>
        <w:ind w:firstLine="480" w:firstLineChars="200"/>
        <w:rPr>
          <w:rFonts w:ascii="宋体" w:hAnsi="宋体" w:cs="宋体"/>
          <w:sz w:val="24"/>
        </w:rPr>
      </w:pPr>
      <w:r>
        <w:rPr>
          <w:rFonts w:hint="eastAsia" w:ascii="宋体" w:hAnsi="宋体" w:cs="宋体"/>
          <w:sz w:val="24"/>
        </w:rPr>
        <w:t>本基金自基金份额发售之日起3个月内，同时满足如下情形，本基金达到备案条件：</w:t>
      </w:r>
    </w:p>
    <w:p>
      <w:pPr>
        <w:spacing w:line="360" w:lineRule="auto"/>
        <w:ind w:firstLine="480" w:firstLineChars="200"/>
        <w:rPr>
          <w:rFonts w:ascii="宋体" w:hAnsi="宋体" w:cs="宋体"/>
          <w:sz w:val="24"/>
        </w:rPr>
      </w:pPr>
      <w:r>
        <w:rPr>
          <w:rFonts w:hint="eastAsia" w:ascii="宋体" w:hAnsi="宋体" w:cs="宋体"/>
          <w:sz w:val="24"/>
        </w:rPr>
        <w:t>1、基金募集份额总额达到准予注册规模的百分之八十以上；</w:t>
      </w:r>
    </w:p>
    <w:p>
      <w:pPr>
        <w:spacing w:line="360" w:lineRule="auto"/>
        <w:ind w:firstLine="480" w:firstLineChars="200"/>
        <w:rPr>
          <w:rFonts w:ascii="宋体" w:hAnsi="宋体" w:cs="宋体"/>
          <w:sz w:val="24"/>
        </w:rPr>
      </w:pPr>
      <w:r>
        <w:rPr>
          <w:rFonts w:hint="eastAsia" w:ascii="宋体" w:hAnsi="宋体" w:cs="宋体"/>
          <w:sz w:val="24"/>
        </w:rPr>
        <w:t>2、基金募集份额总额不少于两亿份，基金募集金额不少于两亿元人民币；基金份额持有人的人数不少于二百人。</w:t>
      </w:r>
    </w:p>
    <w:p>
      <w:pPr>
        <w:spacing w:line="360" w:lineRule="auto"/>
        <w:ind w:firstLine="480" w:firstLineChars="200"/>
        <w:jc w:val="left"/>
        <w:rPr>
          <w:rFonts w:ascii="宋体" w:hAnsi="宋体" w:cs="宋体"/>
          <w:bCs/>
          <w:sz w:val="24"/>
        </w:rPr>
      </w:pPr>
      <w:r>
        <w:rPr>
          <w:rFonts w:hint="eastAsia" w:ascii="宋体" w:hAnsi="宋体" w:cs="宋体"/>
          <w:bCs/>
          <w:sz w:val="24"/>
        </w:rPr>
        <w:t>基金募集期届满或基金管理人依据法律法规及招募说明书可以决定停止基金发售，并在10日内聘请法定验资机构验资。基金管理人自收到验资报告之日起10日内，向中国证监会办理基金备案手续。</w:t>
      </w:r>
    </w:p>
    <w:p>
      <w:pPr>
        <w:spacing w:line="360" w:lineRule="auto"/>
        <w:ind w:firstLine="480" w:firstLineChars="200"/>
        <w:jc w:val="left"/>
        <w:rPr>
          <w:rFonts w:ascii="宋体" w:hAnsi="宋体" w:cs="宋体"/>
          <w:bCs/>
          <w:sz w:val="24"/>
        </w:rPr>
      </w:pPr>
      <w:r>
        <w:rPr>
          <w:rFonts w:hint="eastAsia" w:ascii="宋体" w:hAnsi="宋体" w:cs="宋体"/>
          <w:bCs/>
          <w:sz w:val="24"/>
        </w:rPr>
        <w:t>基金募集达到基金备案条件的，自基金管理人办理完毕基金备案手续并取得中国证监会书面确认之日起，《基金合同》生效；否则《基金合同》不生效。基金管理人在收到中国证监会确认文件的次日对《基金合同》生效事宜予以公告。基金管理人应将基金募集期间募集的资金存入专门账户，在基金募集行为结束前，任何人不得动用。</w:t>
      </w:r>
    </w:p>
    <w:p>
      <w:pPr>
        <w:spacing w:line="360" w:lineRule="auto"/>
        <w:ind w:firstLine="480" w:firstLineChars="200"/>
        <w:jc w:val="left"/>
        <w:rPr>
          <w:rFonts w:ascii="宋体" w:hAnsi="宋体" w:cs="宋体"/>
          <w:bCs/>
          <w:sz w:val="24"/>
        </w:rPr>
      </w:pPr>
    </w:p>
    <w:p>
      <w:pPr>
        <w:spacing w:line="360" w:lineRule="auto"/>
        <w:ind w:firstLine="482" w:firstLineChars="200"/>
        <w:rPr>
          <w:rFonts w:ascii="宋体" w:hAnsi="宋体" w:cs="宋体"/>
          <w:b/>
          <w:sz w:val="24"/>
        </w:rPr>
      </w:pPr>
      <w:r>
        <w:rPr>
          <w:rFonts w:hint="eastAsia" w:ascii="宋体" w:hAnsi="宋体" w:cs="宋体"/>
          <w:b/>
          <w:sz w:val="24"/>
        </w:rPr>
        <w:t>二、基金合同不能生效时募集资金的处理方式</w:t>
      </w:r>
    </w:p>
    <w:p>
      <w:pPr>
        <w:spacing w:line="360" w:lineRule="auto"/>
        <w:ind w:firstLine="480"/>
        <w:rPr>
          <w:rFonts w:ascii="宋体" w:hAnsi="宋体" w:cs="宋体"/>
          <w:bCs/>
          <w:sz w:val="24"/>
        </w:rPr>
      </w:pPr>
      <w:r>
        <w:rPr>
          <w:rFonts w:hint="eastAsia" w:ascii="宋体" w:hAnsi="宋体" w:cs="宋体"/>
          <w:bCs/>
          <w:sz w:val="24"/>
        </w:rPr>
        <w:t>如果募集期限届满，未满足基金备案条件，基金管理人应当承担下列责任：</w:t>
      </w:r>
    </w:p>
    <w:p>
      <w:pPr>
        <w:spacing w:line="360" w:lineRule="auto"/>
        <w:ind w:firstLine="480"/>
        <w:rPr>
          <w:rFonts w:ascii="宋体" w:hAnsi="宋体" w:cs="宋体"/>
          <w:bCs/>
          <w:sz w:val="24"/>
        </w:rPr>
      </w:pPr>
      <w:r>
        <w:rPr>
          <w:rFonts w:hint="eastAsia" w:ascii="宋体" w:hAnsi="宋体" w:cs="宋体"/>
          <w:bCs/>
          <w:sz w:val="24"/>
        </w:rPr>
        <w:t>1、以其固有财产承担因募集行为而产生的债务和费用；</w:t>
      </w:r>
    </w:p>
    <w:p>
      <w:pPr>
        <w:spacing w:line="360" w:lineRule="auto"/>
        <w:ind w:firstLine="480" w:firstLineChars="200"/>
        <w:rPr>
          <w:rFonts w:ascii="宋体" w:hAnsi="宋体" w:cs="宋体"/>
          <w:bCs/>
          <w:sz w:val="24"/>
        </w:rPr>
      </w:pPr>
      <w:r>
        <w:rPr>
          <w:rFonts w:hint="eastAsia" w:ascii="宋体" w:hAnsi="宋体" w:cs="宋体"/>
          <w:bCs/>
          <w:sz w:val="24"/>
        </w:rPr>
        <w:t>2、在基金募集期限届满后30日内返还投资者已交纳的款项，并加计银行同期活期存款利息；</w:t>
      </w:r>
    </w:p>
    <w:p>
      <w:pPr>
        <w:spacing w:line="360" w:lineRule="auto"/>
        <w:ind w:firstLine="480" w:firstLineChars="200"/>
        <w:rPr>
          <w:rFonts w:ascii="宋体" w:hAnsi="宋体" w:cs="宋体"/>
          <w:bCs/>
          <w:sz w:val="24"/>
        </w:rPr>
      </w:pPr>
      <w:r>
        <w:rPr>
          <w:rFonts w:hint="eastAsia" w:ascii="宋体" w:hAnsi="宋体" w:cs="宋体"/>
          <w:bCs/>
          <w:sz w:val="24"/>
        </w:rPr>
        <w:t>3、如基金募集失败，基金管理人、基金托管人及销售机构不得请求报酬。基金管理人、基金托管人和销售机构为基金募集支付之一切费用应由各方各自承担。</w:t>
      </w:r>
    </w:p>
    <w:p>
      <w:pPr>
        <w:spacing w:line="360" w:lineRule="auto"/>
        <w:ind w:firstLine="480" w:firstLineChars="200"/>
        <w:rPr>
          <w:rFonts w:ascii="宋体" w:hAnsi="宋体" w:cs="宋体"/>
          <w:bCs/>
          <w:sz w:val="24"/>
        </w:rPr>
      </w:pPr>
    </w:p>
    <w:p>
      <w:pPr>
        <w:spacing w:line="360" w:lineRule="auto"/>
        <w:rPr>
          <w:rFonts w:ascii="宋体" w:hAnsi="宋体" w:cs="宋体"/>
          <w:bCs/>
          <w:kern w:val="44"/>
        </w:rPr>
      </w:pPr>
      <w:bookmarkStart w:id="143" w:name="_Toc23822"/>
      <w:bookmarkStart w:id="144" w:name="_Toc4003"/>
      <w:bookmarkStart w:id="145" w:name="_Toc141703886"/>
      <w:bookmarkStart w:id="146" w:name="_Toc48649707"/>
      <w:bookmarkStart w:id="147" w:name="_Toc1270"/>
      <w:bookmarkStart w:id="148" w:name="_Toc123112234"/>
      <w:bookmarkStart w:id="149" w:name="_Toc610"/>
      <w:bookmarkStart w:id="150" w:name="_Toc98560352"/>
      <w:bookmarkStart w:id="151" w:name="_Toc23261"/>
      <w:bookmarkStart w:id="152" w:name="_Toc1427"/>
      <w:bookmarkStart w:id="153" w:name="_Toc10463"/>
      <w:bookmarkStart w:id="154" w:name="_Toc123102453"/>
      <w:bookmarkStart w:id="155" w:name="_Toc11081"/>
      <w:bookmarkStart w:id="156" w:name="_Toc7920"/>
      <w:bookmarkStart w:id="157" w:name="_Toc123051452"/>
      <w:bookmarkStart w:id="158" w:name="_Toc79392606"/>
      <w:bookmarkStart w:id="159" w:name="_Toc139991736"/>
      <w:bookmarkStart w:id="160" w:name="_Toc20733"/>
      <w:bookmarkStart w:id="161" w:name="_Toc17244"/>
      <w:r>
        <w:rPr>
          <w:rFonts w:hint="eastAsia" w:ascii="宋体" w:hAnsi="宋体" w:cs="宋体"/>
          <w:bCs/>
          <w:kern w:val="44"/>
        </w:rPr>
        <w:br w:type="page"/>
      </w:r>
      <w:bookmarkEnd w:id="141"/>
      <w:bookmarkEnd w:id="142"/>
    </w:p>
    <w:p>
      <w:pPr>
        <w:pStyle w:val="2"/>
        <w:spacing w:before="0" w:after="0"/>
        <w:jc w:val="center"/>
        <w:rPr>
          <w:rFonts w:hAnsi="宋体" w:cs="宋体"/>
          <w:color w:val="auto"/>
          <w:sz w:val="30"/>
        </w:rPr>
      </w:pPr>
      <w:bookmarkStart w:id="162" w:name="_Toc18004"/>
      <w:r>
        <w:rPr>
          <w:rFonts w:hint="eastAsia" w:hAnsi="宋体" w:cs="宋体"/>
          <w:color w:val="auto"/>
          <w:sz w:val="30"/>
        </w:rPr>
        <w:t xml:space="preserve">第六部分  </w:t>
      </w:r>
      <w:r>
        <w:rPr>
          <w:rFonts w:hAnsi="宋体" w:cs="宋体"/>
          <w:color w:val="auto"/>
          <w:sz w:val="30"/>
        </w:rPr>
        <w:t>基金份额的</w:t>
      </w:r>
      <w:r>
        <w:rPr>
          <w:rFonts w:hint="eastAsia" w:hAnsi="宋体" w:cs="宋体"/>
          <w:color w:val="auto"/>
          <w:sz w:val="30"/>
        </w:rPr>
        <w:t>其他业务</w:t>
      </w:r>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p>
    <w:p>
      <w:pPr>
        <w:spacing w:line="360" w:lineRule="auto"/>
        <w:ind w:firstLine="540"/>
        <w:rPr>
          <w:rFonts w:ascii="宋体" w:hAnsi="宋体" w:cs="宋体"/>
          <w:bCs/>
          <w:sz w:val="24"/>
        </w:rPr>
      </w:pPr>
    </w:p>
    <w:p>
      <w:pPr>
        <w:spacing w:line="360" w:lineRule="auto"/>
        <w:ind w:firstLine="482" w:firstLineChars="200"/>
        <w:rPr>
          <w:rFonts w:ascii="宋体" w:hAnsi="宋体" w:cs="宋体"/>
          <w:b/>
          <w:sz w:val="24"/>
        </w:rPr>
      </w:pPr>
      <w:bookmarkStart w:id="163" w:name="OLE_LINK47"/>
      <w:r>
        <w:rPr>
          <w:rFonts w:hint="eastAsia" w:ascii="宋体" w:hAnsi="宋体" w:cs="宋体"/>
          <w:b/>
          <w:sz w:val="24"/>
        </w:rPr>
        <w:t>一、</w:t>
      </w:r>
      <w:bookmarkEnd w:id="163"/>
      <w:r>
        <w:rPr>
          <w:rFonts w:hint="eastAsia" w:ascii="宋体" w:hAnsi="宋体" w:cs="宋体"/>
          <w:b/>
          <w:sz w:val="24"/>
        </w:rPr>
        <w:t>基金的非交易过户</w:t>
      </w:r>
    </w:p>
    <w:p>
      <w:pPr>
        <w:spacing w:line="360" w:lineRule="auto"/>
        <w:ind w:firstLine="480" w:firstLineChars="200"/>
        <w:rPr>
          <w:rFonts w:ascii="宋体" w:hAnsi="宋体" w:cs="宋体"/>
          <w:bCs/>
          <w:sz w:val="24"/>
        </w:rPr>
      </w:pPr>
      <w:r>
        <w:rPr>
          <w:rFonts w:hint="eastAsia" w:ascii="宋体" w:hAnsi="宋体" w:cs="宋体"/>
          <w:bCs/>
          <w:sz w:val="24"/>
        </w:rPr>
        <w:t>基金的非交易过户是指基金登记机构受理继承、捐赠和司法强制执行等情形而产生的非交易过户以及登记机构认可、符合法律法规的其它非交易过户。无论在上述何种情况下，接受划转的主体必须是依法可以持有本基金基金份额的投资人。</w:t>
      </w:r>
    </w:p>
    <w:p>
      <w:pPr>
        <w:spacing w:line="360" w:lineRule="auto"/>
        <w:ind w:firstLine="480" w:firstLineChars="200"/>
        <w:rPr>
          <w:rFonts w:ascii="宋体" w:hAnsi="宋体" w:cs="宋体"/>
          <w:sz w:val="24"/>
        </w:rPr>
      </w:pPr>
      <w:r>
        <w:rPr>
          <w:rFonts w:hint="eastAsia" w:ascii="宋体" w:hAnsi="宋体" w:cs="宋体"/>
          <w:sz w:val="24"/>
        </w:rPr>
        <w:t>继承是指基金份额持有人死亡，其持有的基金份额由其合法的继承人继承；捐赠指基金份额持有人将其合法持有的基金份额捐赠给福利性质的基金会或社会团体；司法强制执行是指司法机构依据生效司法文书将基金份额持有人持有的基金份额强制划转给其他自然人、法人或其他组织。办理非交易过户必须提供基金登记机构要求提供的相关资料，对于符合条件的非交易过户申请按基金登记机构的规定办理，并按基金登记机构规定的标准收费。</w:t>
      </w:r>
    </w:p>
    <w:p>
      <w:pPr>
        <w:spacing w:line="360" w:lineRule="auto"/>
        <w:ind w:firstLine="480" w:firstLineChars="200"/>
        <w:rPr>
          <w:rFonts w:ascii="宋体" w:hAnsi="宋体" w:cs="宋体"/>
          <w:sz w:val="24"/>
        </w:rPr>
      </w:pPr>
    </w:p>
    <w:p>
      <w:pPr>
        <w:spacing w:line="360" w:lineRule="auto"/>
        <w:ind w:firstLine="482" w:firstLineChars="200"/>
        <w:rPr>
          <w:rFonts w:ascii="宋体" w:hAnsi="宋体" w:cs="宋体"/>
          <w:b/>
          <w:sz w:val="24"/>
        </w:rPr>
      </w:pPr>
      <w:r>
        <w:rPr>
          <w:rFonts w:hint="eastAsia" w:ascii="宋体" w:hAnsi="宋体" w:cs="宋体"/>
          <w:b/>
          <w:sz w:val="24"/>
        </w:rPr>
        <w:t>二、基金的转托管</w:t>
      </w:r>
    </w:p>
    <w:p>
      <w:pPr>
        <w:spacing w:line="360" w:lineRule="auto"/>
        <w:ind w:firstLine="480" w:firstLineChars="200"/>
        <w:rPr>
          <w:rFonts w:ascii="宋体" w:hAnsi="宋体" w:cs="宋体"/>
          <w:bCs/>
          <w:sz w:val="24"/>
        </w:rPr>
      </w:pPr>
      <w:r>
        <w:rPr>
          <w:rFonts w:hint="eastAsia" w:ascii="宋体" w:hAnsi="宋体" w:cs="宋体"/>
          <w:bCs/>
          <w:sz w:val="24"/>
        </w:rPr>
        <w:t>基金份额持有人可办理已持有基金份额在不同销售机构之间的转托管，基金销售机构可以按照规定的标准收取转托管费。尽管有前述约定，基金销售机构仍有权决定是否办理基金份额的转托管业务。</w:t>
      </w:r>
    </w:p>
    <w:p>
      <w:pPr>
        <w:spacing w:line="360" w:lineRule="auto"/>
        <w:ind w:firstLine="480" w:firstLineChars="200"/>
        <w:rPr>
          <w:rFonts w:ascii="宋体" w:hAnsi="宋体" w:cs="宋体"/>
          <w:bCs/>
          <w:sz w:val="24"/>
        </w:rPr>
      </w:pPr>
    </w:p>
    <w:p>
      <w:pPr>
        <w:spacing w:line="360" w:lineRule="auto"/>
        <w:ind w:firstLine="482" w:firstLineChars="200"/>
        <w:rPr>
          <w:rFonts w:ascii="宋体" w:hAnsi="宋体" w:cs="宋体"/>
          <w:b/>
          <w:sz w:val="24"/>
        </w:rPr>
      </w:pPr>
      <w:r>
        <w:rPr>
          <w:rFonts w:hint="eastAsia" w:ascii="宋体" w:hAnsi="宋体" w:cs="宋体"/>
          <w:b/>
          <w:sz w:val="24"/>
        </w:rPr>
        <w:t>三、基金份额的冻结和解冻</w:t>
      </w:r>
    </w:p>
    <w:p>
      <w:pPr>
        <w:spacing w:line="360" w:lineRule="auto"/>
        <w:ind w:firstLine="480" w:firstLineChars="200"/>
        <w:rPr>
          <w:rFonts w:ascii="宋体" w:hAnsi="宋体" w:cs="宋体"/>
          <w:bCs/>
          <w:sz w:val="24"/>
        </w:rPr>
      </w:pPr>
      <w:r>
        <w:rPr>
          <w:rFonts w:hint="eastAsia" w:ascii="宋体" w:hAnsi="宋体" w:cs="宋体"/>
          <w:bCs/>
          <w:sz w:val="24"/>
        </w:rPr>
        <w:t>基金登记机构只受理国家有权机关依法要求的基金份额的冻结与解冻，以及登记机构认可、符合法律法规的其他情况下的冻结与解冻。</w:t>
      </w:r>
    </w:p>
    <w:p>
      <w:pPr>
        <w:spacing w:line="360" w:lineRule="auto"/>
        <w:ind w:firstLine="480" w:firstLineChars="200"/>
        <w:rPr>
          <w:rFonts w:ascii="宋体" w:hAnsi="宋体" w:cs="宋体"/>
          <w:bCs/>
          <w:sz w:val="24"/>
        </w:rPr>
      </w:pPr>
      <w:r>
        <w:rPr>
          <w:rFonts w:hint="eastAsia" w:ascii="宋体" w:hAnsi="宋体" w:cs="宋体"/>
          <w:bCs/>
          <w:sz w:val="24"/>
        </w:rPr>
        <w:t>基金份额的冻结手续、冻结方式按照登记机构的相关规定办理。基金份额被冻结的，被冻结部分产生的权益按照我国法律法规、监管规章及国家有权机关的要求以及登记机构业务规定来处理。</w:t>
      </w:r>
    </w:p>
    <w:p>
      <w:pPr>
        <w:spacing w:line="360" w:lineRule="auto"/>
        <w:ind w:firstLine="480" w:firstLineChars="200"/>
        <w:rPr>
          <w:rFonts w:ascii="宋体" w:hAnsi="宋体" w:cs="宋体"/>
          <w:bCs/>
          <w:sz w:val="24"/>
        </w:rPr>
      </w:pPr>
    </w:p>
    <w:p>
      <w:pPr>
        <w:spacing w:line="360" w:lineRule="auto"/>
        <w:ind w:firstLine="482" w:firstLineChars="200"/>
        <w:rPr>
          <w:rFonts w:ascii="宋体" w:hAnsi="宋体" w:cs="宋体"/>
          <w:b/>
          <w:bCs/>
          <w:sz w:val="24"/>
        </w:rPr>
      </w:pPr>
      <w:r>
        <w:rPr>
          <w:rFonts w:hint="eastAsia" w:ascii="宋体" w:hAnsi="宋体" w:cs="宋体"/>
          <w:b/>
          <w:sz w:val="24"/>
        </w:rPr>
        <w:t>四、</w:t>
      </w:r>
      <w:r>
        <w:rPr>
          <w:rFonts w:hint="eastAsia" w:ascii="宋体" w:hAnsi="宋体" w:cs="宋体"/>
          <w:b/>
          <w:bCs/>
          <w:sz w:val="24"/>
        </w:rPr>
        <w:t>其他业务</w:t>
      </w:r>
    </w:p>
    <w:p>
      <w:pPr>
        <w:spacing w:line="360" w:lineRule="auto"/>
        <w:ind w:firstLine="480" w:firstLineChars="200"/>
        <w:rPr>
          <w:rFonts w:ascii="宋体" w:hAnsi="宋体" w:cs="宋体"/>
          <w:bCs/>
          <w:sz w:val="24"/>
        </w:rPr>
      </w:pPr>
      <w:r>
        <w:rPr>
          <w:rFonts w:hint="eastAsia" w:ascii="宋体" w:hAnsi="宋体" w:cs="宋体"/>
          <w:bCs/>
          <w:sz w:val="24"/>
        </w:rPr>
        <w:t>在不违反相关法律法规、对基金份额持有人的权利无实质性不利影响的前提下，基金管理人可办理份额的质押或其他基金业务，基金管理人可制定相应的业务规则，届时无需召开基金份额持有人大会审议但应当履行法律法规或中国证监会规定的相关程序。</w:t>
      </w:r>
    </w:p>
    <w:p>
      <w:pPr>
        <w:pStyle w:val="2"/>
        <w:spacing w:before="0" w:after="0"/>
        <w:jc w:val="center"/>
        <w:rPr>
          <w:rFonts w:hAnsi="宋体" w:cs="宋体"/>
          <w:color w:val="auto"/>
          <w:sz w:val="30"/>
        </w:rPr>
      </w:pPr>
      <w:r>
        <w:rPr>
          <w:rFonts w:hint="eastAsia" w:hAnsi="宋体" w:cs="宋体"/>
          <w:b w:val="0"/>
          <w:bCs/>
          <w:color w:val="auto"/>
        </w:rPr>
        <w:br w:type="page"/>
      </w:r>
      <w:bookmarkStart w:id="164" w:name="_Toc15143"/>
      <w:bookmarkStart w:id="165" w:name="_Toc14835"/>
      <w:bookmarkStart w:id="166" w:name="_Toc31653"/>
      <w:bookmarkStart w:id="167" w:name="_Toc3601"/>
      <w:bookmarkStart w:id="168" w:name="_Toc16859"/>
      <w:bookmarkStart w:id="169" w:name="_Toc98560353"/>
      <w:bookmarkStart w:id="170" w:name="_Toc12245"/>
      <w:bookmarkStart w:id="171" w:name="_Toc26207"/>
      <w:bookmarkStart w:id="172" w:name="_Toc31644"/>
      <w:bookmarkStart w:id="173" w:name="_Toc123102454"/>
      <w:bookmarkStart w:id="174" w:name="_Toc29251"/>
      <w:bookmarkStart w:id="175" w:name="_Toc123112235"/>
      <w:bookmarkStart w:id="176" w:name="_Toc141703887"/>
      <w:bookmarkStart w:id="177" w:name="_Toc139991737"/>
      <w:bookmarkStart w:id="178" w:name="_Toc6405"/>
      <w:bookmarkStart w:id="179" w:name="_Toc123051453"/>
      <w:bookmarkStart w:id="180" w:name="_Toc31235"/>
      <w:bookmarkStart w:id="181" w:name="_Toc9386"/>
      <w:r>
        <w:rPr>
          <w:rFonts w:hint="eastAsia" w:hAnsi="宋体" w:cs="宋体"/>
          <w:color w:val="auto"/>
          <w:sz w:val="30"/>
        </w:rPr>
        <w:t>第七部分  基金合同当事人及权利义务</w:t>
      </w:r>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Start w:id="182" w:name="_Hlt55355235"/>
      <w:bookmarkEnd w:id="182"/>
      <w:bookmarkStart w:id="183" w:name="_Toc523711668"/>
      <w:bookmarkStart w:id="184" w:name="_Toc15118234"/>
      <w:bookmarkStart w:id="185" w:name="_Toc57530239"/>
      <w:bookmarkStart w:id="186" w:name="_Toc79392580"/>
    </w:p>
    <w:p>
      <w:pPr>
        <w:spacing w:line="360" w:lineRule="auto"/>
        <w:ind w:firstLine="480" w:firstLineChars="200"/>
        <w:rPr>
          <w:rFonts w:ascii="宋体" w:hAnsi="宋体" w:cs="宋体"/>
          <w:bCs/>
          <w:sz w:val="24"/>
        </w:rPr>
      </w:pPr>
    </w:p>
    <w:p>
      <w:pPr>
        <w:spacing w:line="360" w:lineRule="auto"/>
        <w:ind w:firstLine="482" w:firstLineChars="200"/>
        <w:rPr>
          <w:rFonts w:ascii="宋体" w:hAnsi="宋体" w:cs="宋体"/>
          <w:b/>
          <w:sz w:val="24"/>
        </w:rPr>
      </w:pPr>
      <w:r>
        <w:rPr>
          <w:rFonts w:hint="eastAsia" w:ascii="宋体" w:hAnsi="宋体" w:cs="宋体"/>
          <w:b/>
          <w:sz w:val="24"/>
        </w:rPr>
        <w:t>一、基金</w:t>
      </w:r>
      <w:bookmarkEnd w:id="183"/>
      <w:r>
        <w:rPr>
          <w:rFonts w:hint="eastAsia" w:ascii="宋体" w:hAnsi="宋体" w:cs="宋体"/>
          <w:b/>
          <w:sz w:val="24"/>
        </w:rPr>
        <w:t>管理人</w:t>
      </w:r>
      <w:bookmarkEnd w:id="184"/>
      <w:bookmarkEnd w:id="185"/>
      <w:bookmarkEnd w:id="186"/>
    </w:p>
    <w:p>
      <w:pPr>
        <w:spacing w:line="360" w:lineRule="auto"/>
        <w:ind w:firstLine="480" w:firstLineChars="200"/>
        <w:rPr>
          <w:rFonts w:ascii="宋体" w:hAnsi="宋体" w:cs="宋体"/>
          <w:bCs/>
          <w:sz w:val="24"/>
        </w:rPr>
      </w:pPr>
      <w:bookmarkStart w:id="187" w:name="_Toc15118235"/>
      <w:r>
        <w:rPr>
          <w:rFonts w:hint="eastAsia" w:ascii="宋体" w:hAnsi="宋体" w:cs="宋体"/>
          <w:bCs/>
          <w:sz w:val="24"/>
        </w:rPr>
        <w:t>（一）</w:t>
      </w:r>
      <w:r>
        <w:rPr>
          <w:rFonts w:hint="eastAsia" w:ascii="宋体" w:hAnsi="宋体" w:cs="宋体"/>
          <w:bCs/>
          <w:sz w:val="24"/>
        </w:rPr>
        <w:tab/>
      </w:r>
      <w:r>
        <w:rPr>
          <w:rFonts w:hint="eastAsia" w:ascii="宋体" w:hAnsi="宋体" w:cs="宋体"/>
          <w:bCs/>
          <w:sz w:val="24"/>
        </w:rPr>
        <w:t>基金管理人简况</w:t>
      </w:r>
      <w:bookmarkEnd w:id="187"/>
    </w:p>
    <w:p>
      <w:pPr>
        <w:spacing w:line="360" w:lineRule="auto"/>
        <w:ind w:firstLine="480" w:firstLineChars="200"/>
        <w:rPr>
          <w:rFonts w:ascii="宋体" w:hAnsi="宋体" w:cs="宋体"/>
          <w:sz w:val="24"/>
        </w:rPr>
      </w:pPr>
      <w:bookmarkStart w:id="188" w:name="_Toc15118236"/>
      <w:bookmarkStart w:id="189" w:name="_Toc15118237"/>
      <w:r>
        <w:rPr>
          <w:rFonts w:hint="eastAsia" w:ascii="宋体" w:hAnsi="宋体" w:cs="宋体"/>
          <w:sz w:val="24"/>
        </w:rPr>
        <w:t>名称：</w:t>
      </w:r>
      <w:r>
        <w:rPr>
          <w:rFonts w:hint="eastAsia" w:ascii="宋体" w:hAnsi="宋体" w:cs="宋体"/>
          <w:bCs/>
          <w:sz w:val="24"/>
        </w:rPr>
        <w:t>东方阿尔法基金管理有限公司</w:t>
      </w:r>
    </w:p>
    <w:p>
      <w:pPr>
        <w:spacing w:line="360" w:lineRule="auto"/>
        <w:ind w:firstLine="480" w:firstLineChars="200"/>
        <w:rPr>
          <w:rFonts w:ascii="宋体" w:hAnsi="宋体" w:cs="宋体"/>
          <w:bCs/>
          <w:sz w:val="24"/>
        </w:rPr>
      </w:pPr>
      <w:r>
        <w:rPr>
          <w:rFonts w:hint="eastAsia" w:ascii="宋体" w:hAnsi="宋体" w:cs="宋体"/>
          <w:bCs/>
          <w:sz w:val="24"/>
        </w:rPr>
        <w:t>住所： 深圳市福田区莲花街道紫荆社区深南大道6008号深圳特区报业大厦23楼BC</w:t>
      </w:r>
    </w:p>
    <w:p>
      <w:pPr>
        <w:spacing w:line="360" w:lineRule="auto"/>
        <w:ind w:firstLine="480" w:firstLineChars="200"/>
        <w:rPr>
          <w:rFonts w:ascii="宋体" w:hAnsi="宋体" w:cs="宋体"/>
          <w:sz w:val="24"/>
        </w:rPr>
      </w:pPr>
      <w:r>
        <w:rPr>
          <w:rFonts w:hint="eastAsia" w:ascii="宋体" w:hAnsi="宋体" w:cs="宋体"/>
          <w:sz w:val="24"/>
        </w:rPr>
        <w:t>法定代表人：</w:t>
      </w:r>
      <w:r>
        <w:rPr>
          <w:rFonts w:hint="eastAsia" w:ascii="宋体" w:hAnsi="宋体" w:cs="宋体"/>
          <w:bCs/>
          <w:sz w:val="24"/>
        </w:rPr>
        <w:t>刘明</w:t>
      </w:r>
    </w:p>
    <w:p>
      <w:pPr>
        <w:spacing w:line="360" w:lineRule="auto"/>
        <w:ind w:firstLine="480" w:firstLineChars="200"/>
        <w:rPr>
          <w:rFonts w:ascii="宋体" w:hAnsi="宋体" w:cs="宋体"/>
          <w:sz w:val="24"/>
        </w:rPr>
      </w:pPr>
      <w:r>
        <w:rPr>
          <w:rFonts w:hint="eastAsia" w:ascii="宋体" w:hAnsi="宋体" w:cs="宋体"/>
          <w:sz w:val="24"/>
        </w:rPr>
        <w:t>设立日期：</w:t>
      </w:r>
      <w:r>
        <w:rPr>
          <w:rFonts w:hint="eastAsia" w:ascii="宋体" w:hAnsi="宋体" w:cs="宋体"/>
          <w:color w:val="000000"/>
          <w:sz w:val="24"/>
        </w:rPr>
        <w:t>2017年7月4日</w:t>
      </w:r>
    </w:p>
    <w:p>
      <w:pPr>
        <w:spacing w:line="360" w:lineRule="auto"/>
        <w:ind w:firstLine="480" w:firstLineChars="200"/>
        <w:rPr>
          <w:rFonts w:ascii="宋体" w:hAnsi="宋体" w:cs="宋体"/>
          <w:sz w:val="24"/>
        </w:rPr>
      </w:pPr>
      <w:r>
        <w:rPr>
          <w:rFonts w:hint="eastAsia" w:ascii="宋体" w:hAnsi="宋体" w:cs="宋体"/>
          <w:sz w:val="24"/>
        </w:rPr>
        <w:t>批准设立机关及批准设立文号：中国证监会</w:t>
      </w:r>
      <w:r>
        <w:rPr>
          <w:rFonts w:hint="eastAsia" w:ascii="宋体" w:hAnsi="宋体" w:cs="宋体"/>
          <w:bCs/>
          <w:sz w:val="24"/>
        </w:rPr>
        <w:t>证监许可〔2017〕1031号</w:t>
      </w:r>
    </w:p>
    <w:p>
      <w:pPr>
        <w:spacing w:line="360" w:lineRule="auto"/>
        <w:ind w:firstLine="480" w:firstLineChars="200"/>
        <w:rPr>
          <w:rFonts w:ascii="宋体" w:hAnsi="宋体" w:cs="宋体"/>
          <w:sz w:val="24"/>
        </w:rPr>
      </w:pPr>
      <w:r>
        <w:rPr>
          <w:rFonts w:hint="eastAsia" w:ascii="宋体" w:hAnsi="宋体" w:cs="宋体"/>
          <w:sz w:val="24"/>
        </w:rPr>
        <w:t>组织形式：</w:t>
      </w:r>
      <w:r>
        <w:rPr>
          <w:rFonts w:hint="eastAsia" w:ascii="宋体" w:hAnsi="宋体" w:cs="宋体"/>
          <w:bCs/>
          <w:sz w:val="24"/>
        </w:rPr>
        <w:t>有限责任公司</w:t>
      </w:r>
    </w:p>
    <w:p>
      <w:pPr>
        <w:spacing w:line="360" w:lineRule="auto"/>
        <w:ind w:firstLine="480" w:firstLineChars="200"/>
        <w:rPr>
          <w:rFonts w:ascii="宋体" w:hAnsi="宋体" w:cs="宋体"/>
          <w:sz w:val="24"/>
        </w:rPr>
      </w:pPr>
      <w:r>
        <w:rPr>
          <w:rFonts w:hint="eastAsia" w:ascii="宋体" w:hAnsi="宋体" w:cs="宋体"/>
          <w:sz w:val="24"/>
        </w:rPr>
        <w:t>注册资本：</w:t>
      </w:r>
      <w:r>
        <w:rPr>
          <w:rFonts w:hint="eastAsia" w:ascii="宋体" w:hAnsi="宋体" w:cs="宋体"/>
          <w:bCs/>
          <w:sz w:val="24"/>
        </w:rPr>
        <w:t>人民币1亿元</w:t>
      </w:r>
    </w:p>
    <w:p>
      <w:pPr>
        <w:spacing w:line="360" w:lineRule="auto"/>
        <w:ind w:firstLine="480" w:firstLineChars="200"/>
        <w:rPr>
          <w:rFonts w:ascii="宋体" w:hAnsi="宋体" w:cs="宋体"/>
          <w:sz w:val="24"/>
        </w:rPr>
      </w:pPr>
      <w:r>
        <w:rPr>
          <w:rFonts w:hint="eastAsia" w:ascii="宋体" w:hAnsi="宋体" w:cs="宋体"/>
          <w:sz w:val="24"/>
        </w:rPr>
        <w:t>存续期限：</w:t>
      </w:r>
      <w:r>
        <w:rPr>
          <w:rFonts w:hint="eastAsia" w:ascii="宋体" w:hAnsi="宋体" w:cs="宋体"/>
          <w:bCs/>
          <w:sz w:val="24"/>
        </w:rPr>
        <w:t>持续经营</w:t>
      </w:r>
    </w:p>
    <w:p>
      <w:pPr>
        <w:spacing w:line="360" w:lineRule="auto"/>
        <w:ind w:firstLine="480" w:firstLineChars="200"/>
        <w:rPr>
          <w:rFonts w:ascii="宋体" w:hAnsi="宋体" w:cs="宋体"/>
          <w:sz w:val="24"/>
        </w:rPr>
      </w:pPr>
      <w:r>
        <w:rPr>
          <w:rFonts w:hint="eastAsia" w:ascii="宋体" w:hAnsi="宋体" w:cs="宋体"/>
          <w:sz w:val="24"/>
        </w:rPr>
        <w:t>联系电话：</w:t>
      </w:r>
      <w:r>
        <w:rPr>
          <w:rFonts w:hint="eastAsia" w:ascii="宋体" w:hAnsi="宋体" w:cs="宋体"/>
          <w:bCs/>
          <w:sz w:val="24"/>
        </w:rPr>
        <w:t>0755-21872909</w:t>
      </w:r>
    </w:p>
    <w:bookmarkEnd w:id="188"/>
    <w:p>
      <w:pPr>
        <w:spacing w:line="360" w:lineRule="auto"/>
        <w:ind w:firstLine="480" w:firstLineChars="200"/>
        <w:rPr>
          <w:rFonts w:ascii="宋体" w:hAnsi="宋体" w:cs="宋体"/>
          <w:bCs/>
          <w:sz w:val="24"/>
        </w:rPr>
      </w:pPr>
      <w:r>
        <w:rPr>
          <w:rFonts w:hint="eastAsia" w:ascii="宋体" w:hAnsi="宋体" w:cs="宋体"/>
          <w:bCs/>
          <w:sz w:val="24"/>
        </w:rPr>
        <w:t>（二）</w:t>
      </w:r>
      <w:r>
        <w:rPr>
          <w:rFonts w:hint="eastAsia" w:ascii="宋体" w:hAnsi="宋体" w:cs="宋体"/>
          <w:bCs/>
          <w:sz w:val="24"/>
        </w:rPr>
        <w:tab/>
      </w:r>
      <w:r>
        <w:rPr>
          <w:rFonts w:hint="eastAsia" w:ascii="宋体" w:hAnsi="宋体" w:cs="宋体"/>
          <w:bCs/>
          <w:sz w:val="24"/>
        </w:rPr>
        <w:t>基金管理人的权利与义务</w:t>
      </w:r>
      <w:bookmarkEnd w:id="189"/>
    </w:p>
    <w:p>
      <w:pPr>
        <w:spacing w:line="360" w:lineRule="auto"/>
        <w:ind w:firstLine="480" w:firstLineChars="200"/>
        <w:rPr>
          <w:rFonts w:ascii="宋体" w:hAnsi="宋体" w:cs="宋体"/>
          <w:bCs/>
          <w:sz w:val="24"/>
        </w:rPr>
      </w:pPr>
      <w:r>
        <w:rPr>
          <w:rFonts w:hint="eastAsia" w:ascii="宋体" w:hAnsi="宋体" w:cs="宋体"/>
          <w:bCs/>
          <w:sz w:val="24"/>
        </w:rPr>
        <w:t>1、根据《基金法》、《运作办法》及其他有关规定，基金管理人的权利包括但不限于：</w:t>
      </w:r>
    </w:p>
    <w:p>
      <w:pPr>
        <w:spacing w:line="360" w:lineRule="auto"/>
        <w:ind w:firstLine="480" w:firstLineChars="200"/>
        <w:rPr>
          <w:rFonts w:ascii="宋体" w:hAnsi="宋体" w:cs="宋体"/>
          <w:bCs/>
          <w:sz w:val="24"/>
        </w:rPr>
      </w:pPr>
      <w:r>
        <w:rPr>
          <w:rFonts w:hint="eastAsia" w:ascii="宋体" w:hAnsi="宋体" w:cs="宋体"/>
          <w:bCs/>
          <w:sz w:val="24"/>
        </w:rPr>
        <w:t>（1）依法募集资金；</w:t>
      </w:r>
    </w:p>
    <w:p>
      <w:pPr>
        <w:spacing w:line="360" w:lineRule="auto"/>
        <w:ind w:firstLine="480" w:firstLineChars="200"/>
        <w:rPr>
          <w:rFonts w:ascii="宋体" w:hAnsi="宋体" w:cs="宋体"/>
          <w:bCs/>
          <w:sz w:val="24"/>
        </w:rPr>
      </w:pPr>
      <w:r>
        <w:rPr>
          <w:rFonts w:hint="eastAsia" w:ascii="宋体" w:hAnsi="宋体" w:cs="宋体"/>
          <w:bCs/>
          <w:sz w:val="24"/>
        </w:rPr>
        <w:t>（2）自《基金合同》生效之日起，根据法律法规和《基金合同》独立运用并管理基金财产；</w:t>
      </w:r>
    </w:p>
    <w:p>
      <w:pPr>
        <w:spacing w:line="360" w:lineRule="auto"/>
        <w:ind w:firstLine="480" w:firstLineChars="200"/>
        <w:rPr>
          <w:rFonts w:ascii="宋体" w:hAnsi="宋体" w:cs="宋体"/>
          <w:bCs/>
          <w:sz w:val="24"/>
        </w:rPr>
      </w:pPr>
      <w:r>
        <w:rPr>
          <w:rFonts w:hint="eastAsia" w:ascii="宋体" w:hAnsi="宋体" w:cs="宋体"/>
          <w:bCs/>
          <w:sz w:val="24"/>
        </w:rPr>
        <w:t>（3）依照《基金合同》收取基金管理费以及法律法规规定或中国证监会批准的其他费用；</w:t>
      </w:r>
    </w:p>
    <w:p>
      <w:pPr>
        <w:spacing w:line="360" w:lineRule="auto"/>
        <w:ind w:firstLine="480" w:firstLineChars="200"/>
        <w:rPr>
          <w:rFonts w:ascii="宋体" w:hAnsi="宋体" w:cs="宋体"/>
          <w:bCs/>
          <w:sz w:val="24"/>
        </w:rPr>
      </w:pPr>
      <w:r>
        <w:rPr>
          <w:rFonts w:hint="eastAsia" w:ascii="宋体" w:hAnsi="宋体" w:cs="宋体"/>
          <w:bCs/>
          <w:sz w:val="24"/>
        </w:rPr>
        <w:t>（4）销售基金份额；</w:t>
      </w:r>
    </w:p>
    <w:p>
      <w:pPr>
        <w:spacing w:line="360" w:lineRule="auto"/>
        <w:ind w:firstLine="480" w:firstLineChars="200"/>
        <w:rPr>
          <w:rFonts w:ascii="宋体" w:hAnsi="宋体" w:cs="宋体"/>
          <w:bCs/>
          <w:sz w:val="24"/>
        </w:rPr>
      </w:pPr>
      <w:r>
        <w:rPr>
          <w:rFonts w:hint="eastAsia" w:ascii="宋体" w:hAnsi="宋体" w:cs="宋体"/>
          <w:bCs/>
          <w:sz w:val="24"/>
        </w:rPr>
        <w:t>（5）</w:t>
      </w:r>
      <w:bookmarkStart w:id="190" w:name="_Hlt88896155"/>
      <w:r>
        <w:rPr>
          <w:rFonts w:hint="eastAsia" w:ascii="宋体" w:hAnsi="宋体" w:cs="宋体"/>
          <w:bCs/>
          <w:sz w:val="24"/>
        </w:rPr>
        <w:t>按照规定召集</w:t>
      </w:r>
      <w:bookmarkEnd w:id="190"/>
      <w:r>
        <w:rPr>
          <w:rFonts w:hint="eastAsia" w:ascii="宋体" w:hAnsi="宋体" w:cs="宋体"/>
          <w:bCs/>
          <w:sz w:val="24"/>
        </w:rPr>
        <w:t>基金份额持有人大会；</w:t>
      </w:r>
    </w:p>
    <w:p>
      <w:pPr>
        <w:spacing w:line="360" w:lineRule="auto"/>
        <w:ind w:firstLine="480" w:firstLineChars="200"/>
        <w:rPr>
          <w:rFonts w:ascii="宋体" w:hAnsi="宋体" w:cs="宋体"/>
          <w:bCs/>
          <w:sz w:val="24"/>
        </w:rPr>
      </w:pPr>
      <w:r>
        <w:rPr>
          <w:rFonts w:hint="eastAsia" w:ascii="宋体" w:hAnsi="宋体" w:cs="宋体"/>
          <w:bCs/>
          <w:sz w:val="24"/>
        </w:rPr>
        <w:t>（6）依据《基金合同》及有关法律规定监督基金托管人，如认为基金托管人违反了《基金合同》及国家有关法律规定，应呈报中国证监会和其他监管部门，并采取必要措施保护基金投资者的利益；</w:t>
      </w:r>
    </w:p>
    <w:p>
      <w:pPr>
        <w:spacing w:line="360" w:lineRule="auto"/>
        <w:ind w:firstLine="480" w:firstLineChars="200"/>
        <w:rPr>
          <w:rFonts w:ascii="宋体" w:hAnsi="宋体" w:cs="宋体"/>
          <w:bCs/>
          <w:sz w:val="24"/>
        </w:rPr>
      </w:pPr>
      <w:r>
        <w:rPr>
          <w:rFonts w:hint="eastAsia" w:ascii="宋体" w:hAnsi="宋体" w:cs="宋体"/>
          <w:bCs/>
          <w:sz w:val="24"/>
        </w:rPr>
        <w:t>（7）在基金托管人更换时，提名新的基金托管人；</w:t>
      </w:r>
    </w:p>
    <w:p>
      <w:pPr>
        <w:spacing w:line="440" w:lineRule="atLeast"/>
        <w:ind w:firstLine="480" w:firstLineChars="200"/>
        <w:rPr>
          <w:rFonts w:ascii="宋体" w:hAnsi="宋体" w:cs="宋体"/>
          <w:bCs/>
          <w:sz w:val="24"/>
        </w:rPr>
      </w:pPr>
      <w:r>
        <w:rPr>
          <w:rFonts w:hint="eastAsia" w:ascii="宋体" w:hAnsi="宋体" w:cs="宋体"/>
          <w:bCs/>
          <w:sz w:val="24"/>
        </w:rPr>
        <w:t xml:space="preserve">（8）选择、更换基金销售机构，对基金销售机构的相关行为进行监督和处理； </w:t>
      </w:r>
    </w:p>
    <w:p>
      <w:pPr>
        <w:spacing w:line="440" w:lineRule="atLeast"/>
        <w:ind w:firstLine="480" w:firstLineChars="200"/>
        <w:rPr>
          <w:rFonts w:ascii="宋体" w:hAnsi="宋体" w:cs="宋体"/>
          <w:bCs/>
          <w:sz w:val="24"/>
        </w:rPr>
      </w:pPr>
      <w:r>
        <w:rPr>
          <w:rFonts w:hint="eastAsia" w:ascii="宋体" w:hAnsi="宋体" w:cs="宋体"/>
          <w:bCs/>
          <w:sz w:val="24"/>
        </w:rPr>
        <w:t xml:space="preserve">（9）担任或委托其他符合条件的机构担任基金登记机构办理基金登记业务并获得《基金合同》规定的费用； </w:t>
      </w:r>
    </w:p>
    <w:p>
      <w:pPr>
        <w:spacing w:line="440" w:lineRule="atLeast"/>
        <w:ind w:firstLine="480" w:firstLineChars="200"/>
        <w:rPr>
          <w:rFonts w:ascii="宋体" w:hAnsi="宋体" w:cs="宋体"/>
          <w:bCs/>
          <w:sz w:val="24"/>
        </w:rPr>
      </w:pPr>
      <w:r>
        <w:rPr>
          <w:rFonts w:hint="eastAsia" w:ascii="宋体" w:hAnsi="宋体" w:cs="宋体"/>
          <w:bCs/>
          <w:sz w:val="24"/>
        </w:rPr>
        <w:t>（10）依据《基金合同》及有关法律规定决定基金收益的分配方案；</w:t>
      </w:r>
      <w:r>
        <w:rPr>
          <w:rFonts w:hint="eastAsia" w:ascii="宋体" w:hAnsi="宋体" w:cs="宋体"/>
          <w:bCs/>
          <w:sz w:val="24"/>
        </w:rPr>
        <w:tab/>
      </w:r>
    </w:p>
    <w:p>
      <w:pPr>
        <w:spacing w:line="440" w:lineRule="atLeast"/>
        <w:ind w:firstLine="480" w:firstLineChars="200"/>
        <w:rPr>
          <w:rFonts w:ascii="宋体" w:hAnsi="宋体" w:cs="宋体"/>
          <w:bCs/>
          <w:sz w:val="24"/>
        </w:rPr>
      </w:pPr>
      <w:r>
        <w:rPr>
          <w:rFonts w:hint="eastAsia" w:ascii="宋体" w:hAnsi="宋体" w:cs="宋体"/>
          <w:bCs/>
          <w:sz w:val="24"/>
        </w:rPr>
        <w:t>（11）依照法律法规为基金的利益对被投资公司行使</w:t>
      </w:r>
      <w:r>
        <w:rPr>
          <w:rFonts w:ascii="宋体" w:hAnsi="宋体" w:cs="宋体"/>
          <w:bCs/>
          <w:sz w:val="24"/>
        </w:rPr>
        <w:t>相关</w:t>
      </w:r>
      <w:r>
        <w:rPr>
          <w:rFonts w:hint="eastAsia" w:ascii="宋体" w:hAnsi="宋体" w:cs="宋体"/>
          <w:bCs/>
          <w:sz w:val="24"/>
        </w:rPr>
        <w:t>权利，为基金的利益行使因基金财产投资于证券所产生的权利；</w:t>
      </w:r>
    </w:p>
    <w:p>
      <w:pPr>
        <w:spacing w:line="440" w:lineRule="atLeast"/>
        <w:ind w:firstLine="480" w:firstLineChars="200"/>
        <w:rPr>
          <w:rFonts w:ascii="宋体" w:hAnsi="宋体" w:cs="宋体"/>
          <w:bCs/>
          <w:sz w:val="24"/>
        </w:rPr>
      </w:pPr>
      <w:r>
        <w:rPr>
          <w:rFonts w:hint="eastAsia" w:ascii="宋体" w:hAnsi="宋体" w:cs="宋体"/>
          <w:bCs/>
          <w:sz w:val="24"/>
        </w:rPr>
        <w:t xml:space="preserve">（12）在法律法规允许的前提下，为基金的利益依法为基金进行融资； </w:t>
      </w:r>
    </w:p>
    <w:p>
      <w:pPr>
        <w:spacing w:line="440" w:lineRule="atLeast"/>
        <w:ind w:firstLine="480" w:firstLineChars="200"/>
        <w:rPr>
          <w:rFonts w:ascii="宋体" w:hAnsi="宋体" w:cs="宋体"/>
          <w:bCs/>
          <w:sz w:val="24"/>
        </w:rPr>
      </w:pPr>
      <w:r>
        <w:rPr>
          <w:rFonts w:hint="eastAsia" w:ascii="宋体" w:hAnsi="宋体" w:cs="宋体"/>
          <w:bCs/>
          <w:sz w:val="24"/>
        </w:rPr>
        <w:t>（13）以基金管理人的名义，代表基金份额持有人的利益行使诉讼权利或者实施其他法律行为；</w:t>
      </w:r>
      <w:r>
        <w:rPr>
          <w:rFonts w:hint="eastAsia" w:ascii="宋体" w:hAnsi="宋体" w:cs="宋体"/>
          <w:bCs/>
          <w:sz w:val="24"/>
        </w:rPr>
        <w:tab/>
      </w:r>
    </w:p>
    <w:p>
      <w:pPr>
        <w:spacing w:line="440" w:lineRule="atLeast"/>
        <w:ind w:firstLine="480" w:firstLineChars="200"/>
        <w:rPr>
          <w:rFonts w:ascii="宋体" w:hAnsi="宋体" w:cs="宋体"/>
          <w:bCs/>
          <w:sz w:val="24"/>
        </w:rPr>
      </w:pPr>
      <w:r>
        <w:rPr>
          <w:rFonts w:hint="eastAsia" w:ascii="宋体" w:hAnsi="宋体" w:cs="宋体"/>
          <w:bCs/>
          <w:sz w:val="24"/>
        </w:rPr>
        <w:t>（14）选择、更换律师事务所、会计师事务所、</w:t>
      </w:r>
      <w:r>
        <w:rPr>
          <w:rFonts w:hint="eastAsia" w:ascii="宋体" w:hAnsi="宋体" w:cs="宋体"/>
          <w:bCs/>
          <w:sz w:val="24"/>
          <w:szCs w:val="24"/>
        </w:rPr>
        <w:t>证券经纪商</w:t>
      </w:r>
      <w:r>
        <w:rPr>
          <w:rFonts w:hint="eastAsia" w:ascii="宋体" w:hAnsi="宋体" w:cs="宋体"/>
          <w:bCs/>
          <w:sz w:val="24"/>
        </w:rPr>
        <w:t>或其他为基金提供服务的外部机构；</w:t>
      </w:r>
      <w:r>
        <w:rPr>
          <w:rFonts w:hint="eastAsia" w:ascii="宋体" w:hAnsi="宋体" w:cs="宋体"/>
          <w:bCs/>
          <w:sz w:val="24"/>
        </w:rPr>
        <w:tab/>
      </w:r>
    </w:p>
    <w:p>
      <w:pPr>
        <w:spacing w:line="440" w:lineRule="atLeast"/>
        <w:ind w:firstLine="480" w:firstLineChars="200"/>
        <w:rPr>
          <w:rFonts w:ascii="宋体" w:hAnsi="宋体" w:cs="宋体"/>
          <w:bCs/>
          <w:sz w:val="24"/>
        </w:rPr>
      </w:pPr>
      <w:r>
        <w:rPr>
          <w:rFonts w:hint="eastAsia" w:ascii="宋体" w:hAnsi="宋体" w:cs="宋体"/>
          <w:bCs/>
          <w:sz w:val="24"/>
        </w:rPr>
        <w:t>（15）在符合有关法律、法规的前提下，制订和调整有关基金认购、非交易过户等业务规则；</w:t>
      </w:r>
    </w:p>
    <w:p>
      <w:pPr>
        <w:spacing w:line="440" w:lineRule="atLeast"/>
        <w:ind w:firstLine="480" w:firstLineChars="200"/>
        <w:rPr>
          <w:rFonts w:ascii="宋体" w:hAnsi="宋体" w:cs="宋体"/>
          <w:bCs/>
          <w:sz w:val="24"/>
        </w:rPr>
      </w:pPr>
      <w:r>
        <w:rPr>
          <w:rFonts w:hint="eastAsia" w:ascii="宋体" w:hAnsi="宋体" w:cs="宋体"/>
          <w:bCs/>
          <w:sz w:val="24"/>
        </w:rPr>
        <w:t>（16）法律法规及中国证监会规定的和《基金合同》约定的其他权利。</w:t>
      </w:r>
    </w:p>
    <w:p>
      <w:pPr>
        <w:spacing w:line="440" w:lineRule="atLeast"/>
        <w:ind w:firstLine="480" w:firstLineChars="200"/>
        <w:rPr>
          <w:rFonts w:ascii="宋体" w:hAnsi="宋体" w:cs="宋体"/>
          <w:bCs/>
          <w:sz w:val="24"/>
        </w:rPr>
      </w:pPr>
      <w:r>
        <w:rPr>
          <w:rFonts w:hint="eastAsia" w:ascii="宋体" w:hAnsi="宋体" w:cs="宋体"/>
          <w:bCs/>
          <w:sz w:val="24"/>
        </w:rPr>
        <w:t>2、根据《基金法》、《运作办法》及其他有关规定，基金管理人的义务包括但不限于：</w:t>
      </w:r>
    </w:p>
    <w:p>
      <w:pPr>
        <w:spacing w:line="440" w:lineRule="atLeast"/>
        <w:ind w:firstLine="480" w:firstLineChars="200"/>
        <w:rPr>
          <w:rFonts w:ascii="宋体" w:hAnsi="宋体" w:cs="宋体"/>
          <w:bCs/>
          <w:sz w:val="24"/>
        </w:rPr>
      </w:pPr>
      <w:bookmarkStart w:id="191" w:name="_Toc523711669"/>
      <w:r>
        <w:rPr>
          <w:rFonts w:hint="eastAsia" w:ascii="宋体" w:hAnsi="宋体" w:cs="宋体"/>
          <w:bCs/>
          <w:sz w:val="24"/>
        </w:rPr>
        <w:t>（1）依法募集资金，办理或者委托经中国证监会认定的其他机构代为办理基金份额的发售和登记事宜；</w:t>
      </w:r>
    </w:p>
    <w:p>
      <w:pPr>
        <w:spacing w:line="440" w:lineRule="atLeast"/>
        <w:ind w:firstLine="480" w:firstLineChars="200"/>
        <w:rPr>
          <w:rFonts w:ascii="宋体" w:hAnsi="宋体" w:cs="宋体"/>
          <w:bCs/>
          <w:sz w:val="24"/>
        </w:rPr>
      </w:pPr>
      <w:r>
        <w:rPr>
          <w:rFonts w:hint="eastAsia" w:ascii="宋体" w:hAnsi="宋体" w:cs="宋体"/>
          <w:bCs/>
          <w:sz w:val="24"/>
        </w:rPr>
        <w:t>（2）办理基金备案手续；</w:t>
      </w:r>
    </w:p>
    <w:p>
      <w:pPr>
        <w:spacing w:line="440" w:lineRule="atLeast"/>
        <w:ind w:firstLine="480" w:firstLineChars="200"/>
        <w:rPr>
          <w:rFonts w:ascii="宋体" w:hAnsi="宋体" w:cs="宋体"/>
          <w:bCs/>
          <w:sz w:val="24"/>
        </w:rPr>
      </w:pPr>
      <w:r>
        <w:rPr>
          <w:rFonts w:hint="eastAsia" w:ascii="宋体" w:hAnsi="宋体" w:cs="宋体"/>
          <w:bCs/>
          <w:sz w:val="24"/>
        </w:rPr>
        <w:t>（3）自《基金合同》生效之日起,以诚实信用、谨慎勤勉的原则管理和运用基金财产；</w:t>
      </w:r>
    </w:p>
    <w:p>
      <w:pPr>
        <w:spacing w:line="440" w:lineRule="atLeast"/>
        <w:ind w:firstLine="480" w:firstLineChars="200"/>
        <w:rPr>
          <w:rFonts w:ascii="宋体" w:hAnsi="宋体" w:cs="宋体"/>
          <w:bCs/>
          <w:sz w:val="24"/>
        </w:rPr>
      </w:pPr>
      <w:r>
        <w:rPr>
          <w:rFonts w:hint="eastAsia" w:ascii="宋体" w:hAnsi="宋体" w:cs="宋体"/>
          <w:bCs/>
          <w:sz w:val="24"/>
        </w:rPr>
        <w:t>（4）配备足够的具有专业资格的人员进行基金投资分析、决策，以专业化的经营方式管理和运作基金财产；</w:t>
      </w:r>
    </w:p>
    <w:p>
      <w:pPr>
        <w:spacing w:line="440" w:lineRule="atLeast"/>
        <w:ind w:firstLine="480" w:firstLineChars="200"/>
        <w:rPr>
          <w:rFonts w:ascii="宋体" w:hAnsi="宋体" w:cs="宋体"/>
          <w:bCs/>
          <w:sz w:val="24"/>
        </w:rPr>
      </w:pPr>
      <w:r>
        <w:rPr>
          <w:rFonts w:hint="eastAsia" w:ascii="宋体" w:hAnsi="宋体" w:cs="宋体"/>
          <w:bCs/>
          <w:sz w:val="24"/>
        </w:rPr>
        <w:t>（5）建立健全内部风险控制、监察与稽核、财务管理及人事管理等制度，保证所管理的基金财产和基金管理人的财产相互独立,对所管理的不同基金分别管理，分别记账，进行证券投资；</w:t>
      </w:r>
    </w:p>
    <w:p>
      <w:pPr>
        <w:spacing w:line="360" w:lineRule="auto"/>
        <w:ind w:firstLine="480" w:firstLineChars="200"/>
        <w:rPr>
          <w:rFonts w:ascii="宋体" w:hAnsi="宋体" w:cs="宋体"/>
          <w:bCs/>
          <w:sz w:val="24"/>
        </w:rPr>
      </w:pPr>
      <w:r>
        <w:rPr>
          <w:rFonts w:hint="eastAsia" w:ascii="宋体" w:hAnsi="宋体" w:cs="宋体"/>
          <w:bCs/>
          <w:sz w:val="24"/>
        </w:rPr>
        <w:t>（6）除依据《基金法》、《基金合同》及其他有关规定外,不得利用基金财产为自己及任何第三人谋取利益，不得委托第三人运作基金财产；</w:t>
      </w:r>
      <w:bookmarkStart w:id="192" w:name="_Hlt88897298"/>
      <w:bookmarkEnd w:id="192"/>
    </w:p>
    <w:p>
      <w:pPr>
        <w:spacing w:line="360" w:lineRule="auto"/>
        <w:ind w:firstLine="480" w:firstLineChars="200"/>
        <w:rPr>
          <w:rFonts w:ascii="宋体" w:hAnsi="宋体" w:cs="宋体"/>
          <w:bCs/>
          <w:sz w:val="24"/>
        </w:rPr>
      </w:pPr>
      <w:r>
        <w:rPr>
          <w:rFonts w:hint="eastAsia" w:ascii="宋体" w:hAnsi="宋体" w:cs="宋体"/>
          <w:bCs/>
          <w:sz w:val="24"/>
        </w:rPr>
        <w:t>（7）依法接受基金托管人的监督；</w:t>
      </w:r>
    </w:p>
    <w:p>
      <w:pPr>
        <w:spacing w:line="360" w:lineRule="auto"/>
        <w:ind w:firstLine="480" w:firstLineChars="200"/>
        <w:rPr>
          <w:rFonts w:ascii="宋体" w:hAnsi="宋体" w:cs="宋体"/>
          <w:bCs/>
          <w:sz w:val="24"/>
        </w:rPr>
      </w:pPr>
      <w:r>
        <w:rPr>
          <w:rFonts w:hint="eastAsia" w:ascii="宋体" w:hAnsi="宋体" w:cs="宋体"/>
          <w:bCs/>
          <w:sz w:val="24"/>
        </w:rPr>
        <w:t>（8）采取适当合理的措施使计算基金份额认购和注销价格的方法符合《基金合同》等法律文件的规定，按有关规定计算并公告基金净值</w:t>
      </w:r>
      <w:r>
        <w:rPr>
          <w:rFonts w:hint="eastAsia" w:ascii="宋体" w:hAnsi="宋体" w:cs="宋体"/>
          <w:sz w:val="24"/>
        </w:rPr>
        <w:t>信息</w:t>
      </w:r>
      <w:r>
        <w:rPr>
          <w:rFonts w:hint="eastAsia" w:ascii="宋体" w:hAnsi="宋体" w:cs="宋体"/>
          <w:bCs/>
          <w:sz w:val="24"/>
        </w:rPr>
        <w:t>；</w:t>
      </w:r>
    </w:p>
    <w:p>
      <w:pPr>
        <w:spacing w:line="360" w:lineRule="auto"/>
        <w:ind w:firstLine="480" w:firstLineChars="200"/>
        <w:rPr>
          <w:rFonts w:ascii="宋体" w:hAnsi="宋体" w:cs="宋体"/>
          <w:bCs/>
          <w:sz w:val="24"/>
        </w:rPr>
      </w:pPr>
      <w:r>
        <w:rPr>
          <w:rFonts w:hint="eastAsia" w:ascii="宋体" w:hAnsi="宋体" w:cs="宋体"/>
          <w:bCs/>
          <w:sz w:val="24"/>
        </w:rPr>
        <w:t>（9）进行基金会计核算并编制基金财务会计报告；</w:t>
      </w:r>
    </w:p>
    <w:p>
      <w:pPr>
        <w:spacing w:line="360" w:lineRule="auto"/>
        <w:ind w:firstLine="480" w:firstLineChars="200"/>
        <w:rPr>
          <w:rFonts w:ascii="宋体" w:hAnsi="宋体" w:cs="宋体"/>
          <w:bCs/>
          <w:sz w:val="24"/>
        </w:rPr>
      </w:pPr>
      <w:r>
        <w:rPr>
          <w:rFonts w:hint="eastAsia" w:ascii="宋体" w:hAnsi="宋体" w:cs="宋体"/>
          <w:bCs/>
          <w:sz w:val="24"/>
        </w:rPr>
        <w:t>（10）</w:t>
      </w:r>
      <w:r>
        <w:rPr>
          <w:rFonts w:hint="eastAsia" w:ascii="宋体" w:hAnsi="宋体" w:cs="宋体"/>
          <w:sz w:val="24"/>
        </w:rPr>
        <w:t>编制季度报告、中期报告和年度基金报告</w:t>
      </w:r>
      <w:r>
        <w:rPr>
          <w:rFonts w:hint="eastAsia" w:ascii="宋体" w:hAnsi="宋体" w:cs="宋体"/>
          <w:bCs/>
          <w:sz w:val="24"/>
        </w:rPr>
        <w:t>；</w:t>
      </w:r>
    </w:p>
    <w:p>
      <w:pPr>
        <w:spacing w:line="360" w:lineRule="auto"/>
        <w:ind w:firstLine="480" w:firstLineChars="200"/>
        <w:rPr>
          <w:rFonts w:ascii="宋体" w:hAnsi="宋体" w:cs="宋体"/>
          <w:bCs/>
          <w:sz w:val="24"/>
        </w:rPr>
      </w:pPr>
      <w:r>
        <w:rPr>
          <w:rFonts w:hint="eastAsia" w:ascii="宋体" w:hAnsi="宋体" w:cs="宋体"/>
          <w:bCs/>
          <w:sz w:val="24"/>
        </w:rPr>
        <w:t>（11）</w:t>
      </w:r>
      <w:r>
        <w:rPr>
          <w:rFonts w:hint="eastAsia" w:ascii="宋体" w:hAnsi="宋体" w:cs="宋体"/>
          <w:bCs/>
          <w:sz w:val="24"/>
        </w:rPr>
        <w:tab/>
      </w:r>
      <w:r>
        <w:rPr>
          <w:rFonts w:hint="eastAsia" w:ascii="宋体" w:hAnsi="宋体" w:cs="宋体"/>
          <w:bCs/>
          <w:sz w:val="24"/>
        </w:rPr>
        <w:t>严格按照《基金法》、《基金合同》及其他有关规定，履行信息披露及报告义务；</w:t>
      </w:r>
    </w:p>
    <w:p>
      <w:pPr>
        <w:spacing w:line="360" w:lineRule="auto"/>
        <w:ind w:firstLine="480" w:firstLineChars="200"/>
        <w:rPr>
          <w:rFonts w:ascii="宋体" w:hAnsi="宋体" w:cs="宋体"/>
          <w:bCs/>
          <w:sz w:val="24"/>
        </w:rPr>
      </w:pPr>
      <w:r>
        <w:rPr>
          <w:rFonts w:hint="eastAsia" w:ascii="宋体" w:hAnsi="宋体" w:cs="宋体"/>
          <w:bCs/>
          <w:sz w:val="24"/>
        </w:rPr>
        <w:t>（12）保守基金商业秘密，不泄露基金投资计划、投资意向等。除《基金法》、《基金合同》及其他有关规定另有规定外，在基金信息公开披露前应予保密，不向他人泄露，但向监管机构、司法机关提供或向审计、法律等外部专业顾问提供的除外；</w:t>
      </w:r>
    </w:p>
    <w:p>
      <w:pPr>
        <w:spacing w:line="360" w:lineRule="auto"/>
        <w:ind w:firstLine="480" w:firstLineChars="200"/>
        <w:rPr>
          <w:rFonts w:ascii="宋体" w:hAnsi="宋体" w:cs="宋体"/>
          <w:bCs/>
          <w:sz w:val="24"/>
        </w:rPr>
      </w:pPr>
      <w:r>
        <w:rPr>
          <w:rFonts w:hint="eastAsia" w:ascii="宋体" w:hAnsi="宋体" w:cs="宋体"/>
          <w:bCs/>
          <w:sz w:val="24"/>
        </w:rPr>
        <w:t>（13）按《基金合同》的约定确定基金收益分配方案，及时向基金份额持有人分配基金收益；</w:t>
      </w:r>
    </w:p>
    <w:p>
      <w:pPr>
        <w:spacing w:line="360" w:lineRule="auto"/>
        <w:ind w:firstLine="480" w:firstLineChars="200"/>
        <w:rPr>
          <w:rFonts w:ascii="宋体" w:hAnsi="宋体" w:cs="宋体"/>
          <w:bCs/>
          <w:sz w:val="24"/>
        </w:rPr>
      </w:pPr>
      <w:r>
        <w:rPr>
          <w:rFonts w:hint="eastAsia" w:ascii="宋体" w:hAnsi="宋体" w:cs="宋体"/>
          <w:bCs/>
          <w:sz w:val="24"/>
        </w:rPr>
        <w:t>（14）依据《基金法》、《基金合同》及其他有关规定召集基金份额持有人大会或配合基金托管人、基金份额持有人依法召集基金份额持有人大会；</w:t>
      </w:r>
    </w:p>
    <w:p>
      <w:pPr>
        <w:spacing w:line="360" w:lineRule="auto"/>
        <w:ind w:firstLine="480" w:firstLineChars="200"/>
        <w:rPr>
          <w:rFonts w:ascii="宋体" w:hAnsi="宋体" w:cs="宋体"/>
          <w:bCs/>
          <w:sz w:val="24"/>
        </w:rPr>
      </w:pPr>
      <w:r>
        <w:rPr>
          <w:rFonts w:hint="eastAsia" w:ascii="宋体" w:hAnsi="宋体" w:cs="宋体"/>
          <w:bCs/>
          <w:sz w:val="24"/>
        </w:rPr>
        <w:t>（15）按规定保存基金财产管理业务活动的会计账册、报表、记录和其他相关资料，保存期限不低于法律法规规定的最低期限；</w:t>
      </w:r>
    </w:p>
    <w:p>
      <w:pPr>
        <w:spacing w:line="360" w:lineRule="auto"/>
        <w:ind w:firstLine="480" w:firstLineChars="200"/>
        <w:rPr>
          <w:rFonts w:ascii="宋体" w:hAnsi="宋体" w:cs="宋体"/>
          <w:bCs/>
          <w:sz w:val="24"/>
        </w:rPr>
      </w:pPr>
      <w:r>
        <w:rPr>
          <w:rFonts w:hint="eastAsia" w:ascii="宋体" w:hAnsi="宋体" w:cs="宋体"/>
          <w:bCs/>
          <w:sz w:val="24"/>
        </w:rPr>
        <w:t>（16）确保需要向基金投资者提供的各项文件或资料在规定时间发出，并且保证投资者能够按照《基金合同》规定的时间和方式，随时查阅到与基金有关的公开资料，并在支付合理成本的条件下得到有关资料的复印件；</w:t>
      </w:r>
    </w:p>
    <w:p>
      <w:pPr>
        <w:spacing w:line="360" w:lineRule="auto"/>
        <w:ind w:firstLine="480" w:firstLineChars="200"/>
        <w:rPr>
          <w:rFonts w:ascii="宋体" w:hAnsi="宋体" w:cs="宋体"/>
          <w:bCs/>
          <w:sz w:val="24"/>
        </w:rPr>
      </w:pPr>
      <w:r>
        <w:rPr>
          <w:rFonts w:hint="eastAsia" w:ascii="宋体" w:hAnsi="宋体" w:cs="宋体"/>
          <w:bCs/>
          <w:sz w:val="24"/>
        </w:rPr>
        <w:t>（17）组织并参加基金财产清算小组,参与基金财产的保管、清理、估价、变现和分配；</w:t>
      </w:r>
    </w:p>
    <w:p>
      <w:pPr>
        <w:spacing w:line="360" w:lineRule="auto"/>
        <w:ind w:firstLine="480" w:firstLineChars="200"/>
        <w:rPr>
          <w:rFonts w:ascii="宋体" w:hAnsi="宋体" w:cs="宋体"/>
          <w:bCs/>
          <w:sz w:val="24"/>
        </w:rPr>
      </w:pPr>
      <w:r>
        <w:rPr>
          <w:rFonts w:hint="eastAsia" w:ascii="宋体" w:hAnsi="宋体" w:cs="宋体"/>
          <w:bCs/>
          <w:sz w:val="24"/>
        </w:rPr>
        <w:t>（18）面临解散、依法被撤销或者被依法宣告破产时，及时报告中国证监会并通知基金托管人；</w:t>
      </w:r>
    </w:p>
    <w:p>
      <w:pPr>
        <w:spacing w:line="360" w:lineRule="auto"/>
        <w:ind w:firstLine="480" w:firstLineChars="200"/>
        <w:rPr>
          <w:rFonts w:ascii="宋体" w:hAnsi="宋体" w:cs="宋体"/>
          <w:bCs/>
          <w:sz w:val="24"/>
        </w:rPr>
      </w:pPr>
      <w:r>
        <w:rPr>
          <w:rFonts w:hint="eastAsia" w:ascii="宋体" w:hAnsi="宋体" w:cs="宋体"/>
          <w:bCs/>
          <w:sz w:val="24"/>
        </w:rPr>
        <w:t>（19）因违反《基金合同》导致基金财产的损失或损害基金份额持有人合法权益时，应当承担赔偿责任，其赔偿责任不因其退任而免除；</w:t>
      </w:r>
    </w:p>
    <w:p>
      <w:pPr>
        <w:spacing w:line="360" w:lineRule="auto"/>
        <w:ind w:firstLine="480" w:firstLineChars="200"/>
        <w:rPr>
          <w:rFonts w:ascii="宋体" w:hAnsi="宋体" w:cs="宋体"/>
          <w:bCs/>
          <w:sz w:val="24"/>
        </w:rPr>
      </w:pPr>
      <w:r>
        <w:rPr>
          <w:rFonts w:hint="eastAsia" w:ascii="宋体" w:hAnsi="宋体" w:cs="宋体"/>
          <w:bCs/>
          <w:sz w:val="24"/>
        </w:rPr>
        <w:t>（20）监督基金托管人按法律法规和《基金合同》规定履行自己的义务，基金托管人违反《基金合同》造成基金财产损失时，基金管理人应为基金份额持有人利益向基金托管人追偿；</w:t>
      </w:r>
    </w:p>
    <w:p>
      <w:pPr>
        <w:spacing w:line="360" w:lineRule="auto"/>
        <w:ind w:firstLine="480" w:firstLineChars="200"/>
        <w:rPr>
          <w:rFonts w:ascii="宋体" w:hAnsi="宋体" w:cs="宋体"/>
          <w:bCs/>
          <w:sz w:val="24"/>
        </w:rPr>
      </w:pPr>
      <w:r>
        <w:rPr>
          <w:rFonts w:hint="eastAsia" w:ascii="宋体" w:hAnsi="宋体" w:cs="宋体"/>
          <w:bCs/>
          <w:sz w:val="24"/>
        </w:rPr>
        <w:t>（21）当基金管理人将其义务委托第三方处理时，应当对第三方处理有关基金事务的行为承担责任；</w:t>
      </w:r>
    </w:p>
    <w:p>
      <w:pPr>
        <w:spacing w:line="360" w:lineRule="auto"/>
        <w:ind w:firstLine="480" w:firstLineChars="200"/>
        <w:rPr>
          <w:rFonts w:ascii="宋体" w:hAnsi="宋体" w:cs="宋体"/>
          <w:bCs/>
          <w:sz w:val="24"/>
        </w:rPr>
      </w:pPr>
      <w:r>
        <w:rPr>
          <w:rFonts w:hint="eastAsia" w:ascii="宋体" w:hAnsi="宋体" w:cs="宋体"/>
          <w:bCs/>
          <w:sz w:val="24"/>
        </w:rPr>
        <w:t>（22）以基金管理人名义，代表基金份额持有人利益行使诉讼权利或实施其他法律行为；</w:t>
      </w:r>
      <w:r>
        <w:rPr>
          <w:rFonts w:hint="eastAsia" w:ascii="宋体" w:hAnsi="宋体" w:cs="宋体"/>
          <w:bCs/>
          <w:sz w:val="24"/>
        </w:rPr>
        <w:tab/>
      </w:r>
    </w:p>
    <w:p>
      <w:pPr>
        <w:spacing w:line="360" w:lineRule="auto"/>
        <w:ind w:firstLine="480" w:firstLineChars="200"/>
        <w:rPr>
          <w:rFonts w:ascii="宋体" w:hAnsi="宋体" w:cs="宋体"/>
          <w:bCs/>
          <w:sz w:val="24"/>
        </w:rPr>
      </w:pPr>
      <w:r>
        <w:rPr>
          <w:rFonts w:hint="eastAsia" w:ascii="宋体" w:hAnsi="宋体" w:cs="宋体"/>
          <w:bCs/>
          <w:sz w:val="24"/>
        </w:rPr>
        <w:t>（23）基金管理人在募集期间未能达到基金</w:t>
      </w:r>
      <w:bookmarkStart w:id="193" w:name="_Hlt88823209"/>
      <w:bookmarkEnd w:id="193"/>
      <w:r>
        <w:rPr>
          <w:rFonts w:hint="eastAsia" w:ascii="宋体" w:hAnsi="宋体" w:cs="宋体"/>
          <w:bCs/>
          <w:sz w:val="24"/>
        </w:rPr>
        <w:t>的备案条件，《基金合同》不能生效，基金管理人承担全部募集费用，将已募集资金并加计银行同期活期存款利息在基金募集期结束后30日内退还基金认购人；</w:t>
      </w:r>
    </w:p>
    <w:p>
      <w:pPr>
        <w:spacing w:line="360" w:lineRule="auto"/>
        <w:ind w:firstLine="480" w:firstLineChars="200"/>
        <w:rPr>
          <w:rFonts w:ascii="宋体" w:hAnsi="宋体" w:cs="宋体"/>
          <w:bCs/>
          <w:sz w:val="24"/>
        </w:rPr>
      </w:pPr>
      <w:r>
        <w:rPr>
          <w:rFonts w:hint="eastAsia" w:ascii="宋体" w:hAnsi="宋体" w:cs="宋体"/>
          <w:bCs/>
          <w:sz w:val="24"/>
        </w:rPr>
        <w:t>（24）执行生效的基金份额持有人大会的决议；</w:t>
      </w:r>
    </w:p>
    <w:p>
      <w:pPr>
        <w:spacing w:line="360" w:lineRule="auto"/>
        <w:ind w:firstLine="480" w:firstLineChars="200"/>
        <w:rPr>
          <w:rFonts w:ascii="宋体" w:hAnsi="宋体" w:cs="宋体"/>
          <w:bCs/>
          <w:sz w:val="24"/>
        </w:rPr>
      </w:pPr>
      <w:r>
        <w:rPr>
          <w:rFonts w:hint="eastAsia" w:ascii="宋体" w:hAnsi="宋体" w:cs="宋体"/>
          <w:bCs/>
          <w:sz w:val="24"/>
        </w:rPr>
        <w:t>（25）建立并保存基金份额持有人名册；</w:t>
      </w:r>
    </w:p>
    <w:p>
      <w:pPr>
        <w:spacing w:line="360" w:lineRule="auto"/>
        <w:ind w:firstLine="480" w:firstLineChars="200"/>
        <w:rPr>
          <w:rFonts w:ascii="宋体" w:hAnsi="宋体" w:cs="宋体"/>
          <w:bCs/>
          <w:sz w:val="24"/>
        </w:rPr>
      </w:pPr>
      <w:r>
        <w:rPr>
          <w:rFonts w:hint="eastAsia" w:ascii="宋体" w:hAnsi="宋体" w:cs="宋体"/>
          <w:bCs/>
          <w:sz w:val="24"/>
        </w:rPr>
        <w:t>（26）法律法规及中国证监会规定的和《基金合同》约定的其他义务。</w:t>
      </w:r>
    </w:p>
    <w:p>
      <w:pPr>
        <w:spacing w:line="360" w:lineRule="auto"/>
        <w:ind w:firstLine="480" w:firstLineChars="200"/>
        <w:rPr>
          <w:rFonts w:ascii="宋体" w:hAnsi="宋体" w:cs="宋体"/>
          <w:bCs/>
          <w:sz w:val="24"/>
        </w:rPr>
      </w:pPr>
    </w:p>
    <w:p>
      <w:pPr>
        <w:spacing w:line="360" w:lineRule="auto"/>
        <w:ind w:firstLine="482" w:firstLineChars="200"/>
        <w:rPr>
          <w:rFonts w:ascii="宋体" w:hAnsi="宋体" w:cs="宋体"/>
          <w:b/>
          <w:sz w:val="24"/>
        </w:rPr>
      </w:pPr>
      <w:bookmarkStart w:id="194" w:name="_Toc15118238"/>
      <w:bookmarkStart w:id="195" w:name="_Toc79392581"/>
      <w:bookmarkStart w:id="196" w:name="_Toc57530240"/>
      <w:r>
        <w:rPr>
          <w:rFonts w:hint="eastAsia" w:ascii="宋体" w:hAnsi="宋体" w:cs="宋体"/>
          <w:b/>
          <w:sz w:val="24"/>
        </w:rPr>
        <w:t>二、基金托管人</w:t>
      </w:r>
      <w:bookmarkEnd w:id="191"/>
      <w:bookmarkEnd w:id="194"/>
      <w:bookmarkEnd w:id="195"/>
      <w:bookmarkEnd w:id="196"/>
    </w:p>
    <w:p>
      <w:pPr>
        <w:spacing w:line="360" w:lineRule="auto"/>
        <w:ind w:firstLine="480" w:firstLineChars="200"/>
        <w:rPr>
          <w:rFonts w:ascii="宋体" w:hAnsi="宋体" w:cs="宋体"/>
          <w:bCs/>
          <w:sz w:val="24"/>
        </w:rPr>
      </w:pPr>
      <w:bookmarkStart w:id="197" w:name="_Toc15118239"/>
      <w:r>
        <w:rPr>
          <w:rFonts w:hint="eastAsia" w:ascii="宋体" w:hAnsi="宋体" w:cs="宋体"/>
          <w:bCs/>
          <w:sz w:val="24"/>
        </w:rPr>
        <w:t>（一）</w:t>
      </w:r>
      <w:r>
        <w:rPr>
          <w:rFonts w:hint="eastAsia" w:ascii="宋体" w:hAnsi="宋体" w:cs="宋体"/>
          <w:bCs/>
          <w:sz w:val="24"/>
        </w:rPr>
        <w:tab/>
      </w:r>
      <w:r>
        <w:rPr>
          <w:rFonts w:hint="eastAsia" w:ascii="宋体" w:hAnsi="宋体" w:cs="宋体"/>
          <w:bCs/>
          <w:sz w:val="24"/>
        </w:rPr>
        <w:t>基金托管人简况</w:t>
      </w:r>
      <w:bookmarkEnd w:id="197"/>
    </w:p>
    <w:p>
      <w:pPr>
        <w:spacing w:line="360" w:lineRule="auto"/>
        <w:ind w:firstLine="480" w:firstLineChars="200"/>
        <w:rPr>
          <w:rFonts w:ascii="宋体" w:hAnsi="宋体" w:cs="宋体"/>
          <w:sz w:val="24"/>
        </w:rPr>
      </w:pPr>
      <w:r>
        <w:rPr>
          <w:rFonts w:hint="eastAsia" w:ascii="宋体" w:hAnsi="宋体" w:cs="宋体"/>
          <w:sz w:val="24"/>
        </w:rPr>
        <w:t>名称：招商银行股份有限公司</w:t>
      </w:r>
    </w:p>
    <w:p>
      <w:pPr>
        <w:spacing w:line="360" w:lineRule="auto"/>
        <w:ind w:firstLine="480" w:firstLineChars="200"/>
        <w:rPr>
          <w:rFonts w:ascii="宋体" w:hAnsi="宋体" w:cs="宋体"/>
          <w:sz w:val="24"/>
        </w:rPr>
      </w:pPr>
      <w:r>
        <w:rPr>
          <w:rFonts w:hint="eastAsia" w:ascii="宋体" w:hAnsi="宋体" w:cs="宋体"/>
          <w:sz w:val="24"/>
        </w:rPr>
        <w:t>住所：深圳市深南大道7088号招商银行大厦</w:t>
      </w:r>
    </w:p>
    <w:p>
      <w:pPr>
        <w:spacing w:line="360" w:lineRule="auto"/>
        <w:ind w:firstLine="480" w:firstLineChars="200"/>
        <w:rPr>
          <w:rFonts w:ascii="宋体" w:hAnsi="宋体" w:cs="宋体"/>
          <w:sz w:val="24"/>
        </w:rPr>
      </w:pPr>
      <w:r>
        <w:rPr>
          <w:rFonts w:hint="eastAsia" w:ascii="宋体" w:hAnsi="宋体" w:cs="宋体"/>
          <w:sz w:val="24"/>
        </w:rPr>
        <w:t>法定代表人：缪建民</w:t>
      </w:r>
    </w:p>
    <w:p>
      <w:pPr>
        <w:spacing w:line="360" w:lineRule="auto"/>
        <w:ind w:firstLine="480" w:firstLineChars="200"/>
        <w:rPr>
          <w:rFonts w:ascii="宋体" w:hAnsi="宋体" w:cs="宋体"/>
          <w:sz w:val="24"/>
        </w:rPr>
      </w:pPr>
      <w:r>
        <w:rPr>
          <w:rFonts w:hint="eastAsia" w:ascii="宋体" w:hAnsi="宋体" w:cs="宋体"/>
          <w:sz w:val="24"/>
        </w:rPr>
        <w:t>成立时间：1987年3月31日</w:t>
      </w:r>
    </w:p>
    <w:p>
      <w:pPr>
        <w:spacing w:line="360" w:lineRule="auto"/>
        <w:ind w:firstLine="480" w:firstLineChars="200"/>
        <w:rPr>
          <w:rFonts w:ascii="宋体" w:hAnsi="宋体" w:cs="宋体"/>
          <w:sz w:val="24"/>
        </w:rPr>
      </w:pPr>
      <w:r>
        <w:rPr>
          <w:rFonts w:hint="eastAsia" w:ascii="宋体" w:hAnsi="宋体" w:cs="宋体"/>
          <w:sz w:val="24"/>
        </w:rPr>
        <w:t>批准</w:t>
      </w:r>
      <w:r>
        <w:rPr>
          <w:rFonts w:hint="eastAsia" w:ascii="宋体" w:hAnsi="宋体" w:cs="宋体"/>
          <w:bCs/>
          <w:sz w:val="24"/>
        </w:rPr>
        <w:t>设立机关和批准设立</w:t>
      </w:r>
      <w:r>
        <w:rPr>
          <w:rFonts w:hint="eastAsia" w:ascii="宋体" w:hAnsi="宋体" w:cs="宋体"/>
          <w:sz w:val="24"/>
        </w:rPr>
        <w:t>文号：</w:t>
      </w:r>
      <w:r>
        <w:rPr>
          <w:rFonts w:hint="eastAsia" w:ascii="宋体" w:hAnsi="宋体" w:cs="宋体"/>
          <w:bCs/>
          <w:sz w:val="24"/>
        </w:rPr>
        <w:t>中国人民银行银复</w:t>
      </w:r>
      <w:r>
        <w:rPr>
          <w:rFonts w:hint="eastAsia" w:ascii="宋体" w:hAnsi="宋体" w:cs="宋体"/>
          <w:sz w:val="24"/>
        </w:rPr>
        <w:t>字</w:t>
      </w:r>
      <w:r>
        <w:rPr>
          <w:rFonts w:hint="eastAsia" w:ascii="宋体" w:hAnsi="宋体" w:cs="宋体"/>
          <w:bCs/>
          <w:sz w:val="24"/>
        </w:rPr>
        <w:t>（1986）175</w:t>
      </w:r>
      <w:r>
        <w:rPr>
          <w:rFonts w:hint="eastAsia" w:ascii="宋体" w:hAnsi="宋体" w:cs="宋体"/>
          <w:sz w:val="24"/>
        </w:rPr>
        <w:t>号</w:t>
      </w:r>
      <w:r>
        <w:rPr>
          <w:rFonts w:hint="eastAsia" w:ascii="宋体" w:hAnsi="宋体" w:cs="宋体"/>
          <w:bCs/>
          <w:sz w:val="24"/>
        </w:rPr>
        <w:t>文、银复（1987）86号文</w:t>
      </w:r>
    </w:p>
    <w:p>
      <w:pPr>
        <w:spacing w:line="360" w:lineRule="auto"/>
        <w:ind w:firstLine="480" w:firstLineChars="200"/>
        <w:rPr>
          <w:rFonts w:ascii="宋体" w:hAnsi="宋体" w:cs="宋体"/>
          <w:sz w:val="24"/>
        </w:rPr>
      </w:pPr>
      <w:r>
        <w:rPr>
          <w:rFonts w:hint="eastAsia" w:ascii="宋体" w:hAnsi="宋体" w:cs="宋体"/>
          <w:sz w:val="24"/>
        </w:rPr>
        <w:t>组织形式：股份有限公司</w:t>
      </w:r>
    </w:p>
    <w:p>
      <w:pPr>
        <w:spacing w:line="360" w:lineRule="auto"/>
        <w:ind w:firstLine="480" w:firstLineChars="200"/>
        <w:rPr>
          <w:rFonts w:ascii="宋体" w:hAnsi="宋体" w:cs="宋体"/>
          <w:sz w:val="24"/>
        </w:rPr>
      </w:pPr>
      <w:r>
        <w:rPr>
          <w:rFonts w:hint="eastAsia" w:ascii="宋体" w:hAnsi="宋体" w:cs="宋体"/>
          <w:sz w:val="24"/>
        </w:rPr>
        <w:t>注册资本：人民币252.20亿元</w:t>
      </w:r>
    </w:p>
    <w:p>
      <w:pPr>
        <w:spacing w:line="360" w:lineRule="auto"/>
        <w:ind w:firstLine="480" w:firstLineChars="200"/>
        <w:rPr>
          <w:rFonts w:ascii="宋体" w:hAnsi="宋体" w:cs="宋体"/>
          <w:sz w:val="24"/>
        </w:rPr>
      </w:pPr>
      <w:r>
        <w:rPr>
          <w:rFonts w:hint="eastAsia" w:ascii="宋体" w:hAnsi="宋体" w:cs="宋体"/>
          <w:sz w:val="24"/>
        </w:rPr>
        <w:t>存续期间：持续经营</w:t>
      </w:r>
    </w:p>
    <w:p>
      <w:pPr>
        <w:spacing w:line="360" w:lineRule="auto"/>
        <w:ind w:firstLine="480" w:firstLineChars="200"/>
        <w:rPr>
          <w:rFonts w:ascii="宋体" w:hAnsi="宋体" w:cs="宋体"/>
          <w:sz w:val="24"/>
        </w:rPr>
      </w:pPr>
      <w:r>
        <w:rPr>
          <w:rFonts w:hint="eastAsia" w:ascii="宋体" w:hAnsi="宋体" w:cs="宋体"/>
          <w:bCs/>
          <w:sz w:val="24"/>
        </w:rPr>
        <w:t>基金托管资格批文及文号：证监基金字[2002]83号</w:t>
      </w:r>
    </w:p>
    <w:p>
      <w:pPr>
        <w:spacing w:line="360" w:lineRule="auto"/>
        <w:ind w:firstLine="480" w:firstLineChars="200"/>
        <w:rPr>
          <w:rFonts w:ascii="宋体" w:hAnsi="宋体" w:cs="宋体"/>
          <w:bCs/>
          <w:sz w:val="24"/>
        </w:rPr>
      </w:pPr>
      <w:bookmarkStart w:id="198" w:name="_Toc15118240"/>
      <w:r>
        <w:rPr>
          <w:rFonts w:hint="eastAsia" w:ascii="宋体" w:hAnsi="宋体" w:cs="宋体"/>
          <w:bCs/>
          <w:sz w:val="24"/>
        </w:rPr>
        <w:t>（二）</w:t>
      </w:r>
      <w:r>
        <w:rPr>
          <w:rFonts w:hint="eastAsia" w:ascii="宋体" w:hAnsi="宋体" w:cs="宋体"/>
          <w:bCs/>
          <w:sz w:val="24"/>
        </w:rPr>
        <w:tab/>
      </w:r>
      <w:r>
        <w:rPr>
          <w:rFonts w:hint="eastAsia" w:ascii="宋体" w:hAnsi="宋体" w:cs="宋体"/>
          <w:bCs/>
          <w:sz w:val="24"/>
        </w:rPr>
        <w:t>基金托管人的权利与义务</w:t>
      </w:r>
      <w:bookmarkEnd w:id="198"/>
    </w:p>
    <w:p>
      <w:pPr>
        <w:spacing w:line="360" w:lineRule="auto"/>
        <w:ind w:firstLine="480" w:firstLineChars="200"/>
        <w:rPr>
          <w:rFonts w:ascii="宋体" w:hAnsi="宋体" w:cs="宋体"/>
          <w:bCs/>
          <w:sz w:val="24"/>
        </w:rPr>
      </w:pPr>
      <w:r>
        <w:rPr>
          <w:rFonts w:hint="eastAsia" w:ascii="宋体" w:hAnsi="宋体" w:cs="宋体"/>
          <w:bCs/>
          <w:sz w:val="24"/>
        </w:rPr>
        <w:t>1、根据《基金法》、《运作办法》及其他有关规定，基金托管人的权利包括但不限于：</w:t>
      </w:r>
    </w:p>
    <w:p>
      <w:pPr>
        <w:spacing w:line="360" w:lineRule="auto"/>
        <w:ind w:firstLine="480" w:firstLineChars="200"/>
        <w:rPr>
          <w:rFonts w:ascii="宋体" w:hAnsi="宋体" w:cs="宋体"/>
          <w:bCs/>
          <w:sz w:val="24"/>
        </w:rPr>
      </w:pPr>
      <w:r>
        <w:rPr>
          <w:rFonts w:hint="eastAsia" w:ascii="宋体" w:hAnsi="宋体" w:cs="宋体"/>
          <w:bCs/>
          <w:sz w:val="24"/>
        </w:rPr>
        <w:t>（1）自《基金合同》生效之日起，依法律法规和《基金合同》的规定安全保管基金财产；</w:t>
      </w:r>
    </w:p>
    <w:p>
      <w:pPr>
        <w:spacing w:line="360" w:lineRule="auto"/>
        <w:ind w:firstLine="480" w:firstLineChars="200"/>
        <w:rPr>
          <w:rFonts w:ascii="宋体" w:hAnsi="宋体" w:cs="宋体"/>
          <w:bCs/>
          <w:sz w:val="24"/>
        </w:rPr>
      </w:pPr>
      <w:r>
        <w:rPr>
          <w:rFonts w:hint="eastAsia" w:ascii="宋体" w:hAnsi="宋体" w:cs="宋体"/>
          <w:bCs/>
          <w:sz w:val="24"/>
        </w:rPr>
        <w:t>（2）依《基金合同》约定获得基金托管费以及法律法规规定或监管部门批准的其他费用；</w:t>
      </w:r>
    </w:p>
    <w:p>
      <w:pPr>
        <w:spacing w:line="360" w:lineRule="auto"/>
        <w:ind w:firstLine="480" w:firstLineChars="200"/>
        <w:rPr>
          <w:rFonts w:ascii="宋体" w:hAnsi="宋体" w:cs="宋体"/>
          <w:bCs/>
          <w:sz w:val="24"/>
        </w:rPr>
      </w:pPr>
      <w:r>
        <w:rPr>
          <w:rFonts w:hint="eastAsia" w:ascii="宋体" w:hAnsi="宋体" w:cs="宋体"/>
          <w:bCs/>
          <w:sz w:val="24"/>
        </w:rPr>
        <w:t>（3）监督基金管理人对本基金的投资运作，如发现基金管理人有违反《基金合同》及国家法律法规行为，对基金财产、其他当事人的利益造成重大损失的情形，应呈报中国证监会，并采取必要措施保护基金投资者的利益；</w:t>
      </w:r>
    </w:p>
    <w:p>
      <w:pPr>
        <w:spacing w:line="360" w:lineRule="auto"/>
        <w:ind w:firstLine="480" w:firstLineChars="200"/>
        <w:rPr>
          <w:rFonts w:ascii="宋体" w:hAnsi="宋体" w:cs="宋体"/>
          <w:bCs/>
          <w:sz w:val="24"/>
        </w:rPr>
      </w:pPr>
      <w:r>
        <w:rPr>
          <w:rFonts w:hint="eastAsia" w:ascii="宋体" w:hAnsi="宋体" w:cs="宋体"/>
          <w:bCs/>
          <w:sz w:val="24"/>
        </w:rPr>
        <w:t>（4）根据相关市场规则，为基金开设资金账户、证券账户等投资所需账户，为基金办理证券交易资金清算；</w:t>
      </w:r>
    </w:p>
    <w:p>
      <w:pPr>
        <w:spacing w:line="360" w:lineRule="auto"/>
        <w:ind w:firstLine="480" w:firstLineChars="200"/>
        <w:rPr>
          <w:rFonts w:ascii="宋体" w:hAnsi="宋体" w:cs="宋体"/>
          <w:bCs/>
          <w:sz w:val="24"/>
        </w:rPr>
      </w:pPr>
      <w:r>
        <w:rPr>
          <w:rFonts w:hint="eastAsia" w:ascii="宋体" w:hAnsi="宋体" w:cs="宋体"/>
          <w:bCs/>
          <w:sz w:val="24"/>
        </w:rPr>
        <w:t>（5）提议召开或召集基金份额持有人大会；</w:t>
      </w:r>
    </w:p>
    <w:p>
      <w:pPr>
        <w:spacing w:line="360" w:lineRule="auto"/>
        <w:ind w:firstLine="480" w:firstLineChars="200"/>
        <w:rPr>
          <w:rFonts w:ascii="宋体" w:hAnsi="宋体" w:cs="宋体"/>
          <w:bCs/>
          <w:sz w:val="24"/>
        </w:rPr>
      </w:pPr>
      <w:r>
        <w:rPr>
          <w:rFonts w:hint="eastAsia" w:ascii="宋体" w:hAnsi="宋体" w:cs="宋体"/>
          <w:bCs/>
          <w:sz w:val="24"/>
        </w:rPr>
        <w:t>（6）在基金管理人更换时，提名新的基金管理人；</w:t>
      </w:r>
    </w:p>
    <w:p>
      <w:pPr>
        <w:spacing w:line="360" w:lineRule="auto"/>
        <w:ind w:firstLine="480" w:firstLineChars="200"/>
        <w:rPr>
          <w:rFonts w:ascii="宋体" w:hAnsi="宋体" w:cs="宋体"/>
          <w:bCs/>
          <w:sz w:val="24"/>
        </w:rPr>
      </w:pPr>
      <w:r>
        <w:rPr>
          <w:rFonts w:hint="eastAsia" w:ascii="宋体" w:hAnsi="宋体" w:cs="宋体"/>
          <w:bCs/>
          <w:sz w:val="24"/>
        </w:rPr>
        <w:t>（7）法律法规及中国证监会规定的和《基金合同》约定的其他权利。</w:t>
      </w:r>
    </w:p>
    <w:p>
      <w:pPr>
        <w:spacing w:line="360" w:lineRule="auto"/>
        <w:ind w:firstLine="480" w:firstLineChars="200"/>
        <w:rPr>
          <w:rFonts w:ascii="宋体" w:hAnsi="宋体" w:cs="宋体"/>
          <w:bCs/>
          <w:sz w:val="24"/>
        </w:rPr>
      </w:pPr>
      <w:r>
        <w:rPr>
          <w:rFonts w:hint="eastAsia" w:ascii="宋体" w:hAnsi="宋体" w:cs="宋体"/>
          <w:bCs/>
          <w:sz w:val="24"/>
        </w:rPr>
        <w:t>2、根据《基金法》、《运作办法》及其他有关规定，基金托管人的义务包括但不限于：</w:t>
      </w:r>
    </w:p>
    <w:p>
      <w:pPr>
        <w:spacing w:line="360" w:lineRule="auto"/>
        <w:ind w:firstLine="480" w:firstLineChars="200"/>
        <w:rPr>
          <w:rFonts w:ascii="宋体" w:hAnsi="宋体" w:cs="宋体"/>
          <w:bCs/>
          <w:sz w:val="24"/>
        </w:rPr>
      </w:pPr>
      <w:r>
        <w:rPr>
          <w:rFonts w:hint="eastAsia" w:ascii="宋体" w:hAnsi="宋体" w:cs="宋体"/>
          <w:bCs/>
          <w:sz w:val="24"/>
        </w:rPr>
        <w:t>（1）以诚实信用、勤勉尽责的原则持有并安全保管基金财产；</w:t>
      </w:r>
    </w:p>
    <w:p>
      <w:pPr>
        <w:spacing w:line="360" w:lineRule="auto"/>
        <w:ind w:firstLine="480" w:firstLineChars="200"/>
        <w:rPr>
          <w:rFonts w:ascii="宋体" w:hAnsi="宋体" w:cs="宋体"/>
          <w:bCs/>
          <w:sz w:val="24"/>
        </w:rPr>
      </w:pPr>
      <w:r>
        <w:rPr>
          <w:rFonts w:hint="eastAsia" w:ascii="宋体" w:hAnsi="宋体" w:cs="宋体"/>
          <w:bCs/>
          <w:sz w:val="24"/>
        </w:rPr>
        <w:t>（2）设立专门的基金托管部门，具有符合要求的营业场所，配备足够的、合格的熟悉基金托管业务的专职人员，负责基金财产托管事宜；</w:t>
      </w:r>
    </w:p>
    <w:p>
      <w:pPr>
        <w:spacing w:line="360" w:lineRule="auto"/>
        <w:ind w:firstLine="480" w:firstLineChars="200"/>
        <w:rPr>
          <w:rFonts w:ascii="宋体" w:hAnsi="宋体" w:cs="宋体"/>
          <w:bCs/>
          <w:sz w:val="24"/>
        </w:rPr>
      </w:pPr>
      <w:r>
        <w:rPr>
          <w:rFonts w:hint="eastAsia" w:ascii="宋体" w:hAnsi="宋体" w:cs="宋体"/>
          <w:bCs/>
          <w:sz w:val="24"/>
        </w:rPr>
        <w:t>（3）建立健全内部风险控制、监察与稽核、财务管理及人事管理等制度，确保基金财产的安全，保证其托管的基金财产与基金托管人自有财产以及不同的基金财产相互独立；对所托管的不同的基金分别设置账户，独立核算，分账管理，保证不同基金之间在账户设置、资金划拨、账册记录等方面相互独立；</w:t>
      </w:r>
    </w:p>
    <w:p>
      <w:pPr>
        <w:spacing w:line="360" w:lineRule="auto"/>
        <w:ind w:firstLine="480" w:firstLineChars="200"/>
        <w:rPr>
          <w:rFonts w:ascii="宋体" w:hAnsi="宋体" w:cs="宋体"/>
          <w:bCs/>
          <w:sz w:val="24"/>
        </w:rPr>
      </w:pPr>
      <w:r>
        <w:rPr>
          <w:rFonts w:hint="eastAsia" w:ascii="宋体" w:hAnsi="宋体" w:cs="宋体"/>
          <w:bCs/>
          <w:sz w:val="24"/>
        </w:rPr>
        <w:t>（4）除依据《基金法》、《基金合同》及其他有关规定外，不得利用基金财产为自己及任何第三人谋取利益，不得委托第三人托管基金财产；</w:t>
      </w:r>
    </w:p>
    <w:p>
      <w:pPr>
        <w:spacing w:line="360" w:lineRule="auto"/>
        <w:ind w:firstLine="480" w:firstLineChars="200"/>
        <w:rPr>
          <w:rFonts w:ascii="宋体" w:hAnsi="宋体" w:cs="宋体"/>
          <w:bCs/>
          <w:sz w:val="24"/>
        </w:rPr>
      </w:pPr>
      <w:r>
        <w:rPr>
          <w:rFonts w:hint="eastAsia" w:ascii="宋体" w:hAnsi="宋体" w:cs="宋体"/>
          <w:bCs/>
          <w:sz w:val="24"/>
        </w:rPr>
        <w:t>（5）保管由基金管理人代表基金签订的与基金有关的重大合同及有关凭证；</w:t>
      </w:r>
    </w:p>
    <w:p>
      <w:pPr>
        <w:spacing w:line="360" w:lineRule="auto"/>
        <w:ind w:firstLine="480" w:firstLineChars="200"/>
        <w:rPr>
          <w:rFonts w:ascii="宋体" w:hAnsi="宋体" w:cs="宋体"/>
          <w:bCs/>
          <w:sz w:val="24"/>
        </w:rPr>
      </w:pPr>
      <w:r>
        <w:rPr>
          <w:rFonts w:hint="eastAsia" w:ascii="宋体" w:hAnsi="宋体" w:cs="宋体"/>
          <w:bCs/>
          <w:sz w:val="24"/>
        </w:rPr>
        <w:t>（6）按规定开设基金财产的资金账户和证券账户等投资所需账户,按照《基金合同》的约定，根据基金管理人的投资指令，及时办理清算、交割事宜；</w:t>
      </w:r>
    </w:p>
    <w:p>
      <w:pPr>
        <w:spacing w:line="360" w:lineRule="auto"/>
        <w:ind w:firstLine="480" w:firstLineChars="200"/>
        <w:rPr>
          <w:rFonts w:ascii="宋体" w:hAnsi="宋体" w:cs="宋体"/>
          <w:bCs/>
          <w:sz w:val="24"/>
        </w:rPr>
      </w:pPr>
      <w:r>
        <w:rPr>
          <w:rFonts w:hint="eastAsia" w:ascii="宋体" w:hAnsi="宋体" w:cs="宋体"/>
          <w:bCs/>
          <w:sz w:val="24"/>
        </w:rPr>
        <w:t>（7）保守基金商业秘密，除《基金法》、《基金合同》及其他有关规定另有规定外，在基金信息公开披露前予以保密，不得向他人泄露，但向监管机构、司法机关等有权机关或基金托管人上市的证券交易所提供或向审计、法律等外部专业顾问提供的除外；</w:t>
      </w:r>
    </w:p>
    <w:p>
      <w:pPr>
        <w:spacing w:line="360" w:lineRule="auto"/>
        <w:ind w:firstLine="480" w:firstLineChars="200"/>
        <w:rPr>
          <w:rFonts w:ascii="宋体" w:hAnsi="宋体" w:cs="宋体"/>
          <w:bCs/>
          <w:sz w:val="24"/>
        </w:rPr>
      </w:pPr>
      <w:r>
        <w:rPr>
          <w:rFonts w:hint="eastAsia" w:ascii="宋体" w:hAnsi="宋体" w:cs="宋体"/>
          <w:bCs/>
          <w:sz w:val="24"/>
        </w:rPr>
        <w:t>（8）复核、审查基金管理人计算的基金资产净值、</w:t>
      </w:r>
      <w:r>
        <w:rPr>
          <w:rFonts w:hint="eastAsia" w:ascii="宋体" w:hAnsi="宋体" w:cs="宋体"/>
          <w:sz w:val="24"/>
        </w:rPr>
        <w:t>基金份额净值</w:t>
      </w:r>
      <w:r>
        <w:rPr>
          <w:rFonts w:hint="eastAsia" w:ascii="宋体" w:hAnsi="宋体" w:cs="宋体"/>
          <w:bCs/>
          <w:sz w:val="24"/>
        </w:rPr>
        <w:t>；</w:t>
      </w:r>
    </w:p>
    <w:p>
      <w:pPr>
        <w:spacing w:line="360" w:lineRule="auto"/>
        <w:ind w:firstLine="480" w:firstLineChars="200"/>
        <w:rPr>
          <w:rFonts w:ascii="宋体" w:hAnsi="宋体" w:cs="宋体"/>
          <w:bCs/>
          <w:sz w:val="24"/>
        </w:rPr>
      </w:pPr>
      <w:r>
        <w:rPr>
          <w:rFonts w:hint="eastAsia" w:ascii="宋体" w:hAnsi="宋体" w:cs="宋体"/>
          <w:bCs/>
          <w:sz w:val="24"/>
        </w:rPr>
        <w:t>（9）办理与基金托管业务活动有关的信息披露事项；</w:t>
      </w:r>
    </w:p>
    <w:p>
      <w:pPr>
        <w:spacing w:line="360" w:lineRule="auto"/>
        <w:ind w:firstLine="480" w:firstLineChars="200"/>
        <w:rPr>
          <w:rFonts w:ascii="宋体" w:hAnsi="宋体" w:cs="宋体"/>
          <w:bCs/>
          <w:sz w:val="24"/>
        </w:rPr>
      </w:pPr>
      <w:r>
        <w:rPr>
          <w:rFonts w:hint="eastAsia" w:ascii="宋体" w:hAnsi="宋体" w:cs="宋体"/>
          <w:bCs/>
          <w:sz w:val="24"/>
        </w:rPr>
        <w:t>（10）对基金财务会计报告、季度报告、中期报告和年度基金报告出具意见，说明基金管理人在各重要方面的运作是否严格按照《基金合同》的规定进行；如果基金管理人有未执行《基金合同》规定的行为，还应当说明基金托管人是否采取了适当的措施；</w:t>
      </w:r>
    </w:p>
    <w:p>
      <w:pPr>
        <w:spacing w:line="360" w:lineRule="auto"/>
        <w:ind w:firstLine="480" w:firstLineChars="200"/>
        <w:rPr>
          <w:rFonts w:ascii="宋体" w:hAnsi="宋体" w:cs="宋体"/>
          <w:bCs/>
          <w:sz w:val="24"/>
        </w:rPr>
      </w:pPr>
      <w:r>
        <w:rPr>
          <w:rFonts w:hint="eastAsia" w:ascii="宋体" w:hAnsi="宋体" w:cs="宋体"/>
          <w:bCs/>
          <w:sz w:val="24"/>
        </w:rPr>
        <w:t>（11）保存基金托管业务活动的记录、账册、报表和其他相关资料，保存期限</w:t>
      </w:r>
      <w:r>
        <w:rPr>
          <w:rFonts w:hint="eastAsia" w:ascii="宋体" w:hAnsi="宋体" w:cs="宋体"/>
          <w:sz w:val="24"/>
        </w:rPr>
        <w:t>不低于法律法规规定的最低期限</w:t>
      </w:r>
      <w:r>
        <w:rPr>
          <w:rFonts w:hint="eastAsia" w:ascii="宋体" w:hAnsi="宋体" w:cs="宋体"/>
          <w:bCs/>
          <w:sz w:val="24"/>
        </w:rPr>
        <w:t>；</w:t>
      </w:r>
    </w:p>
    <w:p>
      <w:pPr>
        <w:spacing w:line="360" w:lineRule="auto"/>
        <w:ind w:firstLine="480" w:firstLineChars="200"/>
        <w:rPr>
          <w:rFonts w:ascii="宋体" w:hAnsi="宋体" w:cs="宋体"/>
          <w:bCs/>
          <w:sz w:val="24"/>
        </w:rPr>
      </w:pPr>
      <w:r>
        <w:rPr>
          <w:rFonts w:hint="eastAsia" w:ascii="宋体" w:hAnsi="宋体" w:cs="宋体"/>
          <w:bCs/>
          <w:sz w:val="24"/>
        </w:rPr>
        <w:t>（12）保存基金份额持有人名册；</w:t>
      </w:r>
    </w:p>
    <w:p>
      <w:pPr>
        <w:spacing w:line="360" w:lineRule="auto"/>
        <w:ind w:firstLine="480" w:firstLineChars="200"/>
        <w:rPr>
          <w:rFonts w:ascii="宋体" w:hAnsi="宋体" w:cs="宋体"/>
          <w:bCs/>
          <w:sz w:val="24"/>
        </w:rPr>
      </w:pPr>
      <w:r>
        <w:rPr>
          <w:rFonts w:hint="eastAsia" w:ascii="宋体" w:hAnsi="宋体" w:cs="宋体"/>
          <w:bCs/>
          <w:sz w:val="24"/>
        </w:rPr>
        <w:t>（13）按规定制作相关账册并与基金管理人核对；</w:t>
      </w:r>
    </w:p>
    <w:p>
      <w:pPr>
        <w:spacing w:line="360" w:lineRule="auto"/>
        <w:ind w:firstLine="480" w:firstLineChars="200"/>
        <w:rPr>
          <w:rFonts w:ascii="宋体" w:hAnsi="宋体" w:cs="宋体"/>
          <w:bCs/>
          <w:sz w:val="24"/>
        </w:rPr>
      </w:pPr>
      <w:r>
        <w:rPr>
          <w:rFonts w:hint="eastAsia" w:ascii="宋体" w:hAnsi="宋体" w:cs="宋体"/>
          <w:bCs/>
          <w:sz w:val="24"/>
        </w:rPr>
        <w:t>（14）依据基金管理人的指令或有关规定向基金份额持有人支付基金收益和赎回款项；</w:t>
      </w:r>
    </w:p>
    <w:p>
      <w:pPr>
        <w:spacing w:line="360" w:lineRule="auto"/>
        <w:ind w:firstLine="480" w:firstLineChars="200"/>
        <w:rPr>
          <w:rFonts w:ascii="宋体" w:hAnsi="宋体" w:cs="宋体"/>
          <w:bCs/>
          <w:sz w:val="24"/>
        </w:rPr>
      </w:pPr>
      <w:r>
        <w:rPr>
          <w:rFonts w:hint="eastAsia" w:ascii="宋体" w:hAnsi="宋体" w:cs="宋体"/>
          <w:bCs/>
          <w:sz w:val="24"/>
        </w:rPr>
        <w:t>（15）依据《基金法》、《基金合同》及其他有关规定，召集基金份额持有人大会或配合基金管理人、基金份额持有人依法召集基金份额持有人大会；</w:t>
      </w:r>
    </w:p>
    <w:p>
      <w:pPr>
        <w:spacing w:line="360" w:lineRule="auto"/>
        <w:ind w:firstLine="480" w:firstLineChars="200"/>
        <w:rPr>
          <w:rFonts w:ascii="宋体" w:hAnsi="宋体" w:cs="宋体"/>
          <w:bCs/>
          <w:sz w:val="24"/>
        </w:rPr>
      </w:pPr>
      <w:r>
        <w:rPr>
          <w:rFonts w:hint="eastAsia" w:ascii="宋体" w:hAnsi="宋体" w:cs="宋体"/>
          <w:bCs/>
          <w:sz w:val="24"/>
        </w:rPr>
        <w:t>（16）按照法律法规和《基金合同》的规定监督基金管理人的投资运作；</w:t>
      </w:r>
    </w:p>
    <w:p>
      <w:pPr>
        <w:spacing w:line="360" w:lineRule="auto"/>
        <w:ind w:firstLine="480" w:firstLineChars="200"/>
        <w:rPr>
          <w:rFonts w:ascii="宋体" w:hAnsi="宋体" w:cs="宋体"/>
          <w:bCs/>
          <w:sz w:val="24"/>
        </w:rPr>
      </w:pPr>
      <w:r>
        <w:rPr>
          <w:rFonts w:hint="eastAsia" w:ascii="宋体" w:hAnsi="宋体" w:cs="宋体"/>
          <w:bCs/>
          <w:sz w:val="24"/>
        </w:rPr>
        <w:t>（17）参加基金财产清算小组，参与基金财产的保管、清理、估价、变现和分配；</w:t>
      </w:r>
    </w:p>
    <w:p>
      <w:pPr>
        <w:spacing w:line="360" w:lineRule="auto"/>
        <w:ind w:firstLine="480" w:firstLineChars="200"/>
        <w:rPr>
          <w:rFonts w:ascii="宋体" w:hAnsi="宋体" w:cs="宋体"/>
          <w:bCs/>
          <w:sz w:val="24"/>
        </w:rPr>
      </w:pPr>
      <w:r>
        <w:rPr>
          <w:rFonts w:hint="eastAsia" w:ascii="宋体" w:hAnsi="宋体" w:cs="宋体"/>
          <w:bCs/>
          <w:sz w:val="24"/>
        </w:rPr>
        <w:t>（18）面临解散、依法被撤销或者被依法宣告破产时，及时报告中国证监会和银行监管机构，并通知基金管理人；</w:t>
      </w:r>
    </w:p>
    <w:p>
      <w:pPr>
        <w:spacing w:line="360" w:lineRule="auto"/>
        <w:ind w:firstLine="480" w:firstLineChars="200"/>
        <w:rPr>
          <w:rFonts w:ascii="宋体" w:hAnsi="宋体" w:cs="宋体"/>
          <w:bCs/>
          <w:sz w:val="24"/>
        </w:rPr>
      </w:pPr>
      <w:r>
        <w:rPr>
          <w:rFonts w:hint="eastAsia" w:ascii="宋体" w:hAnsi="宋体" w:cs="宋体"/>
          <w:bCs/>
          <w:sz w:val="24"/>
        </w:rPr>
        <w:t>（19）因违反《基金合同》导致基金财产损失时，应承担赔偿责任，其赔偿责任不因其退任而免除；</w:t>
      </w:r>
    </w:p>
    <w:p>
      <w:pPr>
        <w:spacing w:line="360" w:lineRule="auto"/>
        <w:ind w:firstLine="480" w:firstLineChars="200"/>
        <w:rPr>
          <w:rFonts w:ascii="宋体" w:hAnsi="宋体" w:cs="宋体"/>
          <w:bCs/>
          <w:sz w:val="24"/>
        </w:rPr>
      </w:pPr>
      <w:r>
        <w:rPr>
          <w:rFonts w:hint="eastAsia" w:ascii="宋体" w:hAnsi="宋体" w:cs="宋体"/>
          <w:bCs/>
          <w:sz w:val="24"/>
        </w:rPr>
        <w:t>（20）按规定监督基金管理人按法律法规和《基金合同》规定履行自己的义务，基金管理人因违反《基金合同》造成基金财产损失时，应为基金份额持有人利益向基金管理人追偿</w:t>
      </w:r>
      <w:bookmarkStart w:id="199" w:name="_Hlt88825668"/>
      <w:bookmarkEnd w:id="199"/>
      <w:r>
        <w:rPr>
          <w:rFonts w:hint="eastAsia" w:ascii="宋体" w:hAnsi="宋体" w:cs="宋体"/>
          <w:bCs/>
          <w:sz w:val="24"/>
        </w:rPr>
        <w:t>；</w:t>
      </w:r>
    </w:p>
    <w:p>
      <w:pPr>
        <w:spacing w:line="360" w:lineRule="auto"/>
        <w:ind w:firstLine="480" w:firstLineChars="200"/>
        <w:rPr>
          <w:rFonts w:ascii="宋体" w:hAnsi="宋体" w:cs="宋体"/>
          <w:bCs/>
          <w:sz w:val="24"/>
        </w:rPr>
      </w:pPr>
      <w:r>
        <w:rPr>
          <w:rFonts w:hint="eastAsia" w:ascii="宋体" w:hAnsi="宋体" w:cs="宋体"/>
          <w:bCs/>
          <w:sz w:val="24"/>
        </w:rPr>
        <w:t>（21）执行生效的基金份额持有人大会的决议；</w:t>
      </w:r>
    </w:p>
    <w:p>
      <w:pPr>
        <w:spacing w:line="360" w:lineRule="auto"/>
        <w:ind w:firstLine="480" w:firstLineChars="200"/>
        <w:rPr>
          <w:rFonts w:ascii="宋体" w:hAnsi="宋体" w:cs="宋体"/>
          <w:bCs/>
          <w:sz w:val="24"/>
        </w:rPr>
      </w:pPr>
      <w:r>
        <w:rPr>
          <w:rFonts w:hint="eastAsia" w:ascii="宋体" w:hAnsi="宋体" w:cs="宋体"/>
          <w:bCs/>
          <w:sz w:val="24"/>
        </w:rPr>
        <w:t>（22）</w:t>
      </w:r>
      <w:bookmarkStart w:id="200" w:name="_Toc523711670"/>
      <w:r>
        <w:rPr>
          <w:rFonts w:hint="eastAsia" w:ascii="宋体" w:hAnsi="宋体" w:cs="宋体"/>
          <w:bCs/>
          <w:sz w:val="24"/>
        </w:rPr>
        <w:t>法律法规及中国证监会规定的和《基金合同》约定的其他义务。</w:t>
      </w:r>
    </w:p>
    <w:p>
      <w:pPr>
        <w:spacing w:line="360" w:lineRule="auto"/>
        <w:ind w:firstLine="480" w:firstLineChars="200"/>
        <w:rPr>
          <w:rFonts w:ascii="宋体" w:hAnsi="宋体" w:cs="宋体"/>
          <w:bCs/>
          <w:sz w:val="24"/>
        </w:rPr>
      </w:pPr>
    </w:p>
    <w:bookmarkEnd w:id="200"/>
    <w:p>
      <w:pPr>
        <w:spacing w:line="360" w:lineRule="auto"/>
        <w:ind w:firstLine="482" w:firstLineChars="200"/>
        <w:rPr>
          <w:rFonts w:ascii="宋体" w:hAnsi="宋体" w:cs="宋体"/>
          <w:b/>
          <w:sz w:val="24"/>
        </w:rPr>
      </w:pPr>
      <w:bookmarkStart w:id="201" w:name="_Toc79392582"/>
      <w:r>
        <w:rPr>
          <w:rFonts w:hint="eastAsia" w:ascii="宋体" w:hAnsi="宋体" w:cs="宋体"/>
          <w:b/>
          <w:sz w:val="24"/>
        </w:rPr>
        <w:t>三、基金份额持有人</w:t>
      </w:r>
      <w:bookmarkEnd w:id="201"/>
    </w:p>
    <w:p>
      <w:pPr>
        <w:spacing w:line="360" w:lineRule="auto"/>
        <w:ind w:firstLine="480" w:firstLineChars="200"/>
        <w:rPr>
          <w:rFonts w:ascii="宋体" w:hAnsi="宋体" w:cs="宋体"/>
          <w:bCs/>
          <w:sz w:val="24"/>
        </w:rPr>
      </w:pPr>
      <w:r>
        <w:rPr>
          <w:rFonts w:hint="eastAsia" w:ascii="宋体" w:hAnsi="宋体" w:cs="宋体"/>
          <w:bCs/>
          <w:sz w:val="24"/>
        </w:rPr>
        <w:t>基金投资者持有本基金</w:t>
      </w:r>
      <w:bookmarkStart w:id="202" w:name="_Hlt88899909"/>
      <w:bookmarkEnd w:id="202"/>
      <w:r>
        <w:rPr>
          <w:rFonts w:hint="eastAsia" w:ascii="宋体" w:hAnsi="宋体" w:cs="宋体"/>
          <w:bCs/>
          <w:sz w:val="24"/>
        </w:rPr>
        <w:t>基金份额的行为即视为对《基金合同》的承认和接受，基金投资者自依据《基金合同》取得的基金份额，即成为本基金份额持有人和《基金合同》的当事人，直至其不再持有本基金的基金份额。基金份额持有人作为《基金合同》当事人并不以在《基金合同》上书面签章或签字为必要条件。</w:t>
      </w:r>
    </w:p>
    <w:p>
      <w:pPr>
        <w:spacing w:line="360" w:lineRule="auto"/>
        <w:ind w:firstLine="480" w:firstLineChars="200"/>
        <w:rPr>
          <w:rFonts w:ascii="宋体" w:hAnsi="宋体" w:cs="宋体"/>
          <w:bCs/>
          <w:sz w:val="24"/>
        </w:rPr>
      </w:pPr>
      <w:r>
        <w:rPr>
          <w:rFonts w:hint="eastAsia" w:ascii="宋体" w:hAnsi="宋体" w:cs="宋体"/>
          <w:bCs/>
          <w:sz w:val="24"/>
        </w:rPr>
        <w:t>除法律法规另有规定或基金合同另有约定外，每份基金份额具有同等的合法权益。</w:t>
      </w:r>
    </w:p>
    <w:p>
      <w:pPr>
        <w:spacing w:line="360" w:lineRule="auto"/>
        <w:ind w:firstLine="480" w:firstLineChars="200"/>
        <w:rPr>
          <w:rFonts w:ascii="宋体" w:hAnsi="宋体" w:cs="宋体"/>
          <w:bCs/>
          <w:sz w:val="24"/>
        </w:rPr>
      </w:pPr>
      <w:r>
        <w:rPr>
          <w:rFonts w:hint="eastAsia" w:ascii="宋体" w:hAnsi="宋体" w:cs="宋体"/>
          <w:bCs/>
          <w:sz w:val="24"/>
        </w:rPr>
        <w:t>1、根据《基金法》、《运作办法》及其他有关规定，基金份额持有人的权利包括但不限于：</w:t>
      </w:r>
    </w:p>
    <w:p>
      <w:pPr>
        <w:spacing w:line="360" w:lineRule="auto"/>
        <w:ind w:firstLine="480" w:firstLineChars="200"/>
        <w:rPr>
          <w:rFonts w:ascii="宋体" w:hAnsi="宋体" w:cs="宋体"/>
          <w:bCs/>
          <w:sz w:val="24"/>
        </w:rPr>
      </w:pPr>
      <w:r>
        <w:rPr>
          <w:rFonts w:hint="eastAsia" w:ascii="宋体" w:hAnsi="宋体" w:cs="宋体"/>
          <w:bCs/>
          <w:sz w:val="24"/>
        </w:rPr>
        <w:t>（1）分享基金财产收益；</w:t>
      </w:r>
    </w:p>
    <w:p>
      <w:pPr>
        <w:spacing w:line="360" w:lineRule="auto"/>
        <w:ind w:firstLine="480" w:firstLineChars="200"/>
        <w:rPr>
          <w:rFonts w:ascii="宋体" w:hAnsi="宋体" w:cs="宋体"/>
          <w:bCs/>
          <w:sz w:val="24"/>
        </w:rPr>
      </w:pPr>
      <w:r>
        <w:rPr>
          <w:rFonts w:hint="eastAsia" w:ascii="宋体" w:hAnsi="宋体" w:cs="宋体"/>
          <w:bCs/>
          <w:sz w:val="24"/>
        </w:rPr>
        <w:t>（2）参与分配清算后的剩余基金财产；</w:t>
      </w:r>
      <w:bookmarkStart w:id="203" w:name="_Hlt88825574"/>
      <w:bookmarkEnd w:id="203"/>
    </w:p>
    <w:p>
      <w:pPr>
        <w:spacing w:line="360" w:lineRule="auto"/>
        <w:ind w:firstLine="480" w:firstLineChars="200"/>
        <w:rPr>
          <w:rFonts w:ascii="宋体" w:hAnsi="宋体" w:cs="宋体"/>
          <w:bCs/>
          <w:sz w:val="24"/>
        </w:rPr>
      </w:pPr>
      <w:r>
        <w:rPr>
          <w:rFonts w:hint="eastAsia" w:ascii="宋体" w:hAnsi="宋体" w:cs="宋体"/>
          <w:bCs/>
          <w:sz w:val="24"/>
        </w:rPr>
        <w:t>（3）依法申请转让其持有的基金份额；</w:t>
      </w:r>
    </w:p>
    <w:p>
      <w:pPr>
        <w:spacing w:line="360" w:lineRule="auto"/>
        <w:ind w:firstLine="480" w:firstLineChars="200"/>
        <w:rPr>
          <w:rFonts w:ascii="宋体" w:hAnsi="宋体" w:cs="宋体"/>
          <w:bCs/>
          <w:sz w:val="24"/>
        </w:rPr>
      </w:pPr>
      <w:r>
        <w:rPr>
          <w:rFonts w:hint="eastAsia" w:ascii="宋体" w:hAnsi="宋体" w:cs="宋体"/>
          <w:bCs/>
          <w:sz w:val="24"/>
        </w:rPr>
        <w:t>（4）按照规定要求召开基金份额持有人大会或者召集基金份额持有人大会；</w:t>
      </w:r>
    </w:p>
    <w:p>
      <w:pPr>
        <w:spacing w:line="360" w:lineRule="auto"/>
        <w:ind w:firstLine="480" w:firstLineChars="200"/>
        <w:rPr>
          <w:rFonts w:ascii="宋体" w:hAnsi="宋体" w:cs="宋体"/>
          <w:bCs/>
          <w:sz w:val="24"/>
        </w:rPr>
      </w:pPr>
      <w:r>
        <w:rPr>
          <w:rFonts w:hint="eastAsia" w:ascii="宋体" w:hAnsi="宋体" w:cs="宋体"/>
          <w:bCs/>
          <w:sz w:val="24"/>
        </w:rPr>
        <w:t>（5）出席或者委派代表出席基金份额持有人大会，对基金份额持有人大会审议事项行使表决权；</w:t>
      </w:r>
    </w:p>
    <w:p>
      <w:pPr>
        <w:spacing w:line="360" w:lineRule="auto"/>
        <w:ind w:firstLine="480" w:firstLineChars="200"/>
        <w:rPr>
          <w:rFonts w:ascii="宋体" w:hAnsi="宋体" w:cs="宋体"/>
          <w:bCs/>
          <w:sz w:val="24"/>
        </w:rPr>
      </w:pPr>
      <w:r>
        <w:rPr>
          <w:rFonts w:hint="eastAsia" w:ascii="宋体" w:hAnsi="宋体" w:cs="宋体"/>
          <w:bCs/>
          <w:sz w:val="24"/>
        </w:rPr>
        <w:t>（6）查阅或者复制公开披露的基金信息资料；</w:t>
      </w:r>
    </w:p>
    <w:p>
      <w:pPr>
        <w:spacing w:line="360" w:lineRule="auto"/>
        <w:ind w:firstLine="480" w:firstLineChars="200"/>
        <w:rPr>
          <w:rFonts w:ascii="宋体" w:hAnsi="宋体" w:cs="宋体"/>
          <w:bCs/>
          <w:sz w:val="24"/>
        </w:rPr>
      </w:pPr>
      <w:r>
        <w:rPr>
          <w:rFonts w:hint="eastAsia" w:ascii="宋体" w:hAnsi="宋体" w:cs="宋体"/>
          <w:bCs/>
          <w:sz w:val="24"/>
        </w:rPr>
        <w:t>（7）监督基金管理人的投资运作；</w:t>
      </w:r>
    </w:p>
    <w:p>
      <w:pPr>
        <w:spacing w:line="360" w:lineRule="auto"/>
        <w:ind w:firstLine="480" w:firstLineChars="200"/>
        <w:rPr>
          <w:rFonts w:ascii="宋体" w:hAnsi="宋体" w:cs="宋体"/>
          <w:bCs/>
          <w:sz w:val="24"/>
        </w:rPr>
      </w:pPr>
      <w:r>
        <w:rPr>
          <w:rFonts w:hint="eastAsia" w:ascii="宋体" w:hAnsi="宋体" w:cs="宋体"/>
          <w:bCs/>
          <w:sz w:val="24"/>
        </w:rPr>
        <w:t>（8）对基金管理人、基金托管人、基金服务机构损害其合法权益的行为依法提起诉讼或仲裁；</w:t>
      </w:r>
    </w:p>
    <w:p>
      <w:pPr>
        <w:spacing w:line="360" w:lineRule="auto"/>
        <w:ind w:firstLine="480" w:firstLineChars="200"/>
        <w:rPr>
          <w:rFonts w:ascii="宋体" w:hAnsi="宋体" w:cs="宋体"/>
          <w:bCs/>
          <w:sz w:val="24"/>
        </w:rPr>
      </w:pPr>
      <w:r>
        <w:rPr>
          <w:rFonts w:hint="eastAsia" w:ascii="宋体" w:hAnsi="宋体" w:cs="宋体"/>
          <w:bCs/>
          <w:sz w:val="24"/>
        </w:rPr>
        <w:t>（9）法律法规及中国证监会规定的和《基金合同》约定的其他权利。</w:t>
      </w:r>
    </w:p>
    <w:p>
      <w:pPr>
        <w:spacing w:line="360" w:lineRule="auto"/>
        <w:ind w:firstLine="480" w:firstLineChars="200"/>
        <w:rPr>
          <w:rFonts w:ascii="宋体" w:hAnsi="宋体" w:cs="宋体"/>
          <w:bCs/>
          <w:sz w:val="24"/>
        </w:rPr>
      </w:pPr>
      <w:r>
        <w:rPr>
          <w:rFonts w:hint="eastAsia" w:ascii="宋体" w:hAnsi="宋体" w:cs="宋体"/>
          <w:bCs/>
          <w:sz w:val="24"/>
        </w:rPr>
        <w:t>2、根据《基金法》、《运作办法》及其他有关规定，基金份额持有人的义务包括但不限于：</w:t>
      </w:r>
    </w:p>
    <w:p>
      <w:pPr>
        <w:spacing w:line="360" w:lineRule="auto"/>
        <w:ind w:firstLine="480" w:firstLineChars="200"/>
        <w:rPr>
          <w:rFonts w:ascii="宋体" w:hAnsi="宋体" w:cs="宋体"/>
          <w:bCs/>
          <w:sz w:val="24"/>
        </w:rPr>
      </w:pPr>
      <w:r>
        <w:rPr>
          <w:rFonts w:hint="eastAsia" w:ascii="宋体" w:hAnsi="宋体" w:cs="宋体"/>
          <w:bCs/>
          <w:sz w:val="24"/>
        </w:rPr>
        <w:t>（1）认真阅读并遵守《基金合同》、《招募说明书》、基金产品资料概要等信息披露文件；</w:t>
      </w:r>
    </w:p>
    <w:p>
      <w:pPr>
        <w:spacing w:line="360" w:lineRule="auto"/>
        <w:ind w:firstLine="480" w:firstLineChars="200"/>
        <w:rPr>
          <w:rFonts w:ascii="宋体" w:hAnsi="宋体" w:cs="宋体"/>
          <w:bCs/>
          <w:sz w:val="24"/>
        </w:rPr>
      </w:pPr>
      <w:r>
        <w:rPr>
          <w:rFonts w:hint="eastAsia" w:ascii="宋体" w:hAnsi="宋体" w:cs="宋体"/>
          <w:bCs/>
          <w:sz w:val="24"/>
        </w:rPr>
        <w:t>（2）了解所投资基金产品，了解自身风险承受能力，自主判断基金的投资价值，自主做出投资决策，自行承担投资风险；</w:t>
      </w:r>
    </w:p>
    <w:p>
      <w:pPr>
        <w:spacing w:line="360" w:lineRule="auto"/>
        <w:ind w:firstLine="480" w:firstLineChars="200"/>
        <w:rPr>
          <w:rFonts w:ascii="宋体" w:hAnsi="宋体" w:cs="宋体"/>
          <w:bCs/>
          <w:sz w:val="24"/>
        </w:rPr>
      </w:pPr>
      <w:r>
        <w:rPr>
          <w:rFonts w:hint="eastAsia" w:ascii="宋体" w:hAnsi="宋体" w:cs="宋体"/>
          <w:bCs/>
          <w:sz w:val="24"/>
        </w:rPr>
        <w:t>（3）关注基金信息披露，及时行使权利和履行义务；</w:t>
      </w:r>
    </w:p>
    <w:p>
      <w:pPr>
        <w:spacing w:line="360" w:lineRule="auto"/>
        <w:ind w:firstLine="480" w:firstLineChars="200"/>
        <w:rPr>
          <w:rFonts w:ascii="宋体" w:hAnsi="宋体" w:cs="宋体"/>
          <w:bCs/>
          <w:sz w:val="24"/>
        </w:rPr>
      </w:pPr>
      <w:r>
        <w:rPr>
          <w:rFonts w:hint="eastAsia" w:ascii="宋体" w:hAnsi="宋体" w:cs="宋体"/>
          <w:bCs/>
          <w:sz w:val="24"/>
        </w:rPr>
        <w:t>（4）交纳基金认购款项及法律法规和《基金合同》所规定的费用；</w:t>
      </w:r>
    </w:p>
    <w:p>
      <w:pPr>
        <w:spacing w:line="360" w:lineRule="auto"/>
        <w:ind w:firstLine="480" w:firstLineChars="200"/>
        <w:rPr>
          <w:rFonts w:ascii="宋体" w:hAnsi="宋体" w:cs="宋体"/>
          <w:bCs/>
          <w:sz w:val="24"/>
        </w:rPr>
      </w:pPr>
      <w:r>
        <w:rPr>
          <w:rFonts w:hint="eastAsia" w:ascii="宋体" w:hAnsi="宋体" w:cs="宋体"/>
          <w:bCs/>
          <w:sz w:val="24"/>
        </w:rPr>
        <w:t>（5）在其持有的基金份额范围内，承担基金亏损或者《基金合同》终止的有限责任；</w:t>
      </w:r>
    </w:p>
    <w:p>
      <w:pPr>
        <w:spacing w:line="360" w:lineRule="auto"/>
        <w:ind w:firstLine="480" w:firstLineChars="200"/>
        <w:rPr>
          <w:rFonts w:ascii="宋体" w:hAnsi="宋体" w:cs="宋体"/>
          <w:sz w:val="24"/>
        </w:rPr>
      </w:pPr>
      <w:r>
        <w:rPr>
          <w:rFonts w:hint="eastAsia" w:ascii="宋体" w:hAnsi="宋体" w:cs="宋体"/>
          <w:sz w:val="24"/>
        </w:rPr>
        <w:t>（6）遵守基金管理人、基金托管人、销售机构和登记机构的交易相关业务规则及其不时更新；</w:t>
      </w:r>
    </w:p>
    <w:p>
      <w:pPr>
        <w:spacing w:line="360" w:lineRule="auto"/>
        <w:ind w:firstLine="480" w:firstLineChars="200"/>
        <w:rPr>
          <w:rFonts w:ascii="宋体" w:hAnsi="宋体" w:cs="宋体"/>
          <w:sz w:val="24"/>
        </w:rPr>
      </w:pPr>
      <w:r>
        <w:rPr>
          <w:rFonts w:hint="eastAsia" w:ascii="宋体" w:hAnsi="宋体" w:cs="宋体"/>
          <w:sz w:val="24"/>
        </w:rPr>
        <w:t>（7）提供基金管理人和监管机构依法要求提供的信息，以及不时地更新和补充，并保证其真实性；</w:t>
      </w:r>
    </w:p>
    <w:p>
      <w:pPr>
        <w:spacing w:line="360" w:lineRule="auto"/>
        <w:ind w:firstLine="480" w:firstLineChars="200"/>
        <w:rPr>
          <w:rFonts w:ascii="宋体" w:hAnsi="宋体" w:cs="宋体"/>
          <w:sz w:val="24"/>
        </w:rPr>
      </w:pPr>
      <w:r>
        <w:rPr>
          <w:rFonts w:hint="eastAsia" w:ascii="宋体" w:hAnsi="宋体" w:cs="宋体"/>
          <w:bCs/>
          <w:sz w:val="24"/>
        </w:rPr>
        <w:t>（8）接受基金管理人或销售机构要求的风险承受能力调查和评价，如实提供身份信息、投资经验、财产状况、风险认知等相关信息以及不时的更新和补充，并保证所提供资料、信息的真实性、准确性、完整性；</w:t>
      </w:r>
    </w:p>
    <w:p>
      <w:pPr>
        <w:spacing w:line="360" w:lineRule="auto"/>
        <w:ind w:firstLine="480" w:firstLineChars="200"/>
        <w:rPr>
          <w:rFonts w:ascii="宋体" w:hAnsi="宋体" w:cs="宋体"/>
          <w:bCs/>
          <w:sz w:val="24"/>
        </w:rPr>
      </w:pPr>
      <w:r>
        <w:rPr>
          <w:rFonts w:hint="eastAsia" w:ascii="宋体" w:hAnsi="宋体" w:cs="宋体"/>
          <w:bCs/>
          <w:sz w:val="24"/>
        </w:rPr>
        <w:t>（9）不从事任何有损基金及其他《基金合同》当事人合法权益的活动；</w:t>
      </w:r>
    </w:p>
    <w:p>
      <w:pPr>
        <w:spacing w:line="360" w:lineRule="auto"/>
        <w:ind w:firstLine="480" w:firstLineChars="200"/>
        <w:rPr>
          <w:rFonts w:ascii="宋体" w:hAnsi="宋体" w:cs="宋体"/>
          <w:bCs/>
          <w:sz w:val="24"/>
        </w:rPr>
      </w:pPr>
      <w:r>
        <w:rPr>
          <w:rFonts w:hint="eastAsia" w:ascii="宋体" w:hAnsi="宋体" w:cs="宋体"/>
          <w:bCs/>
          <w:sz w:val="24"/>
        </w:rPr>
        <w:t>（10）执行生效的基金份额持有人大会的决议；</w:t>
      </w:r>
    </w:p>
    <w:p>
      <w:pPr>
        <w:spacing w:line="360" w:lineRule="auto"/>
        <w:ind w:firstLine="480" w:firstLineChars="200"/>
        <w:rPr>
          <w:rFonts w:ascii="宋体" w:hAnsi="宋体" w:cs="宋体"/>
          <w:bCs/>
          <w:sz w:val="24"/>
        </w:rPr>
      </w:pPr>
      <w:r>
        <w:rPr>
          <w:rFonts w:hint="eastAsia" w:ascii="宋体" w:hAnsi="宋体" w:cs="宋体"/>
          <w:bCs/>
          <w:sz w:val="24"/>
        </w:rPr>
        <w:t>（11）返还在基金交易过程中因任何原因获得的不当得利；</w:t>
      </w:r>
    </w:p>
    <w:p>
      <w:pPr>
        <w:spacing w:line="360" w:lineRule="auto"/>
        <w:ind w:firstLine="480" w:firstLineChars="200"/>
        <w:rPr>
          <w:rFonts w:ascii="宋体" w:hAnsi="宋体" w:cs="宋体"/>
          <w:bCs/>
          <w:sz w:val="24"/>
        </w:rPr>
      </w:pPr>
      <w:r>
        <w:rPr>
          <w:rFonts w:hint="eastAsia" w:ascii="宋体" w:hAnsi="宋体" w:cs="宋体"/>
          <w:bCs/>
          <w:sz w:val="24"/>
        </w:rPr>
        <w:t>（1</w:t>
      </w:r>
      <w:r>
        <w:rPr>
          <w:rFonts w:ascii="宋体" w:hAnsi="宋体" w:cs="宋体"/>
          <w:bCs/>
          <w:sz w:val="24"/>
        </w:rPr>
        <w:t>2</w:t>
      </w:r>
      <w:r>
        <w:rPr>
          <w:rFonts w:hint="eastAsia" w:ascii="宋体" w:hAnsi="宋体" w:cs="宋体"/>
          <w:bCs/>
          <w:sz w:val="24"/>
        </w:rPr>
        <w:t>）法律法规及中国证监会规定的和《基金合同》约定的其他义务。</w:t>
      </w:r>
    </w:p>
    <w:p>
      <w:pPr>
        <w:pStyle w:val="2"/>
        <w:spacing w:before="0" w:after="0"/>
        <w:jc w:val="center"/>
        <w:rPr>
          <w:rFonts w:hAnsi="宋体" w:cs="宋体"/>
          <w:color w:val="auto"/>
          <w:sz w:val="30"/>
        </w:rPr>
      </w:pPr>
      <w:r>
        <w:rPr>
          <w:rFonts w:hint="eastAsia" w:hAnsi="宋体" w:cs="宋体"/>
          <w:b w:val="0"/>
          <w:bCs/>
          <w:color w:val="auto"/>
        </w:rPr>
        <w:br w:type="page"/>
      </w:r>
      <w:bookmarkStart w:id="204" w:name="_Toc4559"/>
      <w:bookmarkStart w:id="205" w:name="_Toc20768"/>
      <w:bookmarkStart w:id="206" w:name="_Toc98560354"/>
      <w:bookmarkStart w:id="207" w:name="_Toc139991738"/>
      <w:bookmarkStart w:id="208" w:name="_Toc141703888"/>
      <w:bookmarkStart w:id="209" w:name="_Toc123112236"/>
      <w:bookmarkStart w:id="210" w:name="_Toc18567"/>
      <w:bookmarkStart w:id="211" w:name="_Toc9706"/>
      <w:bookmarkStart w:id="212" w:name="_Toc123102455"/>
      <w:bookmarkStart w:id="213" w:name="_Toc27701"/>
      <w:bookmarkStart w:id="214" w:name="_Toc3771"/>
      <w:bookmarkStart w:id="215" w:name="_Toc79392583"/>
      <w:bookmarkStart w:id="216" w:name="_Toc11030"/>
      <w:bookmarkStart w:id="217" w:name="_Toc6447"/>
      <w:bookmarkStart w:id="218" w:name="_Toc7058"/>
      <w:bookmarkStart w:id="219" w:name="_Toc10650"/>
      <w:bookmarkStart w:id="220" w:name="_Toc3321"/>
      <w:bookmarkStart w:id="221" w:name="_Toc25783"/>
      <w:bookmarkStart w:id="222" w:name="_Toc123051454"/>
      <w:r>
        <w:rPr>
          <w:rFonts w:hint="eastAsia" w:hAnsi="宋体" w:cs="宋体"/>
          <w:color w:val="auto"/>
          <w:sz w:val="30"/>
        </w:rPr>
        <w:t>第八部分  基金份额持有人大会</w:t>
      </w:r>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p>
    <w:p>
      <w:pPr>
        <w:tabs>
          <w:tab w:val="left" w:pos="1080"/>
        </w:tabs>
        <w:spacing w:line="360" w:lineRule="auto"/>
        <w:ind w:left="1075" w:leftChars="199" w:hanging="657" w:hangingChars="274"/>
        <w:rPr>
          <w:rFonts w:ascii="宋体" w:hAnsi="宋体" w:cs="宋体"/>
          <w:bCs/>
          <w:sz w:val="24"/>
        </w:rPr>
      </w:pPr>
    </w:p>
    <w:p>
      <w:pPr>
        <w:spacing w:line="360" w:lineRule="auto"/>
        <w:ind w:firstLine="480" w:firstLineChars="200"/>
        <w:rPr>
          <w:rFonts w:ascii="宋体" w:hAnsi="宋体" w:cs="宋体"/>
          <w:bCs/>
          <w:sz w:val="24"/>
        </w:rPr>
      </w:pPr>
      <w:r>
        <w:rPr>
          <w:rFonts w:hint="eastAsia" w:ascii="宋体" w:hAnsi="宋体" w:cs="宋体"/>
          <w:bCs/>
          <w:sz w:val="24"/>
        </w:rPr>
        <w:t>基金份额持有人大会由基金份额持有人组成，基金份额持有人的合法授权代表有权代表基金份额持有人出席会议并表决。</w:t>
      </w:r>
      <w:r>
        <w:rPr>
          <w:rFonts w:hint="eastAsia" w:ascii="宋体" w:hAnsi="宋体" w:cs="宋体"/>
          <w:sz w:val="24"/>
        </w:rPr>
        <w:t>除法律法规另有规定或基金合同另有约定外，</w:t>
      </w:r>
      <w:r>
        <w:rPr>
          <w:rFonts w:hint="eastAsia" w:ascii="宋体" w:hAnsi="宋体" w:cs="宋体"/>
          <w:bCs/>
          <w:sz w:val="24"/>
        </w:rPr>
        <w:t>基金份额持有人持有的每一基金份额拥有平等的投票权。</w:t>
      </w:r>
    </w:p>
    <w:p>
      <w:pPr>
        <w:spacing w:line="360" w:lineRule="auto"/>
        <w:ind w:firstLine="480" w:firstLineChars="200"/>
        <w:rPr>
          <w:rFonts w:ascii="宋体" w:hAnsi="宋体" w:cs="宋体"/>
          <w:bCs/>
          <w:sz w:val="24"/>
        </w:rPr>
      </w:pPr>
      <w:r>
        <w:rPr>
          <w:rFonts w:hint="eastAsia" w:ascii="宋体" w:hAnsi="宋体" w:cs="宋体"/>
          <w:bCs/>
          <w:sz w:val="24"/>
        </w:rPr>
        <w:t>本基金份额持有人大会不设日常机构，若未来本基金份额持有人大会成立日常机构，则按照届时有效的法律法规的规定执行。</w:t>
      </w:r>
    </w:p>
    <w:p>
      <w:pPr>
        <w:spacing w:line="360" w:lineRule="auto"/>
        <w:ind w:firstLine="480" w:firstLineChars="200"/>
        <w:rPr>
          <w:rFonts w:ascii="宋体" w:hAnsi="宋体" w:cs="宋体"/>
          <w:bCs/>
          <w:sz w:val="24"/>
        </w:rPr>
      </w:pPr>
    </w:p>
    <w:p>
      <w:pPr>
        <w:spacing w:line="360" w:lineRule="auto"/>
        <w:ind w:firstLine="482" w:firstLineChars="200"/>
        <w:rPr>
          <w:rFonts w:ascii="宋体" w:hAnsi="宋体" w:cs="宋体"/>
          <w:b/>
          <w:sz w:val="24"/>
        </w:rPr>
      </w:pPr>
      <w:bookmarkStart w:id="223" w:name="_Toc57530243"/>
      <w:bookmarkStart w:id="224" w:name="_Toc79392584"/>
      <w:bookmarkStart w:id="225" w:name="_Toc15641220"/>
      <w:r>
        <w:rPr>
          <w:rFonts w:hint="eastAsia" w:ascii="宋体" w:hAnsi="宋体" w:cs="宋体"/>
          <w:b/>
          <w:sz w:val="24"/>
        </w:rPr>
        <w:t>一、召开事由</w:t>
      </w:r>
      <w:bookmarkEnd w:id="223"/>
      <w:bookmarkEnd w:id="224"/>
      <w:bookmarkEnd w:id="225"/>
    </w:p>
    <w:p>
      <w:pPr>
        <w:spacing w:line="360" w:lineRule="auto"/>
        <w:ind w:firstLine="480" w:firstLineChars="200"/>
        <w:rPr>
          <w:rFonts w:ascii="宋体" w:hAnsi="宋体" w:cs="宋体"/>
          <w:bCs/>
          <w:sz w:val="24"/>
        </w:rPr>
      </w:pPr>
      <w:r>
        <w:rPr>
          <w:rFonts w:hint="eastAsia" w:ascii="宋体" w:hAnsi="宋体" w:cs="宋体"/>
          <w:bCs/>
          <w:sz w:val="24"/>
        </w:rPr>
        <w:t>1、除法律法规、中国证监会和基金合同另有规定外，当出现或需要决定下列事由之一的，应当召开基金份额持有人大会：</w:t>
      </w:r>
    </w:p>
    <w:p>
      <w:pPr>
        <w:spacing w:line="440" w:lineRule="atLeast"/>
        <w:ind w:firstLine="480" w:firstLineChars="200"/>
        <w:rPr>
          <w:rFonts w:ascii="宋体" w:hAnsi="宋体" w:cs="宋体"/>
          <w:bCs/>
        </w:rPr>
      </w:pPr>
      <w:r>
        <w:rPr>
          <w:rFonts w:hint="eastAsia" w:ascii="宋体" w:hAnsi="宋体" w:cs="宋体"/>
          <w:bCs/>
          <w:sz w:val="24"/>
        </w:rPr>
        <w:t xml:space="preserve">（1）提前终止《基金合同》； </w:t>
      </w:r>
    </w:p>
    <w:p>
      <w:pPr>
        <w:spacing w:line="440" w:lineRule="atLeast"/>
        <w:ind w:firstLine="480" w:firstLineChars="200"/>
        <w:rPr>
          <w:rFonts w:ascii="宋体" w:hAnsi="宋体" w:cs="宋体"/>
          <w:bCs/>
        </w:rPr>
      </w:pPr>
      <w:r>
        <w:rPr>
          <w:rFonts w:hint="eastAsia" w:ascii="宋体" w:hAnsi="宋体" w:cs="宋体"/>
          <w:bCs/>
          <w:sz w:val="24"/>
        </w:rPr>
        <w:t>（2）更换基金管理人；</w:t>
      </w:r>
    </w:p>
    <w:p>
      <w:pPr>
        <w:spacing w:line="440" w:lineRule="atLeast"/>
        <w:ind w:firstLine="480" w:firstLineChars="200"/>
        <w:rPr>
          <w:rFonts w:ascii="宋体" w:hAnsi="宋体" w:cs="宋体"/>
          <w:bCs/>
          <w:sz w:val="24"/>
        </w:rPr>
      </w:pPr>
      <w:r>
        <w:rPr>
          <w:rFonts w:hint="eastAsia" w:ascii="宋体" w:hAnsi="宋体" w:cs="宋体"/>
          <w:bCs/>
          <w:sz w:val="24"/>
        </w:rPr>
        <w:t>（3）更换基金托管人；</w:t>
      </w:r>
    </w:p>
    <w:p>
      <w:pPr>
        <w:spacing w:line="440" w:lineRule="atLeast"/>
        <w:ind w:firstLine="480" w:firstLineChars="200"/>
        <w:rPr>
          <w:rFonts w:ascii="宋体" w:hAnsi="宋体" w:cs="宋体"/>
          <w:bCs/>
          <w:sz w:val="24"/>
        </w:rPr>
      </w:pPr>
      <w:r>
        <w:rPr>
          <w:rFonts w:hint="eastAsia" w:ascii="宋体" w:hAnsi="宋体" w:cs="宋体"/>
          <w:bCs/>
          <w:sz w:val="24"/>
        </w:rPr>
        <w:t>（4）转换基金运作方式；</w:t>
      </w:r>
    </w:p>
    <w:p>
      <w:pPr>
        <w:spacing w:line="440" w:lineRule="atLeast"/>
        <w:ind w:firstLine="480" w:firstLineChars="200"/>
        <w:rPr>
          <w:rFonts w:ascii="宋体" w:hAnsi="宋体" w:cs="宋体"/>
          <w:bCs/>
          <w:sz w:val="24"/>
        </w:rPr>
      </w:pPr>
      <w:r>
        <w:rPr>
          <w:rFonts w:hint="eastAsia" w:ascii="宋体" w:hAnsi="宋体" w:cs="宋体"/>
          <w:bCs/>
          <w:sz w:val="24"/>
        </w:rPr>
        <w:t>（5）调整基金管理人、基金托管人的报酬标准；</w:t>
      </w:r>
    </w:p>
    <w:p>
      <w:pPr>
        <w:spacing w:line="440" w:lineRule="atLeast"/>
        <w:ind w:firstLine="480" w:firstLineChars="200"/>
        <w:rPr>
          <w:rFonts w:ascii="宋体" w:hAnsi="宋体" w:cs="宋体"/>
          <w:bCs/>
          <w:sz w:val="24"/>
        </w:rPr>
      </w:pPr>
      <w:r>
        <w:rPr>
          <w:rFonts w:hint="eastAsia" w:ascii="宋体" w:hAnsi="宋体" w:cs="宋体"/>
          <w:bCs/>
          <w:sz w:val="24"/>
        </w:rPr>
        <w:t>（6）变更基金类别；</w:t>
      </w:r>
    </w:p>
    <w:p>
      <w:pPr>
        <w:spacing w:line="440" w:lineRule="atLeast"/>
        <w:ind w:firstLine="480" w:firstLineChars="200"/>
        <w:rPr>
          <w:rFonts w:ascii="宋体" w:hAnsi="宋体" w:cs="宋体"/>
          <w:bCs/>
          <w:sz w:val="24"/>
        </w:rPr>
      </w:pPr>
      <w:r>
        <w:rPr>
          <w:rFonts w:hint="eastAsia" w:ascii="宋体" w:hAnsi="宋体" w:cs="宋体"/>
          <w:bCs/>
          <w:sz w:val="24"/>
        </w:rPr>
        <w:t>（7）本基金与其他基金的合并；</w:t>
      </w:r>
    </w:p>
    <w:p>
      <w:pPr>
        <w:spacing w:line="440" w:lineRule="atLeast"/>
        <w:ind w:firstLine="480" w:firstLineChars="200"/>
        <w:rPr>
          <w:rFonts w:ascii="宋体" w:hAnsi="宋体" w:cs="宋体"/>
          <w:bCs/>
          <w:sz w:val="24"/>
        </w:rPr>
      </w:pPr>
      <w:r>
        <w:rPr>
          <w:rFonts w:hint="eastAsia" w:ascii="宋体" w:hAnsi="宋体" w:cs="宋体"/>
          <w:bCs/>
          <w:sz w:val="24"/>
        </w:rPr>
        <w:t>（8）变更基金投资目标、范围或策略；</w:t>
      </w:r>
    </w:p>
    <w:p>
      <w:pPr>
        <w:spacing w:line="440" w:lineRule="atLeast"/>
        <w:ind w:firstLine="480" w:firstLineChars="200"/>
        <w:rPr>
          <w:rFonts w:ascii="宋体" w:hAnsi="宋体" w:cs="宋体"/>
          <w:bCs/>
          <w:sz w:val="24"/>
        </w:rPr>
      </w:pPr>
      <w:r>
        <w:rPr>
          <w:rFonts w:hint="eastAsia" w:ascii="宋体" w:hAnsi="宋体" w:cs="宋体"/>
          <w:bCs/>
          <w:sz w:val="24"/>
        </w:rPr>
        <w:t>（9）变更基金份额持有人大会程序；</w:t>
      </w:r>
    </w:p>
    <w:p>
      <w:pPr>
        <w:spacing w:line="440" w:lineRule="atLeast"/>
        <w:ind w:firstLine="480" w:firstLineChars="200"/>
        <w:rPr>
          <w:rFonts w:ascii="宋体" w:hAnsi="宋体" w:cs="宋体"/>
          <w:bCs/>
          <w:sz w:val="24"/>
        </w:rPr>
      </w:pPr>
      <w:r>
        <w:rPr>
          <w:rFonts w:hint="eastAsia" w:ascii="宋体" w:hAnsi="宋体" w:cs="宋体"/>
          <w:bCs/>
          <w:sz w:val="24"/>
        </w:rPr>
        <w:t>（10）基金管理人或基金托管人要求召开基金份额持有人大会；</w:t>
      </w:r>
    </w:p>
    <w:p>
      <w:pPr>
        <w:spacing w:line="440" w:lineRule="atLeast"/>
        <w:ind w:firstLine="480" w:firstLineChars="200"/>
        <w:rPr>
          <w:rFonts w:ascii="宋体" w:hAnsi="宋体" w:cs="宋体"/>
          <w:bCs/>
          <w:sz w:val="24"/>
        </w:rPr>
      </w:pPr>
      <w:r>
        <w:rPr>
          <w:rFonts w:hint="eastAsia" w:ascii="宋体" w:hAnsi="宋体" w:cs="宋体"/>
          <w:bCs/>
          <w:sz w:val="24"/>
        </w:rPr>
        <w:t>（11）单独或合计持有本基金总份额10%以上（含10%）基金份额的基金份额持有人（以基金管理人收到提议当日的基金份额计算，下同）就同一事项书面要求召开基金份额持有人大会；</w:t>
      </w:r>
    </w:p>
    <w:p>
      <w:pPr>
        <w:spacing w:line="440" w:lineRule="atLeast"/>
        <w:ind w:firstLine="480" w:firstLineChars="200"/>
        <w:rPr>
          <w:rFonts w:ascii="宋体" w:hAnsi="宋体" w:cs="宋体"/>
          <w:bCs/>
          <w:sz w:val="24"/>
        </w:rPr>
      </w:pPr>
      <w:r>
        <w:rPr>
          <w:rFonts w:hint="eastAsia" w:ascii="宋体" w:hAnsi="宋体" w:cs="宋体"/>
          <w:bCs/>
          <w:sz w:val="24"/>
        </w:rPr>
        <w:t>（12）对基金合同当事人权利和义务产生重大影响的其他事项；</w:t>
      </w:r>
    </w:p>
    <w:p>
      <w:pPr>
        <w:spacing w:line="440" w:lineRule="atLeast"/>
        <w:ind w:firstLine="480" w:firstLineChars="200"/>
        <w:rPr>
          <w:rFonts w:ascii="宋体" w:hAnsi="宋体" w:cs="宋体"/>
          <w:bCs/>
          <w:sz w:val="24"/>
        </w:rPr>
      </w:pPr>
      <w:r>
        <w:rPr>
          <w:rFonts w:hint="eastAsia" w:ascii="宋体" w:hAnsi="宋体" w:cs="宋体"/>
          <w:bCs/>
          <w:sz w:val="24"/>
        </w:rPr>
        <w:t>（13）法律法规、《基金合同》或中国证监会规定的其他应当召开基金份额持有人大会的事项。</w:t>
      </w:r>
    </w:p>
    <w:p>
      <w:pPr>
        <w:spacing w:line="360" w:lineRule="auto"/>
        <w:ind w:firstLine="480" w:firstLineChars="200"/>
        <w:rPr>
          <w:rFonts w:ascii="宋体" w:hAnsi="宋体" w:cs="宋体"/>
          <w:bCs/>
          <w:sz w:val="24"/>
        </w:rPr>
      </w:pPr>
      <w:r>
        <w:rPr>
          <w:rFonts w:hint="eastAsia" w:ascii="宋体" w:hAnsi="宋体" w:cs="宋体"/>
          <w:bCs/>
          <w:sz w:val="24"/>
        </w:rPr>
        <w:t>2、在法律法规规定和《基金合同》约定的范围内且对基金份额持有人利益无实质性不利影响的前提下，以下情况可由基金管理人和基金托管人协商后修改，不需召开基金份额持有人大会：</w:t>
      </w:r>
    </w:p>
    <w:p>
      <w:pPr>
        <w:spacing w:line="360" w:lineRule="auto"/>
        <w:ind w:firstLine="480" w:firstLineChars="200"/>
        <w:rPr>
          <w:rFonts w:ascii="宋体" w:hAnsi="宋体" w:cs="宋体"/>
          <w:bCs/>
          <w:sz w:val="24"/>
        </w:rPr>
      </w:pPr>
      <w:r>
        <w:rPr>
          <w:rFonts w:hint="eastAsia" w:ascii="宋体" w:hAnsi="宋体" w:cs="宋体"/>
          <w:bCs/>
          <w:sz w:val="24"/>
        </w:rPr>
        <w:t>（1）法律法规要求增加的基金费用的收取；</w:t>
      </w:r>
    </w:p>
    <w:p>
      <w:pPr>
        <w:spacing w:line="360" w:lineRule="auto"/>
        <w:ind w:firstLine="480" w:firstLineChars="200"/>
        <w:rPr>
          <w:rFonts w:ascii="宋体" w:hAnsi="宋体" w:cs="宋体"/>
          <w:bCs/>
          <w:sz w:val="24"/>
        </w:rPr>
      </w:pPr>
      <w:r>
        <w:rPr>
          <w:rFonts w:hint="eastAsia" w:ascii="宋体" w:hAnsi="宋体" w:cs="宋体"/>
          <w:bCs/>
          <w:sz w:val="24"/>
        </w:rPr>
        <w:t>（2）在法律法规和《基金合同》规定的范围内变更收费方式；</w:t>
      </w:r>
    </w:p>
    <w:p>
      <w:pPr>
        <w:spacing w:line="360" w:lineRule="auto"/>
        <w:ind w:firstLine="480" w:firstLineChars="200"/>
        <w:rPr>
          <w:rFonts w:ascii="宋体" w:hAnsi="宋体" w:cs="宋体"/>
          <w:bCs/>
          <w:sz w:val="24"/>
        </w:rPr>
      </w:pPr>
      <w:r>
        <w:rPr>
          <w:rFonts w:hint="eastAsia" w:ascii="宋体" w:hAnsi="宋体" w:cs="宋体"/>
          <w:bCs/>
          <w:sz w:val="24"/>
        </w:rPr>
        <w:t>（3）增加、减少或调整基金份额类别设置或者调整基金份额分类办法及规则等；</w:t>
      </w:r>
    </w:p>
    <w:p>
      <w:pPr>
        <w:spacing w:line="360" w:lineRule="auto"/>
        <w:ind w:firstLine="480" w:firstLineChars="200"/>
        <w:rPr>
          <w:rFonts w:ascii="宋体" w:hAnsi="宋体" w:cs="宋体"/>
          <w:bCs/>
          <w:sz w:val="24"/>
        </w:rPr>
      </w:pPr>
      <w:r>
        <w:rPr>
          <w:rFonts w:hint="eastAsia" w:ascii="宋体" w:hAnsi="宋体" w:cs="宋体"/>
          <w:bCs/>
          <w:sz w:val="24"/>
        </w:rPr>
        <w:t>（4）因相应的</w:t>
      </w:r>
      <w:bookmarkStart w:id="226" w:name="OLE_LINK113"/>
      <w:bookmarkStart w:id="227" w:name="OLE_LINK114"/>
      <w:r>
        <w:rPr>
          <w:rFonts w:hint="eastAsia" w:ascii="宋体" w:hAnsi="宋体" w:cs="宋体"/>
          <w:bCs/>
          <w:sz w:val="24"/>
        </w:rPr>
        <w:t>法律法规发生变动而应当对《基金合同》</w:t>
      </w:r>
      <w:bookmarkEnd w:id="226"/>
      <w:bookmarkEnd w:id="227"/>
      <w:r>
        <w:rPr>
          <w:rFonts w:hint="eastAsia" w:ascii="宋体" w:hAnsi="宋体" w:cs="宋体"/>
          <w:bCs/>
          <w:sz w:val="24"/>
        </w:rPr>
        <w:t>进行修改；</w:t>
      </w:r>
    </w:p>
    <w:p>
      <w:pPr>
        <w:spacing w:line="360" w:lineRule="auto"/>
        <w:ind w:firstLine="480" w:firstLineChars="200"/>
        <w:rPr>
          <w:rFonts w:ascii="宋体" w:hAnsi="宋体" w:cs="宋体"/>
          <w:bCs/>
          <w:sz w:val="24"/>
        </w:rPr>
      </w:pPr>
      <w:r>
        <w:rPr>
          <w:rFonts w:hint="eastAsia" w:ascii="宋体" w:hAnsi="宋体" w:cs="宋体"/>
          <w:bCs/>
          <w:sz w:val="24"/>
        </w:rPr>
        <w:t>（5）对《基金合同》的修改对基金份额持有人利益无实质性不利影响或修改不涉及《基金合同》当事人权利义务关系发生重大变化；</w:t>
      </w:r>
    </w:p>
    <w:p>
      <w:pPr>
        <w:spacing w:line="360" w:lineRule="auto"/>
        <w:ind w:firstLine="480" w:firstLineChars="200"/>
        <w:rPr>
          <w:rFonts w:ascii="宋体" w:hAnsi="宋体" w:cs="宋体"/>
          <w:bCs/>
          <w:sz w:val="24"/>
        </w:rPr>
      </w:pPr>
      <w:r>
        <w:rPr>
          <w:rFonts w:hint="eastAsia" w:ascii="宋体" w:hAnsi="宋体" w:cs="宋体"/>
          <w:bCs/>
          <w:sz w:val="24"/>
        </w:rPr>
        <w:t>（6）基金管理人、基金登记机构、基金销售机构在法律法规规定或者中国证监会许可的范围内调整有关认购、非交易过户、转托管、基金份额转让、质押等业务规则；</w:t>
      </w:r>
    </w:p>
    <w:p>
      <w:pPr>
        <w:spacing w:line="360" w:lineRule="auto"/>
        <w:ind w:firstLine="480" w:firstLineChars="200"/>
        <w:rPr>
          <w:rFonts w:ascii="宋体" w:hAnsi="宋体" w:cs="宋体"/>
          <w:b/>
          <w:sz w:val="24"/>
        </w:rPr>
      </w:pPr>
      <w:r>
        <w:rPr>
          <w:rFonts w:hint="eastAsia" w:ascii="宋体" w:hAnsi="宋体" w:cs="宋体"/>
          <w:sz w:val="24"/>
        </w:rPr>
        <w:t>（7）基金管理人在履行适当程序后，</w:t>
      </w:r>
      <w:r>
        <w:rPr>
          <w:rFonts w:hint="eastAsia" w:ascii="宋体" w:hAnsi="宋体" w:cs="宋体"/>
          <w:bCs/>
          <w:sz w:val="24"/>
        </w:rPr>
        <w:t>基金推出新业务或服务；</w:t>
      </w:r>
    </w:p>
    <w:p>
      <w:pPr>
        <w:spacing w:line="360" w:lineRule="auto"/>
        <w:ind w:firstLine="480" w:firstLineChars="200"/>
        <w:rPr>
          <w:rFonts w:ascii="宋体" w:hAnsi="宋体" w:cs="宋体"/>
          <w:bCs/>
          <w:sz w:val="24"/>
        </w:rPr>
      </w:pPr>
      <w:r>
        <w:rPr>
          <w:rFonts w:hint="eastAsia" w:ascii="宋体" w:hAnsi="宋体" w:cs="宋体"/>
          <w:bCs/>
          <w:sz w:val="24"/>
        </w:rPr>
        <w:t>（8）按照法律法规和《基金合同》规定不需召开基金份额持有人大会的其他情形。</w:t>
      </w:r>
    </w:p>
    <w:p>
      <w:pPr>
        <w:spacing w:line="360" w:lineRule="auto"/>
        <w:ind w:firstLine="480" w:firstLineChars="200"/>
        <w:rPr>
          <w:rFonts w:ascii="宋体" w:hAnsi="宋体" w:cs="宋体"/>
          <w:bCs/>
          <w:sz w:val="24"/>
        </w:rPr>
      </w:pPr>
    </w:p>
    <w:p>
      <w:pPr>
        <w:spacing w:line="360" w:lineRule="auto"/>
        <w:ind w:firstLine="482" w:firstLineChars="200"/>
        <w:rPr>
          <w:rFonts w:ascii="宋体" w:hAnsi="宋体" w:cs="宋体"/>
          <w:b/>
          <w:sz w:val="24"/>
        </w:rPr>
      </w:pPr>
      <w:bookmarkStart w:id="228" w:name="_Toc79392585"/>
      <w:bookmarkStart w:id="229" w:name="_Toc57530244"/>
      <w:bookmarkStart w:id="230" w:name="_Toc15641221"/>
      <w:r>
        <w:rPr>
          <w:rFonts w:hint="eastAsia" w:ascii="宋体" w:hAnsi="宋体" w:cs="宋体"/>
          <w:b/>
          <w:sz w:val="24"/>
        </w:rPr>
        <w:t>二、会议召集人及召集方式</w:t>
      </w:r>
      <w:bookmarkEnd w:id="228"/>
      <w:bookmarkEnd w:id="229"/>
      <w:bookmarkEnd w:id="230"/>
    </w:p>
    <w:p>
      <w:pPr>
        <w:spacing w:line="360" w:lineRule="auto"/>
        <w:ind w:firstLine="480" w:firstLineChars="200"/>
        <w:rPr>
          <w:rFonts w:ascii="宋体" w:hAnsi="宋体" w:cs="宋体"/>
          <w:bCs/>
          <w:sz w:val="24"/>
        </w:rPr>
      </w:pPr>
      <w:bookmarkStart w:id="231" w:name="_Toc15641222"/>
      <w:bookmarkStart w:id="232" w:name="_Toc57530245"/>
      <w:r>
        <w:rPr>
          <w:rFonts w:hint="eastAsia" w:ascii="宋体" w:hAnsi="宋体" w:cs="宋体"/>
          <w:bCs/>
          <w:sz w:val="24"/>
        </w:rPr>
        <w:t>1、除法律法规规定或《基金合同》另有约定外，基金份额持有人大会由基金管理人召集；</w:t>
      </w:r>
    </w:p>
    <w:p>
      <w:pPr>
        <w:spacing w:line="360" w:lineRule="auto"/>
        <w:ind w:firstLine="480" w:firstLineChars="200"/>
        <w:rPr>
          <w:rFonts w:ascii="宋体" w:hAnsi="宋体" w:cs="宋体"/>
          <w:bCs/>
          <w:sz w:val="24"/>
        </w:rPr>
      </w:pPr>
      <w:r>
        <w:rPr>
          <w:rFonts w:hint="eastAsia" w:ascii="宋体" w:hAnsi="宋体" w:cs="宋体"/>
          <w:bCs/>
          <w:sz w:val="24"/>
        </w:rPr>
        <w:t>2、基金管理人未按规定召集或不能召集时，由基金托管人召集；</w:t>
      </w:r>
    </w:p>
    <w:p>
      <w:pPr>
        <w:spacing w:line="360" w:lineRule="auto"/>
        <w:ind w:firstLine="480"/>
        <w:rPr>
          <w:rFonts w:ascii="宋体" w:hAnsi="宋体" w:cs="宋体"/>
          <w:bCs/>
          <w:sz w:val="24"/>
        </w:rPr>
      </w:pPr>
      <w:r>
        <w:rPr>
          <w:rFonts w:hint="eastAsia" w:ascii="宋体" w:hAnsi="宋体" w:cs="宋体"/>
          <w:bCs/>
          <w:sz w:val="24"/>
        </w:rPr>
        <w:t>3、基金托管人认为有必要召开基金份额持有人大会的，应当向基金管理人提出书面提议。基金管理人应当自收到书面提议之日起10日内决定是否召集，并书面告知基金托管人。基金管理人决定召集的，应当自出具书面决定之日起60日内召开；基金管理人决定不召集或在规定时间内未能作出书面答复，基金托管人仍认为有必要召开的，应当由基金托管人自行召集，并自出具书面决定之日起60日内召开并告知基金管理人，基金管理人应当配合；</w:t>
      </w:r>
    </w:p>
    <w:p>
      <w:pPr>
        <w:spacing w:line="360" w:lineRule="auto"/>
        <w:ind w:firstLine="480"/>
        <w:rPr>
          <w:rFonts w:ascii="宋体" w:hAnsi="宋体" w:cs="宋体"/>
          <w:bCs/>
          <w:sz w:val="24"/>
        </w:rPr>
      </w:pPr>
      <w:r>
        <w:rPr>
          <w:rFonts w:hint="eastAsia" w:ascii="宋体" w:hAnsi="宋体" w:cs="宋体"/>
          <w:bCs/>
          <w:sz w:val="24"/>
        </w:rPr>
        <w:t>4、代表基金份额10%以上（含10%）的基金份额持有人就同一事项书面要求召开基金份额持有人大会，应当向基金管理人提出书面提议。基金管理人应当自收到书面提议之日起10日内决定是否召集，并书面 告知提出提议的基金份额持有人代表和基金托管人。基金管理人决定召集的，应当自出具书面决定之日起60日内召开；基金管理人决定不召集或在规定时间内未能作出书面答复，代表基金份额10%以上（含10%）的基金份额持有人仍认为有必要召开的，应当向基金托管人提出书面提议。基金托管人应当自收到书面提议之日起10日内决定是否召集，并书面告知提出提议的基金份额持有人代表和基金管理人；基金托管人决定召集的，应当自出具书面决定之日起60日内召开，并告知基金管理人，基金管理人应当配合；</w:t>
      </w:r>
    </w:p>
    <w:p>
      <w:pPr>
        <w:spacing w:line="360" w:lineRule="auto"/>
        <w:ind w:firstLine="480" w:firstLineChars="200"/>
        <w:rPr>
          <w:rFonts w:ascii="宋体" w:hAnsi="宋体" w:cs="宋体"/>
          <w:bCs/>
          <w:sz w:val="24"/>
        </w:rPr>
      </w:pPr>
      <w:r>
        <w:rPr>
          <w:rFonts w:hint="eastAsia" w:ascii="宋体" w:hAnsi="宋体" w:cs="宋体"/>
          <w:bCs/>
          <w:sz w:val="24"/>
        </w:rPr>
        <w:t>5、代表基金份额10%以上（含10%）的基金份额持有人就同一事项要求召开基金份额持有人大会，而基金管理人、基金托管人都不召集或在规定时间内未能作出书面答复的，单独或合计代表基金份额10%以上（含10%）的基金份额持有人有权自行召集，并至少提前30日报中国证监会备案。基金份额持有人依法自行召集基金份额持有人大会的，基金管理人、基金托管人应当配合，不得阻碍、干扰；</w:t>
      </w:r>
    </w:p>
    <w:p>
      <w:pPr>
        <w:spacing w:line="360" w:lineRule="auto"/>
        <w:ind w:firstLine="480" w:firstLineChars="200"/>
        <w:rPr>
          <w:rFonts w:ascii="宋体" w:hAnsi="宋体" w:cs="宋体"/>
          <w:bCs/>
          <w:sz w:val="24"/>
        </w:rPr>
      </w:pPr>
      <w:r>
        <w:rPr>
          <w:rFonts w:hint="eastAsia" w:ascii="宋体" w:hAnsi="宋体" w:cs="宋体"/>
          <w:bCs/>
          <w:sz w:val="24"/>
        </w:rPr>
        <w:t>6、基金份额持有人会议的召集人负责选择确定开会时间、地点、方式和权益登记日。</w:t>
      </w:r>
    </w:p>
    <w:p>
      <w:pPr>
        <w:spacing w:line="360" w:lineRule="auto"/>
        <w:ind w:firstLine="480" w:firstLineChars="200"/>
        <w:rPr>
          <w:rFonts w:ascii="宋体" w:hAnsi="宋体" w:cs="宋体"/>
          <w:bCs/>
          <w:sz w:val="24"/>
        </w:rPr>
      </w:pPr>
    </w:p>
    <w:p>
      <w:pPr>
        <w:spacing w:line="360" w:lineRule="auto"/>
        <w:ind w:firstLine="482" w:firstLineChars="200"/>
        <w:rPr>
          <w:rFonts w:ascii="宋体" w:hAnsi="宋体" w:cs="宋体"/>
          <w:b/>
          <w:sz w:val="24"/>
        </w:rPr>
      </w:pPr>
      <w:bookmarkStart w:id="233" w:name="_Toc79392586"/>
      <w:r>
        <w:rPr>
          <w:rFonts w:hint="eastAsia" w:ascii="宋体" w:hAnsi="宋体" w:cs="宋体"/>
          <w:b/>
          <w:sz w:val="24"/>
        </w:rPr>
        <w:t>三、召开基金份额持有人大会的通知时间、通知内容、通知方式</w:t>
      </w:r>
      <w:bookmarkEnd w:id="231"/>
      <w:bookmarkEnd w:id="232"/>
      <w:bookmarkEnd w:id="233"/>
    </w:p>
    <w:p>
      <w:pPr>
        <w:spacing w:line="360" w:lineRule="auto"/>
        <w:ind w:firstLine="480" w:firstLineChars="200"/>
        <w:rPr>
          <w:rFonts w:ascii="宋体" w:hAnsi="宋体" w:cs="宋体"/>
          <w:bCs/>
          <w:sz w:val="24"/>
        </w:rPr>
      </w:pPr>
      <w:r>
        <w:rPr>
          <w:rFonts w:hint="eastAsia" w:ascii="宋体" w:hAnsi="宋体" w:cs="宋体"/>
          <w:bCs/>
          <w:sz w:val="24"/>
        </w:rPr>
        <w:t>1、召开基金份额持有人大会，召集人应于会议召开前30日，在规定媒介公告。基金份额持有人大会通知应至少载明以下内容：</w:t>
      </w:r>
    </w:p>
    <w:p>
      <w:pPr>
        <w:spacing w:line="360" w:lineRule="auto"/>
        <w:ind w:firstLine="480" w:firstLineChars="200"/>
        <w:rPr>
          <w:rFonts w:ascii="宋体" w:hAnsi="宋体" w:cs="宋体"/>
          <w:bCs/>
          <w:sz w:val="24"/>
        </w:rPr>
      </w:pPr>
      <w:r>
        <w:rPr>
          <w:rFonts w:hint="eastAsia" w:ascii="宋体" w:hAnsi="宋体" w:cs="宋体"/>
          <w:bCs/>
          <w:sz w:val="24"/>
        </w:rPr>
        <w:t>（1）会议召开的时间、地点和会议形式；</w:t>
      </w:r>
    </w:p>
    <w:p>
      <w:pPr>
        <w:spacing w:line="360" w:lineRule="auto"/>
        <w:ind w:firstLine="480" w:firstLineChars="200"/>
        <w:rPr>
          <w:rFonts w:ascii="宋体" w:hAnsi="宋体" w:cs="宋体"/>
          <w:bCs/>
          <w:sz w:val="24"/>
        </w:rPr>
      </w:pPr>
      <w:r>
        <w:rPr>
          <w:rFonts w:hint="eastAsia" w:ascii="宋体" w:hAnsi="宋体" w:cs="宋体"/>
          <w:bCs/>
          <w:sz w:val="24"/>
        </w:rPr>
        <w:t>（2）会议拟审议的事项、议事程序和表决方式；</w:t>
      </w:r>
    </w:p>
    <w:p>
      <w:pPr>
        <w:spacing w:line="360" w:lineRule="auto"/>
        <w:ind w:firstLine="480" w:firstLineChars="200"/>
        <w:rPr>
          <w:rFonts w:ascii="宋体" w:hAnsi="宋体" w:cs="宋体"/>
          <w:bCs/>
          <w:sz w:val="24"/>
        </w:rPr>
      </w:pPr>
      <w:r>
        <w:rPr>
          <w:rFonts w:hint="eastAsia" w:ascii="宋体" w:hAnsi="宋体" w:cs="宋体"/>
          <w:bCs/>
          <w:sz w:val="24"/>
        </w:rPr>
        <w:t>（3）有权出席基金份额持有人大会的基金份额持有人的权益登记日；</w:t>
      </w:r>
    </w:p>
    <w:p>
      <w:pPr>
        <w:spacing w:line="360" w:lineRule="auto"/>
        <w:ind w:firstLine="480" w:firstLineChars="200"/>
        <w:rPr>
          <w:rFonts w:ascii="宋体" w:hAnsi="宋体" w:cs="宋体"/>
          <w:bCs/>
          <w:sz w:val="24"/>
        </w:rPr>
      </w:pPr>
      <w:r>
        <w:rPr>
          <w:rFonts w:hint="eastAsia" w:ascii="宋体" w:hAnsi="宋体" w:cs="宋体"/>
          <w:bCs/>
          <w:sz w:val="24"/>
        </w:rPr>
        <w:t>（4）授权委托证明的内容要求（包括但不限于代理人身份，代理权限和代理有效期限等）、送达时间和地点;</w:t>
      </w:r>
    </w:p>
    <w:p>
      <w:pPr>
        <w:spacing w:line="360" w:lineRule="auto"/>
        <w:ind w:firstLine="480" w:firstLineChars="200"/>
        <w:rPr>
          <w:rFonts w:ascii="宋体" w:hAnsi="宋体" w:cs="宋体"/>
          <w:bCs/>
          <w:sz w:val="24"/>
        </w:rPr>
      </w:pPr>
      <w:r>
        <w:rPr>
          <w:rFonts w:hint="eastAsia" w:ascii="宋体" w:hAnsi="宋体" w:cs="宋体"/>
          <w:bCs/>
          <w:sz w:val="24"/>
        </w:rPr>
        <w:t>（5）会务常设联系人姓名及联系电话；</w:t>
      </w:r>
    </w:p>
    <w:p>
      <w:pPr>
        <w:spacing w:line="360" w:lineRule="auto"/>
        <w:ind w:firstLine="480" w:firstLineChars="200"/>
        <w:rPr>
          <w:rFonts w:ascii="宋体" w:hAnsi="宋体" w:cs="宋体"/>
          <w:bCs/>
          <w:sz w:val="24"/>
        </w:rPr>
      </w:pPr>
      <w:r>
        <w:rPr>
          <w:rFonts w:hint="eastAsia" w:ascii="宋体" w:hAnsi="宋体" w:cs="宋体"/>
          <w:bCs/>
          <w:sz w:val="24"/>
        </w:rPr>
        <w:t>（6）出席会议者必须准备的文件和必须履行的手续；</w:t>
      </w:r>
    </w:p>
    <w:p>
      <w:pPr>
        <w:spacing w:line="360" w:lineRule="auto"/>
        <w:ind w:firstLine="480" w:firstLineChars="200"/>
        <w:rPr>
          <w:rFonts w:ascii="宋体" w:hAnsi="宋体" w:cs="宋体"/>
          <w:bCs/>
          <w:sz w:val="24"/>
        </w:rPr>
      </w:pPr>
      <w:r>
        <w:rPr>
          <w:rFonts w:hint="eastAsia" w:ascii="宋体" w:hAnsi="宋体" w:cs="宋体"/>
          <w:bCs/>
          <w:sz w:val="24"/>
        </w:rPr>
        <w:t>（7）召集人需要通知的其他事项。</w:t>
      </w:r>
    </w:p>
    <w:p>
      <w:pPr>
        <w:spacing w:line="360" w:lineRule="auto"/>
        <w:ind w:firstLine="480" w:firstLineChars="200"/>
        <w:rPr>
          <w:rFonts w:ascii="宋体" w:hAnsi="宋体" w:cs="宋体"/>
          <w:bCs/>
          <w:sz w:val="24"/>
        </w:rPr>
      </w:pPr>
      <w:r>
        <w:rPr>
          <w:rFonts w:hint="eastAsia" w:ascii="宋体" w:hAnsi="宋体" w:cs="宋体"/>
          <w:bCs/>
          <w:sz w:val="24"/>
        </w:rPr>
        <w:t>2、采取通讯开会方式并进行表决的情况下，由会议召集人决定在会议通知中说明本次基金份额持有人大会所采取的具体通讯方式、委托的公证机关及其联系方式和联系人、表决意见寄交的截止时间和收取方式。</w:t>
      </w:r>
    </w:p>
    <w:p>
      <w:pPr>
        <w:spacing w:line="360" w:lineRule="auto"/>
        <w:ind w:firstLine="480" w:firstLineChars="200"/>
        <w:rPr>
          <w:rFonts w:ascii="宋体" w:hAnsi="宋体" w:cs="宋体"/>
          <w:bCs/>
          <w:sz w:val="24"/>
        </w:rPr>
      </w:pPr>
      <w:r>
        <w:rPr>
          <w:rFonts w:hint="eastAsia" w:ascii="宋体" w:hAnsi="宋体" w:cs="宋体"/>
          <w:bCs/>
          <w:sz w:val="24"/>
        </w:rPr>
        <w:t>3、如召集人为基金管理人，还应另行书面通知基金托管人到指定地点对表决意见的计票进行监督；如召集人为基金托管人，则应另行书面通知基金管理人到指定地点对表决意见的计票进行监督；如召集人为基金份额持有人，则应另行书面通知基金管理人和基金托管人到指定地点对表决意见的计票进行监督。基金管理人或基金托管人拒不派代表对表决意见的计票进行监督的，不影响表决意见的计票效力。</w:t>
      </w:r>
    </w:p>
    <w:p>
      <w:pPr>
        <w:spacing w:line="360" w:lineRule="auto"/>
        <w:ind w:firstLine="480" w:firstLineChars="200"/>
        <w:rPr>
          <w:rFonts w:ascii="宋体" w:hAnsi="宋体" w:cs="宋体"/>
          <w:bCs/>
          <w:sz w:val="24"/>
        </w:rPr>
      </w:pPr>
    </w:p>
    <w:p>
      <w:pPr>
        <w:spacing w:line="360" w:lineRule="auto"/>
        <w:ind w:firstLine="482" w:firstLineChars="200"/>
        <w:rPr>
          <w:rFonts w:ascii="宋体" w:hAnsi="宋体" w:cs="宋体"/>
          <w:b/>
          <w:sz w:val="24"/>
        </w:rPr>
      </w:pPr>
      <w:bookmarkStart w:id="234" w:name="_Toc57530246"/>
      <w:bookmarkStart w:id="235" w:name="_Toc79392587"/>
      <w:bookmarkStart w:id="236" w:name="_Toc15641223"/>
      <w:r>
        <w:rPr>
          <w:rFonts w:hint="eastAsia" w:ascii="宋体" w:hAnsi="宋体" w:cs="宋体"/>
          <w:b/>
          <w:sz w:val="24"/>
        </w:rPr>
        <w:t>四、基金份额持有人出席会议的方式</w:t>
      </w:r>
      <w:bookmarkEnd w:id="234"/>
      <w:bookmarkEnd w:id="235"/>
      <w:bookmarkEnd w:id="236"/>
    </w:p>
    <w:p>
      <w:pPr>
        <w:spacing w:line="360" w:lineRule="auto"/>
        <w:ind w:firstLine="480" w:firstLineChars="200"/>
        <w:rPr>
          <w:rFonts w:ascii="宋体" w:hAnsi="宋体" w:cs="宋体"/>
          <w:bCs/>
          <w:sz w:val="24"/>
        </w:rPr>
      </w:pPr>
      <w:r>
        <w:rPr>
          <w:rFonts w:hint="eastAsia" w:ascii="宋体" w:hAnsi="宋体" w:cs="宋体"/>
          <w:bCs/>
          <w:sz w:val="24"/>
        </w:rPr>
        <w:t>基金份额持有人大会可通过现场开会方式或通讯开会方式以及法律法规或监管机构允许的其他方式召开，会议的召开方式由会议召集人确定。</w:t>
      </w:r>
    </w:p>
    <w:p>
      <w:pPr>
        <w:spacing w:line="360" w:lineRule="auto"/>
        <w:ind w:firstLine="480" w:firstLineChars="200"/>
        <w:rPr>
          <w:rFonts w:ascii="宋体" w:hAnsi="宋体" w:cs="宋体"/>
          <w:bCs/>
          <w:sz w:val="24"/>
        </w:rPr>
      </w:pPr>
      <w:r>
        <w:rPr>
          <w:rFonts w:hint="eastAsia" w:ascii="宋体" w:hAnsi="宋体" w:cs="宋体"/>
          <w:bCs/>
          <w:sz w:val="24"/>
        </w:rPr>
        <w:t>1、现场开会。由基金份额持有人本人出席或以代理投票授权委托证明委派代表出席，现场开会时基金管理人和基金托管人的授权代表应当列席基金份额持有人大会，基金管理人或托管人不派代表列席的，不影响表决效力。现场开会同时符合以下条件时，可以进行基金份额持有人大会议程：</w:t>
      </w:r>
    </w:p>
    <w:p>
      <w:pPr>
        <w:spacing w:line="360" w:lineRule="auto"/>
        <w:ind w:firstLine="480" w:firstLineChars="200"/>
        <w:rPr>
          <w:rFonts w:ascii="宋体" w:hAnsi="宋体" w:cs="宋体"/>
          <w:bCs/>
          <w:sz w:val="24"/>
        </w:rPr>
      </w:pPr>
      <w:r>
        <w:rPr>
          <w:rFonts w:hint="eastAsia" w:ascii="宋体" w:hAnsi="宋体" w:cs="宋体"/>
          <w:bCs/>
          <w:sz w:val="24"/>
        </w:rPr>
        <w:t>（1）亲自出席会议者持有基金份额的凭证、受托出席会议者出具的委托人持有基金份额的凭证及委托人的代理投票授权委托证明符合法律法规、《基金合同》和会议通知的规定，并且持有基金份额的凭证与基金管理人持有的登记资料相符；</w:t>
      </w:r>
    </w:p>
    <w:p>
      <w:pPr>
        <w:spacing w:line="360" w:lineRule="auto"/>
        <w:ind w:firstLine="480" w:firstLineChars="200"/>
        <w:rPr>
          <w:rFonts w:ascii="宋体" w:hAnsi="宋体" w:cs="宋体"/>
          <w:bCs/>
          <w:sz w:val="24"/>
        </w:rPr>
      </w:pPr>
      <w:r>
        <w:rPr>
          <w:rFonts w:hint="eastAsia" w:ascii="宋体" w:hAnsi="宋体" w:cs="宋体"/>
          <w:bCs/>
          <w:sz w:val="24"/>
        </w:rPr>
        <w:t>（2）经核对，汇总到会者出示的在权益登记日持有基金份额的凭证显示，有效的基金份额不少于本基金在权益登记日基金总份额的二分之一（含二分之一）。若到会者在权益登记日代表的有效的基金份额少于本基金在权益登记日基金总份额的二分之一，召集人可以在原公告的基金份额持有人大会召开时间的三个月以后、六个月以内，就原定审议事项重新召集基金份额持有人大会。重新召集的基金份额持有人大会到会者在权益登记日代表的有效的基金份额应不少于本基金在权益登记日基金总份额的三分之一（含三分之一）。</w:t>
      </w:r>
    </w:p>
    <w:p>
      <w:pPr>
        <w:spacing w:line="360" w:lineRule="auto"/>
        <w:ind w:firstLine="480" w:firstLineChars="200"/>
        <w:rPr>
          <w:rFonts w:ascii="宋体" w:hAnsi="宋体" w:cs="宋体"/>
          <w:bCs/>
          <w:sz w:val="24"/>
        </w:rPr>
      </w:pPr>
      <w:r>
        <w:rPr>
          <w:rFonts w:hint="eastAsia" w:ascii="宋体" w:hAnsi="宋体" w:cs="宋体"/>
          <w:bCs/>
          <w:sz w:val="24"/>
        </w:rPr>
        <w:t>2、通讯开会。通讯开会系指基金份额持有人将其对表决事项的投票以书面形式或会议通知载明的其他方式在表决截止日以前送达至召集人指定的地址。通讯开会应以书面方式或会议通知载明的其他方式进行表决。</w:t>
      </w:r>
    </w:p>
    <w:p>
      <w:pPr>
        <w:spacing w:line="360" w:lineRule="auto"/>
        <w:ind w:firstLine="480" w:firstLineChars="200"/>
        <w:rPr>
          <w:rFonts w:ascii="宋体" w:hAnsi="宋体" w:cs="宋体"/>
          <w:bCs/>
          <w:sz w:val="24"/>
        </w:rPr>
      </w:pPr>
      <w:r>
        <w:rPr>
          <w:rFonts w:hint="eastAsia" w:ascii="宋体" w:hAnsi="宋体" w:cs="宋体"/>
          <w:bCs/>
          <w:sz w:val="24"/>
        </w:rPr>
        <w:t>在同时符合以下条件时，通讯开会的方式视为有效：</w:t>
      </w:r>
    </w:p>
    <w:p>
      <w:pPr>
        <w:spacing w:line="360" w:lineRule="auto"/>
        <w:ind w:firstLine="480" w:firstLineChars="200"/>
        <w:rPr>
          <w:rFonts w:ascii="宋体" w:hAnsi="宋体" w:cs="宋体"/>
          <w:bCs/>
          <w:sz w:val="24"/>
        </w:rPr>
      </w:pPr>
      <w:r>
        <w:rPr>
          <w:rFonts w:hint="eastAsia" w:ascii="宋体" w:hAnsi="宋体" w:cs="宋体"/>
          <w:bCs/>
          <w:sz w:val="24"/>
        </w:rPr>
        <w:t>（1）会议召集人按《基金合同》约定公布会议通知后，在2个工作日内连续公布相关提示性公告；</w:t>
      </w:r>
    </w:p>
    <w:p>
      <w:pPr>
        <w:spacing w:line="360" w:lineRule="auto"/>
        <w:ind w:firstLine="480" w:firstLineChars="200"/>
        <w:rPr>
          <w:rFonts w:ascii="宋体" w:hAnsi="宋体" w:cs="宋体"/>
          <w:bCs/>
          <w:sz w:val="24"/>
        </w:rPr>
      </w:pPr>
      <w:r>
        <w:rPr>
          <w:rFonts w:hint="eastAsia" w:ascii="宋体" w:hAnsi="宋体" w:cs="宋体"/>
          <w:bCs/>
          <w:sz w:val="24"/>
        </w:rPr>
        <w:t>（2）召集人按基金合同约定通知基金托管人（如果基金托管人为召集人，则为基金管理人）到指定地点对表决意见的计票进行监督。会议召集人在基金托管人（如果基金托管人为召集人，则为基金管理人）和公证机关的监督下按照会议通知规定的方式收取基金份额持有人的表决意见；基金托管人或基金管理人经通知不参加收取表决意见的，不影响表决效力；</w:t>
      </w:r>
    </w:p>
    <w:p>
      <w:pPr>
        <w:spacing w:line="360" w:lineRule="auto"/>
        <w:ind w:firstLine="480" w:firstLineChars="200"/>
        <w:rPr>
          <w:rFonts w:ascii="宋体" w:hAnsi="宋体" w:cs="宋体"/>
          <w:bCs/>
          <w:sz w:val="24"/>
        </w:rPr>
      </w:pPr>
      <w:r>
        <w:rPr>
          <w:rFonts w:hint="eastAsia" w:ascii="宋体" w:hAnsi="宋体" w:cs="宋体"/>
          <w:bCs/>
          <w:sz w:val="24"/>
        </w:rPr>
        <w:t>（3）本人直接出具表决意见或授权他人代表出具表决意见的，基金份额持有人所持有的基金份额不小于在权益登记日基金总份额的二分之一（含二分之一）；若本人直接出具表决意见或授权他人代表出具表决意见参加基金份额持有人大会的持有人的基金份额低于前款规定比例的，召集人可以在原公告的基金份额持有人大会召开时间的三个月以后、六个月以内，就原定审议事项重新召集基金份额持有人大会。重新召集的基金份额持有人大会应当有代表三分之一以上（含三分之一）基金份额的持有人直接出具表决意见或授权他人代表出具表决意见；</w:t>
      </w:r>
    </w:p>
    <w:p>
      <w:pPr>
        <w:spacing w:line="360" w:lineRule="auto"/>
        <w:ind w:firstLine="480" w:firstLineChars="200"/>
        <w:rPr>
          <w:rFonts w:ascii="宋体" w:hAnsi="宋体" w:cs="宋体"/>
          <w:bCs/>
          <w:sz w:val="24"/>
        </w:rPr>
      </w:pPr>
      <w:r>
        <w:rPr>
          <w:rFonts w:hint="eastAsia" w:ascii="宋体" w:hAnsi="宋体" w:cs="宋体"/>
          <w:bCs/>
          <w:sz w:val="24"/>
        </w:rPr>
        <w:t>（4）上述第（3）项中直接出具表决意见的基金份额持有人或受托代表他人出具表决意见的代理人，同时提交的持有基金份额的凭证、受托出具表决意见的代理人出具的委托人持有基金份额的凭证及委托人的代理投票授权委托证明符合法律法规、《基金合同》和会议通知的规定，并与基金登记机构记录相符；</w:t>
      </w:r>
    </w:p>
    <w:p>
      <w:pPr>
        <w:spacing w:line="360" w:lineRule="auto"/>
        <w:ind w:firstLine="480" w:firstLineChars="200"/>
        <w:rPr>
          <w:rFonts w:ascii="宋体" w:hAnsi="宋体" w:cs="宋体"/>
          <w:bCs/>
          <w:sz w:val="24"/>
        </w:rPr>
      </w:pPr>
      <w:r>
        <w:rPr>
          <w:rFonts w:hint="eastAsia" w:ascii="宋体" w:hAnsi="宋体" w:cs="宋体"/>
          <w:bCs/>
          <w:sz w:val="24"/>
        </w:rPr>
        <w:t>3、基金份额持有人授权他人代为出席会议并表决的，授权方式可以采用书面、网络、电话、短信或其他方式，具体方式在会议通知中列明。</w:t>
      </w:r>
    </w:p>
    <w:p>
      <w:pPr>
        <w:spacing w:line="360" w:lineRule="auto"/>
        <w:ind w:firstLine="480" w:firstLineChars="200"/>
        <w:rPr>
          <w:rFonts w:ascii="宋体" w:hAnsi="宋体" w:cs="宋体"/>
          <w:bCs/>
          <w:sz w:val="24"/>
        </w:rPr>
      </w:pPr>
      <w:r>
        <w:rPr>
          <w:rFonts w:hint="eastAsia" w:ascii="宋体" w:hAnsi="宋体" w:cs="宋体"/>
          <w:bCs/>
          <w:sz w:val="24"/>
        </w:rPr>
        <w:t>4、在法律法规和监管机关允许的情况下，在会议召开方式上，本基金亦可采用网络、电话等非现场方式或者以现场方式与非现场方式相结合的方式召开基金份额持有人大会，具体方式由会议召集人确定并在会议通知中列明。</w:t>
      </w:r>
    </w:p>
    <w:p>
      <w:pPr>
        <w:spacing w:line="360" w:lineRule="auto"/>
        <w:ind w:firstLine="480" w:firstLineChars="200"/>
        <w:rPr>
          <w:rFonts w:ascii="宋体" w:hAnsi="宋体" w:cs="宋体"/>
          <w:bCs/>
          <w:sz w:val="24"/>
        </w:rPr>
      </w:pPr>
    </w:p>
    <w:p>
      <w:pPr>
        <w:spacing w:line="360" w:lineRule="auto"/>
        <w:ind w:firstLine="482" w:firstLineChars="200"/>
        <w:rPr>
          <w:rFonts w:ascii="宋体" w:hAnsi="宋体" w:cs="宋体"/>
          <w:b/>
          <w:sz w:val="24"/>
        </w:rPr>
      </w:pPr>
      <w:bookmarkStart w:id="237" w:name="_Toc57530247"/>
      <w:bookmarkStart w:id="238" w:name="_Toc79392588"/>
      <w:bookmarkStart w:id="239" w:name="_Toc15641224"/>
      <w:r>
        <w:rPr>
          <w:rFonts w:hint="eastAsia" w:ascii="宋体" w:hAnsi="宋体" w:cs="宋体"/>
          <w:b/>
          <w:sz w:val="24"/>
        </w:rPr>
        <w:t>五、议事内容与程序</w:t>
      </w:r>
      <w:bookmarkEnd w:id="237"/>
      <w:bookmarkEnd w:id="238"/>
      <w:bookmarkEnd w:id="239"/>
    </w:p>
    <w:p>
      <w:pPr>
        <w:spacing w:line="360" w:lineRule="auto"/>
        <w:ind w:firstLine="480" w:firstLineChars="200"/>
        <w:rPr>
          <w:rFonts w:ascii="宋体" w:hAnsi="宋体" w:cs="宋体"/>
          <w:bCs/>
          <w:sz w:val="24"/>
        </w:rPr>
      </w:pPr>
      <w:r>
        <w:rPr>
          <w:rFonts w:hint="eastAsia" w:ascii="宋体" w:hAnsi="宋体" w:cs="宋体"/>
          <w:bCs/>
          <w:sz w:val="24"/>
        </w:rPr>
        <w:t>1、议事内容及提案权</w:t>
      </w:r>
    </w:p>
    <w:p>
      <w:pPr>
        <w:spacing w:line="360" w:lineRule="auto"/>
        <w:ind w:firstLine="480" w:firstLineChars="200"/>
        <w:rPr>
          <w:rFonts w:ascii="宋体" w:hAnsi="宋体" w:cs="宋体"/>
          <w:bCs/>
          <w:sz w:val="24"/>
        </w:rPr>
      </w:pPr>
      <w:r>
        <w:rPr>
          <w:rFonts w:hint="eastAsia" w:ascii="宋体" w:hAnsi="宋体" w:cs="宋体"/>
          <w:bCs/>
          <w:sz w:val="24"/>
        </w:rPr>
        <w:t>议事内容为关系基金份额持有人利益的重大事项，如《基金合同》的重大修改、决定终止《基金合同》、更换基金管理人、更换基金托管人、与其他基金合并、法律法规及《基金合同》规定的其他事项以及会议召集人认为需提交基金份额持有人大会讨论的其他事项。</w:t>
      </w:r>
    </w:p>
    <w:p>
      <w:pPr>
        <w:spacing w:line="360" w:lineRule="auto"/>
        <w:ind w:firstLine="480" w:firstLineChars="200"/>
        <w:rPr>
          <w:rFonts w:ascii="宋体" w:hAnsi="宋体" w:cs="宋体"/>
          <w:bCs/>
          <w:sz w:val="24"/>
        </w:rPr>
      </w:pPr>
      <w:r>
        <w:rPr>
          <w:rFonts w:hint="eastAsia" w:ascii="宋体" w:hAnsi="宋体" w:cs="宋体"/>
          <w:bCs/>
          <w:sz w:val="24"/>
        </w:rPr>
        <w:t>基金份额持有人大会的召集人发出召集会议的通知后，对原有提案的修改应当在基金份额持有人大会召开前及时公告。</w:t>
      </w:r>
    </w:p>
    <w:p>
      <w:pPr>
        <w:spacing w:line="360" w:lineRule="auto"/>
        <w:ind w:firstLine="480" w:firstLineChars="200"/>
        <w:rPr>
          <w:rFonts w:ascii="宋体" w:hAnsi="宋体" w:cs="宋体"/>
          <w:bCs/>
          <w:sz w:val="24"/>
        </w:rPr>
      </w:pPr>
      <w:r>
        <w:rPr>
          <w:rFonts w:hint="eastAsia" w:ascii="宋体" w:hAnsi="宋体" w:cs="宋体"/>
          <w:bCs/>
          <w:sz w:val="24"/>
        </w:rPr>
        <w:t>基金份额持有人大会不得对未事先公告的议事内容进行表决。</w:t>
      </w:r>
    </w:p>
    <w:p>
      <w:pPr>
        <w:spacing w:line="360" w:lineRule="auto"/>
        <w:ind w:firstLine="480" w:firstLineChars="200"/>
        <w:rPr>
          <w:rFonts w:ascii="宋体" w:hAnsi="宋体" w:cs="宋体"/>
          <w:bCs/>
          <w:sz w:val="24"/>
        </w:rPr>
      </w:pPr>
      <w:r>
        <w:rPr>
          <w:rFonts w:hint="eastAsia" w:ascii="宋体" w:hAnsi="宋体" w:cs="宋体"/>
          <w:bCs/>
          <w:sz w:val="24"/>
        </w:rPr>
        <w:t>2、议事程序</w:t>
      </w:r>
    </w:p>
    <w:p>
      <w:pPr>
        <w:spacing w:line="360" w:lineRule="auto"/>
        <w:ind w:firstLine="480" w:firstLineChars="200"/>
        <w:rPr>
          <w:rFonts w:ascii="宋体" w:hAnsi="宋体" w:cs="宋体"/>
          <w:bCs/>
          <w:sz w:val="24"/>
        </w:rPr>
      </w:pPr>
      <w:r>
        <w:rPr>
          <w:rFonts w:hint="eastAsia" w:ascii="宋体" w:hAnsi="宋体" w:cs="宋体"/>
          <w:bCs/>
          <w:sz w:val="24"/>
        </w:rPr>
        <w:t>（1）现场开会</w:t>
      </w:r>
    </w:p>
    <w:p>
      <w:pPr>
        <w:spacing w:line="360" w:lineRule="auto"/>
        <w:ind w:firstLine="480" w:firstLineChars="200"/>
        <w:rPr>
          <w:rFonts w:ascii="宋体" w:hAnsi="宋体" w:cs="宋体"/>
          <w:bCs/>
          <w:sz w:val="24"/>
        </w:rPr>
      </w:pPr>
      <w:r>
        <w:rPr>
          <w:rFonts w:hint="eastAsia" w:ascii="宋体" w:hAnsi="宋体" w:cs="宋体"/>
          <w:bCs/>
          <w:sz w:val="24"/>
        </w:rPr>
        <w:t>在现场开会的方式下，首先由大会主持人按照下列第七条规定程序确定和公布监票人，然后由大会主持人宣读提案，经讨论后进行表决，并形成大会决议。大会主持人为基金管理人授权出席会议的代表，在基金管理人授权代表未能主持大会的情况下，由基金托管人授权其出席会议的代表主持；如果基金管理人授权代表和基金托管人授权代表均未能主持大会，则由出席大会的基金份额持有人和代理人所持表决权的50%以上（含50%）选举产生一名基金份额持有人作为该次基金份额持有人大会的主持人。基金管理人和基金托管人拒不出席或主持基金份额持有人大会，不影响基金份额持有人大会作出的决议的效力。</w:t>
      </w:r>
    </w:p>
    <w:p>
      <w:pPr>
        <w:spacing w:line="360" w:lineRule="auto"/>
        <w:ind w:firstLine="480" w:firstLineChars="200"/>
        <w:rPr>
          <w:rFonts w:ascii="宋体" w:hAnsi="宋体" w:cs="宋体"/>
          <w:bCs/>
          <w:sz w:val="24"/>
        </w:rPr>
      </w:pPr>
      <w:r>
        <w:rPr>
          <w:rFonts w:hint="eastAsia" w:ascii="宋体" w:hAnsi="宋体" w:cs="宋体"/>
          <w:bCs/>
          <w:sz w:val="24"/>
        </w:rPr>
        <w:t>会议召集人应当制作出席会议人员的签名册。签名册载明参加会议人员姓名（或单位名称）、身份证明文件号码、持有或代表有表决权的基金份额、委托人姓名（或单位名称）和联系方式等事项。</w:t>
      </w:r>
    </w:p>
    <w:p>
      <w:pPr>
        <w:spacing w:line="360" w:lineRule="auto"/>
        <w:ind w:firstLine="480" w:firstLineChars="200"/>
        <w:rPr>
          <w:rFonts w:ascii="宋体" w:hAnsi="宋体" w:cs="宋体"/>
          <w:bCs/>
          <w:sz w:val="24"/>
        </w:rPr>
      </w:pPr>
      <w:r>
        <w:rPr>
          <w:rFonts w:hint="eastAsia" w:ascii="宋体" w:hAnsi="宋体" w:cs="宋体"/>
          <w:bCs/>
          <w:sz w:val="24"/>
        </w:rPr>
        <w:t>（2）通讯开会</w:t>
      </w:r>
    </w:p>
    <w:p>
      <w:pPr>
        <w:spacing w:line="360" w:lineRule="auto"/>
        <w:ind w:firstLine="480" w:firstLineChars="200"/>
        <w:rPr>
          <w:rFonts w:ascii="宋体" w:hAnsi="宋体" w:cs="宋体"/>
          <w:bCs/>
          <w:sz w:val="24"/>
        </w:rPr>
      </w:pPr>
      <w:r>
        <w:rPr>
          <w:rFonts w:hint="eastAsia" w:ascii="宋体" w:hAnsi="宋体" w:cs="宋体"/>
          <w:bCs/>
          <w:sz w:val="24"/>
        </w:rPr>
        <w:t>在通讯开会的情况下，首先由召集人提前30日公布提案，在所通知的表决截止日期后2个工作日内在公证机关监督下由召集人统计全部有效表决，在公证机关监督下形成决议。</w:t>
      </w:r>
    </w:p>
    <w:p>
      <w:pPr>
        <w:spacing w:line="360" w:lineRule="auto"/>
        <w:ind w:firstLine="480" w:firstLineChars="200"/>
        <w:rPr>
          <w:rFonts w:ascii="宋体" w:hAnsi="宋体" w:cs="宋体"/>
          <w:bCs/>
          <w:sz w:val="24"/>
        </w:rPr>
      </w:pPr>
    </w:p>
    <w:p>
      <w:pPr>
        <w:spacing w:line="360" w:lineRule="auto"/>
        <w:ind w:firstLine="482" w:firstLineChars="200"/>
        <w:rPr>
          <w:rFonts w:ascii="宋体" w:hAnsi="宋体" w:cs="宋体"/>
          <w:b/>
          <w:sz w:val="24"/>
        </w:rPr>
      </w:pPr>
      <w:bookmarkStart w:id="240" w:name="_Toc15641225"/>
      <w:bookmarkStart w:id="241" w:name="_Toc57530248"/>
      <w:bookmarkStart w:id="242" w:name="_Toc79392589"/>
      <w:r>
        <w:rPr>
          <w:rFonts w:hint="eastAsia" w:ascii="宋体" w:hAnsi="宋体" w:cs="宋体"/>
          <w:b/>
          <w:sz w:val="24"/>
        </w:rPr>
        <w:t>六、表决</w:t>
      </w:r>
      <w:bookmarkEnd w:id="240"/>
      <w:bookmarkEnd w:id="241"/>
      <w:bookmarkEnd w:id="242"/>
    </w:p>
    <w:p>
      <w:pPr>
        <w:spacing w:line="360" w:lineRule="auto"/>
        <w:ind w:firstLine="480" w:firstLineChars="200"/>
        <w:rPr>
          <w:rFonts w:ascii="宋体" w:hAnsi="宋体" w:cs="宋体"/>
          <w:bCs/>
          <w:sz w:val="24"/>
        </w:rPr>
      </w:pPr>
      <w:r>
        <w:rPr>
          <w:rFonts w:hint="eastAsia" w:ascii="宋体" w:hAnsi="宋体" w:cs="宋体"/>
          <w:bCs/>
          <w:sz w:val="24"/>
        </w:rPr>
        <w:t>基金份额持有人所持每份基金份额有一票表决权。</w:t>
      </w:r>
    </w:p>
    <w:p>
      <w:pPr>
        <w:spacing w:line="360" w:lineRule="auto"/>
        <w:ind w:firstLine="480" w:firstLineChars="200"/>
        <w:rPr>
          <w:rFonts w:ascii="宋体" w:hAnsi="宋体" w:cs="宋体"/>
          <w:bCs/>
          <w:sz w:val="24"/>
        </w:rPr>
      </w:pPr>
      <w:r>
        <w:rPr>
          <w:rFonts w:hint="eastAsia" w:ascii="宋体" w:hAnsi="宋体" w:cs="宋体"/>
          <w:bCs/>
          <w:sz w:val="24"/>
        </w:rPr>
        <w:t>基金份额持有人大会决议分为一般决议和特别决议：</w:t>
      </w:r>
    </w:p>
    <w:p>
      <w:pPr>
        <w:spacing w:line="360" w:lineRule="auto"/>
        <w:ind w:firstLine="480" w:firstLineChars="200"/>
        <w:rPr>
          <w:rFonts w:ascii="宋体" w:hAnsi="宋体" w:cs="宋体"/>
          <w:bCs/>
          <w:sz w:val="24"/>
        </w:rPr>
      </w:pPr>
      <w:r>
        <w:rPr>
          <w:rFonts w:hint="eastAsia" w:ascii="宋体" w:hAnsi="宋体" w:cs="宋体"/>
          <w:bCs/>
          <w:sz w:val="24"/>
        </w:rPr>
        <w:t>1、一般决议，一般决议须经参加大会的基金份额持有人或其代理人所持表决权的二分之一以上（含二分之一）通过方为有效；除下列第2项所规定的须以特别决议通过事项以外的其他事项均以一般决议的方式通过。</w:t>
      </w:r>
    </w:p>
    <w:p>
      <w:pPr>
        <w:spacing w:line="360" w:lineRule="auto"/>
        <w:ind w:firstLine="480" w:firstLineChars="200"/>
        <w:rPr>
          <w:rFonts w:ascii="宋体" w:hAnsi="宋体" w:cs="宋体"/>
          <w:bCs/>
          <w:sz w:val="24"/>
        </w:rPr>
      </w:pPr>
      <w:r>
        <w:rPr>
          <w:rFonts w:hint="eastAsia" w:ascii="宋体" w:hAnsi="宋体" w:cs="宋体"/>
          <w:bCs/>
          <w:sz w:val="24"/>
        </w:rPr>
        <w:t>2、特别决议，特别决议应当经参加大会的基金份额持有人或其代理人所持表决权的三分之二 以上（含三分之二 ）通过方可做出。除法律法规另有规定或本基金合同另有约定外，转换基金运作方式、更换基金管理人或者基金托管人、终止《基金合同》、与其他基金合并以特别决议通过方为有效。</w:t>
      </w:r>
    </w:p>
    <w:p>
      <w:pPr>
        <w:spacing w:line="360" w:lineRule="auto"/>
        <w:ind w:firstLine="480" w:firstLineChars="200"/>
        <w:rPr>
          <w:rFonts w:ascii="宋体" w:hAnsi="宋体" w:cs="宋体"/>
          <w:bCs/>
          <w:sz w:val="24"/>
        </w:rPr>
      </w:pPr>
      <w:r>
        <w:rPr>
          <w:rFonts w:hint="eastAsia" w:ascii="宋体" w:hAnsi="宋体" w:cs="宋体"/>
          <w:bCs/>
          <w:sz w:val="24"/>
        </w:rPr>
        <w:t>基金份额持有人大会采取记名方式进行投票表决。</w:t>
      </w:r>
    </w:p>
    <w:p>
      <w:pPr>
        <w:spacing w:line="360" w:lineRule="auto"/>
        <w:ind w:firstLine="480" w:firstLineChars="200"/>
        <w:rPr>
          <w:rFonts w:ascii="宋体" w:hAnsi="宋体" w:cs="宋体"/>
          <w:bCs/>
          <w:sz w:val="24"/>
        </w:rPr>
      </w:pPr>
      <w:r>
        <w:rPr>
          <w:rFonts w:hint="eastAsia" w:ascii="宋体" w:hAnsi="宋体" w:cs="宋体"/>
          <w:bCs/>
          <w:sz w:val="24"/>
        </w:rPr>
        <w:t>采取通讯方式进行表决时，除非在计票时监督员及公证机关均认为有充分的相反证据证明，否则提交符合会议通知中规定的确认投资者身份文件的表决视为有效出席的投资者，表面符合会议通知规定的表决意见视为有效表决，表决意见模糊不清或相互矛盾的视为弃权表决，但应当计入出具表决意见的基金份额持有人所代表的基金份额总数。</w:t>
      </w:r>
    </w:p>
    <w:p>
      <w:pPr>
        <w:spacing w:line="360" w:lineRule="auto"/>
        <w:ind w:firstLine="480" w:firstLineChars="200"/>
        <w:rPr>
          <w:rFonts w:ascii="宋体" w:hAnsi="宋体" w:cs="宋体"/>
          <w:bCs/>
          <w:sz w:val="24"/>
        </w:rPr>
      </w:pPr>
      <w:r>
        <w:rPr>
          <w:rFonts w:hint="eastAsia" w:ascii="宋体" w:hAnsi="宋体" w:cs="宋体"/>
          <w:bCs/>
          <w:sz w:val="24"/>
        </w:rPr>
        <w:t>基金份额持有人大会的各项提案或同一项提案内并列的各项议题应当分开审议、逐项表决。</w:t>
      </w:r>
    </w:p>
    <w:p>
      <w:pPr>
        <w:spacing w:line="360" w:lineRule="auto"/>
        <w:ind w:firstLine="480" w:firstLineChars="200"/>
        <w:rPr>
          <w:rFonts w:ascii="宋体" w:hAnsi="宋体" w:cs="宋体"/>
          <w:bCs/>
          <w:sz w:val="24"/>
        </w:rPr>
      </w:pPr>
    </w:p>
    <w:p>
      <w:pPr>
        <w:spacing w:line="360" w:lineRule="auto"/>
        <w:ind w:firstLine="482" w:firstLineChars="200"/>
        <w:rPr>
          <w:rFonts w:ascii="宋体" w:hAnsi="宋体" w:cs="宋体"/>
          <w:b/>
          <w:sz w:val="24"/>
        </w:rPr>
      </w:pPr>
      <w:bookmarkStart w:id="243" w:name="_Toc15641226"/>
      <w:bookmarkStart w:id="244" w:name="_Toc57530249"/>
      <w:bookmarkStart w:id="245" w:name="_Toc79392590"/>
      <w:r>
        <w:rPr>
          <w:rFonts w:hint="eastAsia" w:ascii="宋体" w:hAnsi="宋体" w:cs="宋体"/>
          <w:b/>
          <w:sz w:val="24"/>
        </w:rPr>
        <w:t>七、计票</w:t>
      </w:r>
      <w:bookmarkEnd w:id="243"/>
      <w:bookmarkEnd w:id="244"/>
      <w:bookmarkEnd w:id="245"/>
    </w:p>
    <w:p>
      <w:pPr>
        <w:spacing w:line="360" w:lineRule="auto"/>
        <w:ind w:firstLine="480" w:firstLineChars="200"/>
        <w:rPr>
          <w:rFonts w:ascii="宋体" w:hAnsi="宋体" w:cs="宋体"/>
          <w:bCs/>
          <w:sz w:val="24"/>
        </w:rPr>
      </w:pPr>
      <w:r>
        <w:rPr>
          <w:rFonts w:hint="eastAsia" w:ascii="宋体" w:hAnsi="宋体" w:cs="宋体"/>
          <w:bCs/>
          <w:sz w:val="24"/>
        </w:rPr>
        <w:t>1、现场开会</w:t>
      </w:r>
    </w:p>
    <w:p>
      <w:pPr>
        <w:spacing w:line="360" w:lineRule="auto"/>
        <w:ind w:firstLine="480" w:firstLineChars="200"/>
        <w:rPr>
          <w:rFonts w:ascii="宋体" w:hAnsi="宋体" w:cs="宋体"/>
          <w:bCs/>
          <w:sz w:val="24"/>
        </w:rPr>
      </w:pPr>
      <w:r>
        <w:rPr>
          <w:rFonts w:hint="eastAsia" w:ascii="宋体" w:hAnsi="宋体" w:cs="宋体"/>
          <w:bCs/>
          <w:sz w:val="24"/>
        </w:rPr>
        <w:t>（1）如大会由基金管理人或基金托管人召集，基金份额持有人大会的主持人应当在会议开始后宣布在出席会议的基金份额持有人和代理人中选举两名基金份额持有人代表与大会召集人授权的一名监督员共同担任监票人；如大会由基金份额持有人自行召集或大会虽然由基金管理人或基金托管人召集，但是基金管理人或基金托管人未出席大会的，基金份额持有人大会的主持人应当在会议开始后宣布在出席会议的基金份额持有人中选举三名基金份额持有人代表担任监票人。基金管理人或基金托管人不出席大会的，不影响计票的效力。</w:t>
      </w:r>
    </w:p>
    <w:p>
      <w:pPr>
        <w:spacing w:line="360" w:lineRule="auto"/>
        <w:ind w:firstLine="480" w:firstLineChars="200"/>
        <w:rPr>
          <w:rFonts w:ascii="宋体" w:hAnsi="宋体" w:cs="宋体"/>
          <w:bCs/>
          <w:sz w:val="24"/>
        </w:rPr>
      </w:pPr>
      <w:r>
        <w:rPr>
          <w:rFonts w:hint="eastAsia" w:ascii="宋体" w:hAnsi="宋体" w:cs="宋体"/>
          <w:bCs/>
          <w:sz w:val="24"/>
        </w:rPr>
        <w:t>（2）监票人应当在基金份额持有人表决后立即进行清点并由大会主持人当场公布计票结果。</w:t>
      </w:r>
    </w:p>
    <w:p>
      <w:pPr>
        <w:spacing w:line="360" w:lineRule="auto"/>
        <w:ind w:firstLine="480" w:firstLineChars="200"/>
        <w:rPr>
          <w:rFonts w:ascii="宋体" w:hAnsi="宋体" w:cs="宋体"/>
          <w:bCs/>
          <w:sz w:val="24"/>
        </w:rPr>
      </w:pPr>
      <w:r>
        <w:rPr>
          <w:rFonts w:hint="eastAsia" w:ascii="宋体" w:hAnsi="宋体" w:cs="宋体"/>
          <w:bCs/>
          <w:sz w:val="24"/>
        </w:rPr>
        <w:t>（3）如果会议主持人或基金份额持有人或代理人对于提交的表决结果有异议，可以在宣布表决结果后立即对所投票数要求进行重新清点。监票人应当进行重新清点，重新清点以一次为限。重新清点后，大会主持人应当当场公布重新清点结果。</w:t>
      </w:r>
    </w:p>
    <w:p>
      <w:pPr>
        <w:spacing w:line="360" w:lineRule="auto"/>
        <w:ind w:firstLine="480" w:firstLineChars="200"/>
        <w:rPr>
          <w:rFonts w:ascii="宋体" w:hAnsi="宋体" w:cs="宋体"/>
          <w:bCs/>
          <w:sz w:val="24"/>
        </w:rPr>
      </w:pPr>
      <w:r>
        <w:rPr>
          <w:rFonts w:hint="eastAsia" w:ascii="宋体" w:hAnsi="宋体" w:cs="宋体"/>
          <w:bCs/>
          <w:sz w:val="24"/>
        </w:rPr>
        <w:t>（4）计票过程应由公证机关予以公证，基金管理人或基金托管人拒不出席大会的，不影响计票的效力。</w:t>
      </w:r>
    </w:p>
    <w:p>
      <w:pPr>
        <w:spacing w:line="360" w:lineRule="auto"/>
        <w:ind w:firstLine="480" w:firstLineChars="200"/>
        <w:rPr>
          <w:rFonts w:ascii="宋体" w:hAnsi="宋体" w:cs="宋体"/>
          <w:bCs/>
          <w:sz w:val="24"/>
        </w:rPr>
      </w:pPr>
      <w:r>
        <w:rPr>
          <w:rFonts w:hint="eastAsia" w:ascii="宋体" w:hAnsi="宋体" w:cs="宋体"/>
          <w:bCs/>
          <w:sz w:val="24"/>
        </w:rPr>
        <w:t>2、通讯开会</w:t>
      </w:r>
    </w:p>
    <w:p>
      <w:pPr>
        <w:spacing w:line="360" w:lineRule="auto"/>
        <w:ind w:firstLine="480" w:firstLineChars="200"/>
        <w:rPr>
          <w:rFonts w:ascii="宋体" w:hAnsi="宋体" w:cs="宋体"/>
          <w:bCs/>
          <w:sz w:val="24"/>
        </w:rPr>
      </w:pPr>
      <w:r>
        <w:rPr>
          <w:rFonts w:hint="eastAsia" w:ascii="宋体" w:hAnsi="宋体" w:cs="宋体"/>
          <w:bCs/>
          <w:sz w:val="24"/>
        </w:rPr>
        <w:t>在通讯开会的情况下，计票方式为：由大会召集人授权的两名监督员在基金托管人授权代表（若由基金托管人召集，则为基金管理人授权代表）的监督下进行计票，并由公证机关对其计票过程予以公证</w:t>
      </w:r>
      <w:bookmarkStart w:id="246" w:name="_Toc79392591"/>
      <w:bookmarkStart w:id="247" w:name="_Toc57530250"/>
      <w:bookmarkStart w:id="248" w:name="_Toc15641227"/>
      <w:r>
        <w:rPr>
          <w:rFonts w:hint="eastAsia" w:ascii="宋体" w:hAnsi="宋体" w:cs="宋体"/>
          <w:bCs/>
          <w:sz w:val="24"/>
        </w:rPr>
        <w:t>。基金管理人或基金托管人拒派代表对表决意见的计票进行监督的，不影响计票和表决结果。</w:t>
      </w:r>
    </w:p>
    <w:p>
      <w:pPr>
        <w:spacing w:line="360" w:lineRule="auto"/>
        <w:ind w:firstLine="480" w:firstLineChars="200"/>
        <w:rPr>
          <w:rFonts w:ascii="宋体" w:hAnsi="宋体" w:cs="宋体"/>
          <w:bCs/>
          <w:sz w:val="24"/>
        </w:rPr>
      </w:pPr>
    </w:p>
    <w:p>
      <w:pPr>
        <w:spacing w:line="360" w:lineRule="auto"/>
        <w:ind w:firstLine="482" w:firstLineChars="200"/>
        <w:rPr>
          <w:rFonts w:ascii="宋体" w:hAnsi="宋体" w:cs="宋体"/>
          <w:b/>
          <w:sz w:val="24"/>
        </w:rPr>
      </w:pPr>
      <w:r>
        <w:rPr>
          <w:rFonts w:hint="eastAsia" w:ascii="宋体" w:hAnsi="宋体" w:cs="宋体"/>
          <w:b/>
          <w:sz w:val="24"/>
        </w:rPr>
        <w:t>八、生效与公告</w:t>
      </w:r>
      <w:bookmarkEnd w:id="246"/>
      <w:bookmarkEnd w:id="247"/>
      <w:bookmarkEnd w:id="248"/>
    </w:p>
    <w:p>
      <w:pPr>
        <w:spacing w:line="360" w:lineRule="auto"/>
        <w:ind w:firstLine="480" w:firstLineChars="200"/>
        <w:rPr>
          <w:rFonts w:ascii="宋体" w:hAnsi="宋体" w:cs="宋体"/>
          <w:bCs/>
          <w:sz w:val="24"/>
        </w:rPr>
      </w:pPr>
      <w:r>
        <w:rPr>
          <w:rFonts w:hint="eastAsia" w:ascii="宋体" w:hAnsi="宋体" w:cs="宋体"/>
          <w:bCs/>
          <w:sz w:val="24"/>
        </w:rPr>
        <w:t>基金份额持有人大会的决议，召集人应当自通过之日起5日内报中国证监会备案。</w:t>
      </w:r>
    </w:p>
    <w:p>
      <w:pPr>
        <w:spacing w:line="360" w:lineRule="auto"/>
        <w:ind w:firstLine="480" w:firstLineChars="200"/>
        <w:rPr>
          <w:rFonts w:ascii="宋体" w:hAnsi="宋体" w:cs="宋体"/>
          <w:bCs/>
          <w:sz w:val="24"/>
        </w:rPr>
      </w:pPr>
      <w:r>
        <w:rPr>
          <w:rFonts w:hint="eastAsia" w:ascii="宋体" w:hAnsi="宋体" w:cs="宋体"/>
          <w:bCs/>
          <w:sz w:val="24"/>
        </w:rPr>
        <w:t>基金份额持有人大会决议自表决通过之日起生效。</w:t>
      </w:r>
    </w:p>
    <w:p>
      <w:pPr>
        <w:spacing w:line="360" w:lineRule="auto"/>
        <w:ind w:firstLine="480" w:firstLineChars="200"/>
        <w:rPr>
          <w:rFonts w:ascii="宋体" w:hAnsi="宋体" w:cs="宋体"/>
          <w:bCs/>
          <w:sz w:val="24"/>
        </w:rPr>
      </w:pPr>
      <w:r>
        <w:rPr>
          <w:rFonts w:hint="eastAsia" w:ascii="宋体" w:hAnsi="宋体" w:cs="宋体"/>
          <w:bCs/>
          <w:sz w:val="24"/>
        </w:rPr>
        <w:t>基金份额持有人大会决议自生效之日起2日内在规定媒介上公告。</w:t>
      </w:r>
      <w:bookmarkStart w:id="249" w:name="_Hlt88820702"/>
      <w:bookmarkEnd w:id="249"/>
      <w:r>
        <w:rPr>
          <w:rFonts w:hint="eastAsia" w:ascii="宋体" w:hAnsi="宋体" w:cs="宋体"/>
          <w:bCs/>
          <w:sz w:val="24"/>
        </w:rPr>
        <w:t>如果采用通讯方式进行表决，在公告基金份额持有人大会决议时，必须将公证书全文、公证机构、公证员姓名等一同公告。</w:t>
      </w:r>
    </w:p>
    <w:p>
      <w:pPr>
        <w:spacing w:line="360" w:lineRule="auto"/>
        <w:ind w:firstLine="480" w:firstLineChars="200"/>
        <w:rPr>
          <w:rFonts w:ascii="宋体" w:hAnsi="宋体" w:cs="宋体"/>
          <w:bCs/>
          <w:sz w:val="24"/>
        </w:rPr>
      </w:pPr>
      <w:r>
        <w:rPr>
          <w:rFonts w:hint="eastAsia" w:ascii="宋体" w:hAnsi="宋体" w:cs="宋体"/>
          <w:bCs/>
          <w:sz w:val="24"/>
        </w:rPr>
        <w:t>基金管理人、基金托管人和基金份额持有人应当执行生效的基金份额持有人大会的决议。生效的基金份额持有人大会决议对全体基金份额持有人、基金管理人、基金托管人均有约束力。</w:t>
      </w:r>
    </w:p>
    <w:p>
      <w:pPr>
        <w:spacing w:line="360" w:lineRule="auto"/>
        <w:rPr>
          <w:rFonts w:ascii="宋体" w:hAnsi="宋体" w:cs="宋体"/>
          <w:bCs/>
          <w:sz w:val="24"/>
        </w:rPr>
      </w:pPr>
    </w:p>
    <w:p>
      <w:pPr>
        <w:spacing w:line="360" w:lineRule="auto"/>
        <w:ind w:firstLine="482" w:firstLineChars="200"/>
        <w:rPr>
          <w:rFonts w:ascii="宋体" w:hAnsi="宋体" w:cs="宋体"/>
          <w:b/>
          <w:bCs/>
          <w:sz w:val="24"/>
        </w:rPr>
      </w:pPr>
      <w:r>
        <w:rPr>
          <w:rFonts w:hint="eastAsia" w:ascii="宋体" w:hAnsi="宋体" w:cs="宋体"/>
          <w:b/>
          <w:sz w:val="24"/>
        </w:rPr>
        <w:t>九、</w:t>
      </w:r>
      <w:r>
        <w:rPr>
          <w:rFonts w:hint="eastAsia" w:ascii="宋体" w:hAnsi="宋体" w:cs="宋体"/>
          <w:b/>
          <w:bCs/>
          <w:sz w:val="24"/>
        </w:rPr>
        <w:t>本部分关于基金份额持有人大会召开事由、召开条件、议事程序、表决条件等规定，凡是直接引用法律法规或监管规定的部分，如将来法律法规或监管规定修改导致相关内容被取消或变更的，经与基金托管人协商一致，基金管理人提前公告后，可直接对本部分内容进行修改和调整，无需召开基金份额持有人大会审议。</w:t>
      </w:r>
    </w:p>
    <w:p>
      <w:pPr>
        <w:spacing w:line="360" w:lineRule="auto"/>
        <w:ind w:firstLine="480" w:firstLineChars="200"/>
        <w:rPr>
          <w:rFonts w:ascii="宋体" w:hAnsi="宋体" w:cs="宋体"/>
          <w:bCs/>
          <w:sz w:val="24"/>
        </w:rPr>
      </w:pPr>
    </w:p>
    <w:p>
      <w:pPr>
        <w:rPr>
          <w:rFonts w:ascii="宋体" w:hAnsi="宋体" w:cs="宋体"/>
        </w:rPr>
      </w:pPr>
      <w:bookmarkStart w:id="250" w:name="_Toc3963"/>
      <w:bookmarkStart w:id="251" w:name="_Toc18769"/>
      <w:bookmarkStart w:id="252" w:name="_Toc1745"/>
    </w:p>
    <w:p>
      <w:pPr>
        <w:pStyle w:val="2"/>
        <w:jc w:val="center"/>
        <w:rPr>
          <w:rFonts w:hAnsi="宋体" w:cs="宋体"/>
          <w:color w:val="auto"/>
        </w:rPr>
      </w:pPr>
      <w:r>
        <w:rPr>
          <w:rFonts w:hint="eastAsia" w:hAnsi="宋体" w:cs="宋体"/>
          <w:b w:val="0"/>
          <w:bCs/>
          <w:color w:val="auto"/>
        </w:rPr>
        <w:br w:type="page"/>
      </w:r>
      <w:bookmarkStart w:id="253" w:name="_Toc18206"/>
      <w:bookmarkStart w:id="254" w:name="_Toc123102456"/>
      <w:bookmarkStart w:id="255" w:name="_Toc20383"/>
      <w:bookmarkStart w:id="256" w:name="_Toc123112237"/>
      <w:bookmarkStart w:id="257" w:name="_Toc3572"/>
      <w:bookmarkStart w:id="258" w:name="_Toc139991739"/>
      <w:bookmarkStart w:id="259" w:name="_Toc3080"/>
      <w:bookmarkStart w:id="260" w:name="_Toc21735"/>
      <w:bookmarkStart w:id="261" w:name="_Toc725"/>
      <w:bookmarkStart w:id="262" w:name="_Toc31821"/>
      <w:bookmarkStart w:id="263" w:name="_Toc141703889"/>
      <w:bookmarkStart w:id="264" w:name="_Toc16164"/>
      <w:bookmarkStart w:id="265" w:name="_Toc123051455"/>
      <w:bookmarkStart w:id="266" w:name="_Toc98560355"/>
      <w:bookmarkStart w:id="267" w:name="_Toc10398"/>
      <w:r>
        <w:rPr>
          <w:rFonts w:hint="eastAsia" w:hAnsi="宋体" w:cs="宋体"/>
          <w:color w:val="auto"/>
          <w:sz w:val="30"/>
        </w:rPr>
        <w:t>第九部分  基金管理人、基金托管人的更换条件和程序</w:t>
      </w:r>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p>
    <w:p>
      <w:pPr>
        <w:autoSpaceDE w:val="0"/>
        <w:autoSpaceDN w:val="0"/>
        <w:spacing w:line="360" w:lineRule="auto"/>
        <w:textAlignment w:val="bottom"/>
        <w:rPr>
          <w:rFonts w:ascii="宋体" w:hAnsi="宋体" w:cs="宋体"/>
          <w:bCs/>
          <w:sz w:val="24"/>
        </w:rPr>
      </w:pPr>
      <w:bookmarkStart w:id="268" w:name="_Toc79392593"/>
      <w:bookmarkStart w:id="269" w:name="_Toc15118245"/>
      <w:bookmarkStart w:id="270" w:name="_Toc57530252"/>
    </w:p>
    <w:p>
      <w:pPr>
        <w:spacing w:line="360" w:lineRule="auto"/>
        <w:ind w:firstLine="482" w:firstLineChars="200"/>
        <w:rPr>
          <w:rFonts w:ascii="宋体" w:hAnsi="宋体" w:cs="宋体"/>
          <w:b/>
          <w:sz w:val="24"/>
        </w:rPr>
      </w:pPr>
      <w:r>
        <w:rPr>
          <w:rFonts w:hint="eastAsia" w:ascii="宋体" w:hAnsi="宋体" w:cs="宋体"/>
          <w:b/>
          <w:sz w:val="24"/>
        </w:rPr>
        <w:t>一、基金管理人和基金托管人职责终止的情形</w:t>
      </w:r>
      <w:bookmarkEnd w:id="268"/>
      <w:bookmarkEnd w:id="269"/>
      <w:bookmarkEnd w:id="270"/>
    </w:p>
    <w:p>
      <w:pPr>
        <w:spacing w:line="360" w:lineRule="auto"/>
        <w:ind w:firstLine="480" w:firstLineChars="200"/>
        <w:rPr>
          <w:rFonts w:ascii="宋体" w:hAnsi="宋体" w:cs="宋体"/>
          <w:bCs/>
          <w:sz w:val="24"/>
        </w:rPr>
      </w:pPr>
      <w:bookmarkStart w:id="271" w:name="_Toc22005971"/>
      <w:r>
        <w:rPr>
          <w:rFonts w:hint="eastAsia" w:ascii="宋体" w:hAnsi="宋体" w:cs="宋体"/>
          <w:bCs/>
          <w:sz w:val="24"/>
        </w:rPr>
        <w:t>（一）</w:t>
      </w:r>
      <w:r>
        <w:rPr>
          <w:rFonts w:hint="eastAsia" w:ascii="宋体" w:hAnsi="宋体" w:cs="宋体"/>
          <w:bCs/>
          <w:sz w:val="24"/>
        </w:rPr>
        <w:tab/>
      </w:r>
      <w:r>
        <w:rPr>
          <w:rFonts w:hint="eastAsia" w:ascii="宋体" w:hAnsi="宋体" w:cs="宋体"/>
          <w:bCs/>
          <w:sz w:val="24"/>
        </w:rPr>
        <w:t>基金管理人职责终止的情形</w:t>
      </w:r>
      <w:bookmarkEnd w:id="271"/>
    </w:p>
    <w:p>
      <w:pPr>
        <w:spacing w:line="360" w:lineRule="auto"/>
        <w:ind w:firstLine="480" w:firstLineChars="200"/>
        <w:rPr>
          <w:rFonts w:ascii="宋体" w:hAnsi="宋体" w:cs="宋体"/>
          <w:bCs/>
          <w:sz w:val="24"/>
        </w:rPr>
      </w:pPr>
      <w:r>
        <w:rPr>
          <w:rFonts w:hint="eastAsia" w:ascii="宋体" w:hAnsi="宋体" w:cs="宋体"/>
          <w:bCs/>
          <w:sz w:val="24"/>
        </w:rPr>
        <w:t>有下列情形之一的，基金管理人职责终止：</w:t>
      </w:r>
    </w:p>
    <w:p>
      <w:pPr>
        <w:spacing w:line="360" w:lineRule="auto"/>
        <w:ind w:firstLine="480" w:firstLineChars="200"/>
        <w:rPr>
          <w:rFonts w:ascii="宋体" w:hAnsi="宋体" w:cs="宋体"/>
          <w:bCs/>
          <w:sz w:val="24"/>
        </w:rPr>
      </w:pPr>
      <w:r>
        <w:rPr>
          <w:rFonts w:hint="eastAsia" w:ascii="宋体" w:hAnsi="宋体" w:cs="宋体"/>
          <w:bCs/>
          <w:sz w:val="24"/>
        </w:rPr>
        <w:t>1、被依法取消基金管理资格；</w:t>
      </w:r>
    </w:p>
    <w:p>
      <w:pPr>
        <w:spacing w:line="360" w:lineRule="auto"/>
        <w:ind w:firstLine="480" w:firstLineChars="200"/>
        <w:rPr>
          <w:rFonts w:ascii="宋体" w:hAnsi="宋体" w:cs="宋体"/>
          <w:bCs/>
          <w:sz w:val="24"/>
        </w:rPr>
      </w:pPr>
      <w:r>
        <w:rPr>
          <w:rFonts w:hint="eastAsia" w:ascii="宋体" w:hAnsi="宋体" w:cs="宋体"/>
          <w:bCs/>
          <w:sz w:val="24"/>
        </w:rPr>
        <w:t>2、被基金份额持有人大会解任；</w:t>
      </w:r>
    </w:p>
    <w:p>
      <w:pPr>
        <w:spacing w:line="360" w:lineRule="auto"/>
        <w:ind w:firstLine="480" w:firstLineChars="200"/>
        <w:rPr>
          <w:rFonts w:ascii="宋体" w:hAnsi="宋体" w:cs="宋体"/>
          <w:bCs/>
          <w:sz w:val="24"/>
        </w:rPr>
      </w:pPr>
      <w:r>
        <w:rPr>
          <w:rFonts w:hint="eastAsia" w:ascii="宋体" w:hAnsi="宋体" w:cs="宋体"/>
          <w:bCs/>
          <w:sz w:val="24"/>
        </w:rPr>
        <w:t>3、依法解散、被依法撤销或被依法宣告破产；</w:t>
      </w:r>
    </w:p>
    <w:p>
      <w:pPr>
        <w:spacing w:line="360" w:lineRule="auto"/>
        <w:ind w:firstLine="480" w:firstLineChars="200"/>
        <w:rPr>
          <w:rFonts w:ascii="宋体" w:hAnsi="宋体" w:cs="宋体"/>
          <w:bCs/>
          <w:sz w:val="24"/>
        </w:rPr>
      </w:pPr>
      <w:r>
        <w:rPr>
          <w:rFonts w:hint="eastAsia" w:ascii="宋体" w:hAnsi="宋体" w:cs="宋体"/>
          <w:bCs/>
          <w:sz w:val="24"/>
        </w:rPr>
        <w:t>4、法律法规及中国证监会规定的和《基金合同》约定的其他情形。</w:t>
      </w:r>
    </w:p>
    <w:p>
      <w:pPr>
        <w:spacing w:line="360" w:lineRule="auto"/>
        <w:ind w:firstLine="480" w:firstLineChars="200"/>
        <w:rPr>
          <w:rFonts w:ascii="宋体" w:hAnsi="宋体" w:cs="宋体"/>
          <w:bCs/>
          <w:sz w:val="24"/>
        </w:rPr>
      </w:pPr>
      <w:bookmarkStart w:id="272" w:name="_Toc22005972"/>
      <w:r>
        <w:rPr>
          <w:rFonts w:hint="eastAsia" w:ascii="宋体" w:hAnsi="宋体" w:cs="宋体"/>
          <w:bCs/>
          <w:sz w:val="24"/>
        </w:rPr>
        <w:t>（二）</w:t>
      </w:r>
      <w:r>
        <w:rPr>
          <w:rFonts w:hint="eastAsia" w:ascii="宋体" w:hAnsi="宋体" w:cs="宋体"/>
          <w:bCs/>
          <w:sz w:val="24"/>
        </w:rPr>
        <w:tab/>
      </w:r>
      <w:r>
        <w:rPr>
          <w:rFonts w:hint="eastAsia" w:ascii="宋体" w:hAnsi="宋体" w:cs="宋体"/>
          <w:bCs/>
          <w:sz w:val="24"/>
        </w:rPr>
        <w:t>基金托管人职责终止的情形</w:t>
      </w:r>
      <w:bookmarkEnd w:id="272"/>
    </w:p>
    <w:p>
      <w:pPr>
        <w:spacing w:line="360" w:lineRule="auto"/>
        <w:ind w:firstLine="480" w:firstLineChars="200"/>
        <w:rPr>
          <w:rFonts w:ascii="宋体" w:hAnsi="宋体" w:cs="宋体"/>
          <w:bCs/>
          <w:sz w:val="24"/>
        </w:rPr>
      </w:pPr>
      <w:r>
        <w:rPr>
          <w:rFonts w:hint="eastAsia" w:ascii="宋体" w:hAnsi="宋体" w:cs="宋体"/>
          <w:bCs/>
          <w:sz w:val="24"/>
        </w:rPr>
        <w:t>有下列情形之一的，基金托管人职责终止：</w:t>
      </w:r>
    </w:p>
    <w:p>
      <w:pPr>
        <w:spacing w:line="360" w:lineRule="auto"/>
        <w:ind w:firstLine="480" w:firstLineChars="200"/>
        <w:rPr>
          <w:rFonts w:ascii="宋体" w:hAnsi="宋体" w:cs="宋体"/>
          <w:bCs/>
          <w:sz w:val="24"/>
        </w:rPr>
      </w:pPr>
      <w:r>
        <w:rPr>
          <w:rFonts w:hint="eastAsia" w:ascii="宋体" w:hAnsi="宋体" w:cs="宋体"/>
          <w:bCs/>
          <w:sz w:val="24"/>
        </w:rPr>
        <w:t>1、被依法取消基金托管资格；</w:t>
      </w:r>
    </w:p>
    <w:p>
      <w:pPr>
        <w:spacing w:line="360" w:lineRule="auto"/>
        <w:ind w:firstLine="480" w:firstLineChars="200"/>
        <w:rPr>
          <w:rFonts w:ascii="宋体" w:hAnsi="宋体" w:cs="宋体"/>
          <w:bCs/>
          <w:sz w:val="24"/>
        </w:rPr>
      </w:pPr>
      <w:r>
        <w:rPr>
          <w:rFonts w:hint="eastAsia" w:ascii="宋体" w:hAnsi="宋体" w:cs="宋体"/>
          <w:bCs/>
          <w:sz w:val="24"/>
        </w:rPr>
        <w:t>2、被基金份额持有人大会解任；</w:t>
      </w:r>
    </w:p>
    <w:p>
      <w:pPr>
        <w:spacing w:line="360" w:lineRule="auto"/>
        <w:ind w:firstLine="480" w:firstLineChars="200"/>
        <w:rPr>
          <w:rFonts w:ascii="宋体" w:hAnsi="宋体" w:cs="宋体"/>
          <w:bCs/>
          <w:sz w:val="24"/>
        </w:rPr>
      </w:pPr>
      <w:r>
        <w:rPr>
          <w:rFonts w:hint="eastAsia" w:ascii="宋体" w:hAnsi="宋体" w:cs="宋体"/>
          <w:bCs/>
          <w:sz w:val="24"/>
        </w:rPr>
        <w:t>3、依法解散、被依法撤销或被依法宣告破产；</w:t>
      </w:r>
    </w:p>
    <w:p>
      <w:pPr>
        <w:spacing w:line="360" w:lineRule="auto"/>
        <w:ind w:firstLine="480" w:firstLineChars="200"/>
        <w:rPr>
          <w:rFonts w:ascii="宋体" w:hAnsi="宋体" w:cs="宋体"/>
          <w:bCs/>
          <w:sz w:val="24"/>
        </w:rPr>
      </w:pPr>
      <w:r>
        <w:rPr>
          <w:rFonts w:hint="eastAsia" w:ascii="宋体" w:hAnsi="宋体" w:cs="宋体"/>
          <w:bCs/>
          <w:sz w:val="24"/>
        </w:rPr>
        <w:t>4、法律法规及中国证监会规定的和《基金合同》约定的其他情形。</w:t>
      </w:r>
    </w:p>
    <w:p>
      <w:pPr>
        <w:spacing w:line="360" w:lineRule="auto"/>
        <w:ind w:firstLine="480" w:firstLineChars="200"/>
        <w:rPr>
          <w:rFonts w:ascii="宋体" w:hAnsi="宋体" w:cs="宋体"/>
          <w:bCs/>
          <w:sz w:val="24"/>
        </w:rPr>
      </w:pPr>
    </w:p>
    <w:p>
      <w:pPr>
        <w:spacing w:line="360" w:lineRule="auto"/>
        <w:ind w:firstLine="482" w:firstLineChars="200"/>
        <w:rPr>
          <w:rFonts w:ascii="宋体" w:hAnsi="宋体" w:cs="宋体"/>
          <w:b/>
          <w:sz w:val="24"/>
        </w:rPr>
      </w:pPr>
      <w:bookmarkStart w:id="273" w:name="_Toc15118246"/>
      <w:bookmarkStart w:id="274" w:name="_Toc79392594"/>
      <w:bookmarkStart w:id="275" w:name="_Toc57530253"/>
      <w:r>
        <w:rPr>
          <w:rFonts w:hint="eastAsia" w:ascii="宋体" w:hAnsi="宋体" w:cs="宋体"/>
          <w:b/>
          <w:sz w:val="24"/>
        </w:rPr>
        <w:t>二、基金管理人和基金托管人的更换程序</w:t>
      </w:r>
      <w:bookmarkEnd w:id="273"/>
      <w:bookmarkEnd w:id="274"/>
      <w:bookmarkEnd w:id="275"/>
    </w:p>
    <w:p>
      <w:pPr>
        <w:spacing w:line="360" w:lineRule="auto"/>
        <w:ind w:firstLine="480" w:firstLineChars="200"/>
        <w:rPr>
          <w:rFonts w:ascii="宋体" w:hAnsi="宋体" w:cs="宋体"/>
          <w:bCs/>
          <w:sz w:val="24"/>
        </w:rPr>
      </w:pPr>
      <w:bookmarkStart w:id="276" w:name="_Toc22005974"/>
      <w:r>
        <w:rPr>
          <w:rFonts w:hint="eastAsia" w:ascii="宋体" w:hAnsi="宋体" w:cs="宋体"/>
          <w:bCs/>
          <w:sz w:val="24"/>
        </w:rPr>
        <w:t>（一）</w:t>
      </w:r>
      <w:r>
        <w:rPr>
          <w:rFonts w:hint="eastAsia" w:ascii="宋体" w:hAnsi="宋体" w:cs="宋体"/>
          <w:bCs/>
          <w:sz w:val="24"/>
        </w:rPr>
        <w:tab/>
      </w:r>
      <w:r>
        <w:rPr>
          <w:rFonts w:hint="eastAsia" w:ascii="宋体" w:hAnsi="宋体" w:cs="宋体"/>
          <w:bCs/>
          <w:sz w:val="24"/>
        </w:rPr>
        <w:t>基金管理人的更换程序</w:t>
      </w:r>
      <w:bookmarkEnd w:id="276"/>
    </w:p>
    <w:p>
      <w:pPr>
        <w:spacing w:line="360" w:lineRule="auto"/>
        <w:ind w:firstLine="480" w:firstLineChars="200"/>
        <w:rPr>
          <w:rFonts w:ascii="宋体" w:hAnsi="宋体" w:cs="宋体"/>
          <w:bCs/>
          <w:sz w:val="24"/>
        </w:rPr>
      </w:pPr>
      <w:r>
        <w:rPr>
          <w:rFonts w:hint="eastAsia" w:ascii="宋体" w:hAnsi="宋体" w:cs="宋体"/>
          <w:bCs/>
          <w:sz w:val="24"/>
        </w:rPr>
        <w:t>1、提名：临时基金管理人应向基金托管人、单独或合计持有10%以上（含10%）基金份额的基金份额持有人，征集新任基金管理人提名人选。新任基金管理人提名人选由临时基金管理人、基金托管人、单独或合计持有10%以上（含10%）基金份额的基金份额持有人提名的人选构成；</w:t>
      </w:r>
    </w:p>
    <w:p>
      <w:pPr>
        <w:spacing w:line="360" w:lineRule="auto"/>
        <w:ind w:firstLine="480" w:firstLineChars="200"/>
        <w:rPr>
          <w:rFonts w:ascii="宋体" w:hAnsi="宋体" w:cs="宋体"/>
          <w:bCs/>
          <w:sz w:val="24"/>
        </w:rPr>
      </w:pPr>
      <w:r>
        <w:rPr>
          <w:rFonts w:hint="eastAsia" w:ascii="宋体" w:hAnsi="宋体" w:cs="宋体"/>
          <w:bCs/>
          <w:sz w:val="24"/>
        </w:rPr>
        <w:t>2、决议：基金份额持有人大会在基金管理人职责终止后6个月内对被提名的基金管理人形成决议，该决议需经参加大会的基金份额持有人所持表决权的三分之二 以上（含三分之二）表决通过，决议自表决通过之日起生效；</w:t>
      </w:r>
    </w:p>
    <w:p>
      <w:pPr>
        <w:spacing w:line="360" w:lineRule="auto"/>
        <w:ind w:firstLine="480" w:firstLineChars="200"/>
        <w:rPr>
          <w:rFonts w:ascii="宋体" w:hAnsi="宋体" w:cs="宋体"/>
          <w:bCs/>
          <w:sz w:val="24"/>
        </w:rPr>
      </w:pPr>
      <w:r>
        <w:rPr>
          <w:rFonts w:hint="eastAsia" w:ascii="宋体" w:hAnsi="宋体" w:cs="宋体"/>
          <w:bCs/>
          <w:sz w:val="24"/>
        </w:rPr>
        <w:t>3、临时基金管理人：新任基金管理人产生之前，临时基金管理人由基金管理人、基金托管人、单独或合计持有10%以上（含10%）基金份额的基金份额持有人提名，中国证监会根据《基金法》的规定，从提名人选中择优指定临时基金管理人。基金管理人、基金托管人、单独或合计持有10%以上（含10%）基金份额的基金份额持有人均不提名的，由中国证监会指定临时基金管理人；</w:t>
      </w:r>
    </w:p>
    <w:p>
      <w:pPr>
        <w:spacing w:line="360" w:lineRule="auto"/>
        <w:ind w:firstLine="480" w:firstLineChars="200"/>
        <w:rPr>
          <w:rFonts w:ascii="宋体" w:hAnsi="宋体" w:cs="宋体"/>
          <w:bCs/>
          <w:sz w:val="24"/>
        </w:rPr>
      </w:pPr>
      <w:r>
        <w:rPr>
          <w:rFonts w:hint="eastAsia" w:ascii="宋体" w:hAnsi="宋体" w:cs="宋体"/>
          <w:bCs/>
          <w:sz w:val="24"/>
        </w:rPr>
        <w:t>4、备案：基金份额持有人大会更换基金管理人的决议须报中国证监会备案；</w:t>
      </w:r>
    </w:p>
    <w:p>
      <w:pPr>
        <w:spacing w:line="360" w:lineRule="auto"/>
        <w:ind w:firstLine="480" w:firstLineChars="200"/>
        <w:rPr>
          <w:rFonts w:ascii="宋体" w:hAnsi="宋体" w:cs="宋体"/>
          <w:bCs/>
          <w:sz w:val="24"/>
        </w:rPr>
      </w:pPr>
      <w:r>
        <w:rPr>
          <w:rFonts w:hint="eastAsia" w:ascii="宋体" w:hAnsi="宋体" w:cs="宋体"/>
          <w:bCs/>
          <w:sz w:val="24"/>
        </w:rPr>
        <w:t>5、公告：基金管理人更换后，由基金托管人在更换基金管理人的基金份额持有人大会决议生效后2日内在规定媒介公告。</w:t>
      </w:r>
    </w:p>
    <w:p>
      <w:pPr>
        <w:spacing w:line="360" w:lineRule="auto"/>
        <w:ind w:firstLine="480" w:firstLineChars="200"/>
        <w:rPr>
          <w:rFonts w:ascii="宋体" w:hAnsi="宋体" w:cs="宋体"/>
          <w:bCs/>
          <w:sz w:val="24"/>
        </w:rPr>
      </w:pPr>
      <w:r>
        <w:rPr>
          <w:rFonts w:hint="eastAsia" w:ascii="宋体" w:hAnsi="宋体" w:cs="宋体"/>
          <w:bCs/>
          <w:sz w:val="24"/>
        </w:rPr>
        <w:t>6、交接与责任划分：基金管理人职责终止的，基金管理人应妥善保管基金管理业务资料，及时向临时基金管理人或新任基金管理人办理基金管理业务的移交手续，临时基金管理人或新任基金管理人应及时接收。新任基金管理人或临时基金管理人应与基金托管人核对基金资产总值和净值；基金管理人、临时基金管理人、新任基金管理人应对各自履职行为依法承担责任；</w:t>
      </w:r>
    </w:p>
    <w:p>
      <w:pPr>
        <w:spacing w:line="360" w:lineRule="auto"/>
        <w:ind w:firstLine="480" w:firstLineChars="200"/>
        <w:rPr>
          <w:rFonts w:ascii="宋体" w:hAnsi="宋体" w:cs="宋体"/>
          <w:bCs/>
          <w:sz w:val="24"/>
        </w:rPr>
      </w:pPr>
      <w:r>
        <w:rPr>
          <w:rFonts w:hint="eastAsia" w:ascii="宋体" w:hAnsi="宋体" w:cs="宋体"/>
          <w:bCs/>
          <w:sz w:val="24"/>
        </w:rPr>
        <w:t>7、审计：基金管理人职责终止的，应当按照法律法规规定聘请符合《中华人民共和国证券法》规定的会计师事务所对基金财产进行审计，并将审计结果予以公告，同时报中国证监会备案，审计费用在基金财产中列支；</w:t>
      </w:r>
    </w:p>
    <w:p>
      <w:pPr>
        <w:spacing w:line="360" w:lineRule="auto"/>
        <w:ind w:firstLine="480" w:firstLineChars="200"/>
        <w:rPr>
          <w:rFonts w:ascii="宋体" w:hAnsi="宋体" w:cs="宋体"/>
          <w:bCs/>
          <w:sz w:val="24"/>
        </w:rPr>
      </w:pPr>
      <w:r>
        <w:rPr>
          <w:rFonts w:hint="eastAsia" w:ascii="宋体" w:hAnsi="宋体" w:cs="宋体"/>
          <w:bCs/>
          <w:sz w:val="24"/>
        </w:rPr>
        <w:t>8、基金名称变更：基金管理人更换后，如果原任或新任基金管理人要求，应按其要求替换或删除基金名称中与原基金管理人有关的名称字样。</w:t>
      </w:r>
    </w:p>
    <w:p>
      <w:pPr>
        <w:spacing w:line="360" w:lineRule="auto"/>
        <w:ind w:firstLine="480" w:firstLineChars="200"/>
        <w:rPr>
          <w:rFonts w:ascii="宋体" w:hAnsi="宋体" w:cs="宋体"/>
          <w:bCs/>
          <w:sz w:val="24"/>
        </w:rPr>
      </w:pPr>
      <w:bookmarkStart w:id="277" w:name="_Toc22005975"/>
      <w:r>
        <w:rPr>
          <w:rFonts w:hint="eastAsia" w:ascii="宋体" w:hAnsi="宋体" w:cs="宋体"/>
          <w:bCs/>
          <w:sz w:val="24"/>
        </w:rPr>
        <w:t>（二）</w:t>
      </w:r>
      <w:r>
        <w:rPr>
          <w:rFonts w:hint="eastAsia" w:ascii="宋体" w:hAnsi="宋体" w:cs="宋体"/>
          <w:bCs/>
          <w:sz w:val="24"/>
        </w:rPr>
        <w:tab/>
      </w:r>
      <w:r>
        <w:rPr>
          <w:rFonts w:hint="eastAsia" w:ascii="宋体" w:hAnsi="宋体" w:cs="宋体"/>
          <w:bCs/>
          <w:sz w:val="24"/>
        </w:rPr>
        <w:t>基金托管人的更换程序</w:t>
      </w:r>
      <w:bookmarkEnd w:id="277"/>
    </w:p>
    <w:p>
      <w:pPr>
        <w:spacing w:line="360" w:lineRule="auto"/>
        <w:ind w:firstLine="480" w:firstLineChars="200"/>
        <w:rPr>
          <w:rFonts w:ascii="宋体" w:hAnsi="宋体" w:cs="宋体"/>
          <w:bCs/>
          <w:sz w:val="24"/>
        </w:rPr>
      </w:pPr>
      <w:r>
        <w:rPr>
          <w:rFonts w:hint="eastAsia" w:ascii="宋体" w:hAnsi="宋体" w:cs="宋体"/>
          <w:bCs/>
          <w:sz w:val="24"/>
        </w:rPr>
        <w:t>1、提名：新任基金托管人由基金管理人或由单独或合计持有10%以上（含10%）基金份额的基金份额持有人提名；</w:t>
      </w:r>
    </w:p>
    <w:p>
      <w:pPr>
        <w:spacing w:line="360" w:lineRule="auto"/>
        <w:ind w:firstLine="480" w:firstLineChars="200"/>
        <w:rPr>
          <w:rFonts w:ascii="宋体" w:hAnsi="宋体" w:cs="宋体"/>
          <w:bCs/>
          <w:sz w:val="24"/>
        </w:rPr>
      </w:pPr>
      <w:r>
        <w:rPr>
          <w:rFonts w:hint="eastAsia" w:ascii="宋体" w:hAnsi="宋体" w:cs="宋体"/>
          <w:bCs/>
          <w:sz w:val="24"/>
        </w:rPr>
        <w:t>2、决议：基金份额持有人大会在基金托管人职责终止后6个月内对被提名的基金托管人形成决议，该决议需经参加大会的基金份额持有人所持表决权的三分之二以上（含三分之二）表决通过，决议自表决通过之日起生效；</w:t>
      </w:r>
    </w:p>
    <w:p>
      <w:pPr>
        <w:spacing w:line="360" w:lineRule="auto"/>
        <w:ind w:firstLine="480" w:firstLineChars="200"/>
        <w:rPr>
          <w:rFonts w:ascii="宋体" w:hAnsi="宋体" w:cs="宋体"/>
          <w:bCs/>
          <w:sz w:val="24"/>
        </w:rPr>
      </w:pPr>
      <w:r>
        <w:rPr>
          <w:rFonts w:hint="eastAsia" w:ascii="宋体" w:hAnsi="宋体" w:cs="宋体"/>
          <w:bCs/>
          <w:sz w:val="24"/>
        </w:rPr>
        <w:t>3、临时基金托管人：新任基金托管人产生之前，由中国证监会指定临时基金托管人；</w:t>
      </w:r>
    </w:p>
    <w:p>
      <w:pPr>
        <w:spacing w:line="360" w:lineRule="auto"/>
        <w:ind w:firstLine="480" w:firstLineChars="200"/>
        <w:rPr>
          <w:rFonts w:ascii="宋体" w:hAnsi="宋体" w:cs="宋体"/>
          <w:bCs/>
          <w:sz w:val="24"/>
        </w:rPr>
      </w:pPr>
      <w:r>
        <w:rPr>
          <w:rFonts w:hint="eastAsia" w:ascii="宋体" w:hAnsi="宋体" w:cs="宋体"/>
          <w:bCs/>
          <w:sz w:val="24"/>
        </w:rPr>
        <w:t>4、备案：基金份额持有人大会更换基金托管人的决议须报中国证监会备案；</w:t>
      </w:r>
    </w:p>
    <w:p>
      <w:pPr>
        <w:spacing w:line="360" w:lineRule="auto"/>
        <w:ind w:firstLine="480" w:firstLineChars="200"/>
        <w:rPr>
          <w:rFonts w:ascii="宋体" w:hAnsi="宋体" w:cs="宋体"/>
          <w:bCs/>
          <w:sz w:val="24"/>
        </w:rPr>
      </w:pPr>
      <w:r>
        <w:rPr>
          <w:rFonts w:hint="eastAsia" w:ascii="宋体" w:hAnsi="宋体" w:cs="宋体"/>
          <w:bCs/>
          <w:sz w:val="24"/>
        </w:rPr>
        <w:t>5、公告：基金托管人更换后，由基金管理人在</w:t>
      </w:r>
      <w:r>
        <w:rPr>
          <w:rFonts w:hint="eastAsia" w:ascii="宋体" w:hAnsi="宋体" w:cs="宋体"/>
          <w:bCs/>
          <w:sz w:val="24"/>
          <w:szCs w:val="24"/>
        </w:rPr>
        <w:t>更换基金托管人的基金份额持有人大会决议生效</w:t>
      </w:r>
      <w:r>
        <w:rPr>
          <w:rFonts w:hint="eastAsia" w:ascii="宋体" w:hAnsi="宋体" w:cs="宋体"/>
          <w:bCs/>
          <w:sz w:val="24"/>
        </w:rPr>
        <w:t>后2日内在规定媒介公告。</w:t>
      </w:r>
    </w:p>
    <w:p>
      <w:pPr>
        <w:spacing w:line="360" w:lineRule="auto"/>
        <w:ind w:firstLine="480" w:firstLineChars="200"/>
        <w:rPr>
          <w:rFonts w:ascii="宋体" w:hAnsi="宋体" w:cs="宋体"/>
          <w:bCs/>
          <w:sz w:val="24"/>
        </w:rPr>
      </w:pPr>
      <w:r>
        <w:rPr>
          <w:rFonts w:hint="eastAsia" w:ascii="宋体" w:hAnsi="宋体" w:cs="宋体"/>
          <w:bCs/>
          <w:sz w:val="24"/>
        </w:rPr>
        <w:t xml:space="preserve">6、交接：基金托管人职责终止的，应当妥善保管基金财产和基金托管业务资料，及时办理基金财产和基金托管业务的移交手续，新任基金托管人或者临时基金托管人应当及时接收。新任基金托管人或者临时基金托管人应与基金管理人核对基金资产总值和净值； </w:t>
      </w:r>
    </w:p>
    <w:p>
      <w:pPr>
        <w:spacing w:line="360" w:lineRule="auto"/>
        <w:ind w:firstLine="480" w:firstLineChars="200"/>
        <w:rPr>
          <w:rFonts w:ascii="宋体" w:hAnsi="宋体" w:cs="宋体"/>
          <w:bCs/>
          <w:sz w:val="24"/>
        </w:rPr>
      </w:pPr>
      <w:r>
        <w:rPr>
          <w:rFonts w:hint="eastAsia" w:ascii="宋体" w:hAnsi="宋体" w:cs="宋体"/>
          <w:bCs/>
          <w:sz w:val="24"/>
        </w:rPr>
        <w:t>7、审计：基金托管人职责终止的，应当按照法律法规规定聘请符合《中华人民共和国证券法》规定的会计师事务所对基金财产进行审计，并将审计结果予以公告，同时报中国证监会备案，审计费用从基金财产中列支。</w:t>
      </w:r>
    </w:p>
    <w:p>
      <w:pPr>
        <w:spacing w:line="360" w:lineRule="auto"/>
        <w:ind w:firstLine="480" w:firstLineChars="200"/>
        <w:rPr>
          <w:rFonts w:ascii="宋体" w:hAnsi="宋体" w:cs="宋体"/>
          <w:bCs/>
          <w:sz w:val="24"/>
        </w:rPr>
      </w:pPr>
      <w:bookmarkStart w:id="278" w:name="_Toc1357"/>
      <w:r>
        <w:rPr>
          <w:rFonts w:hint="eastAsia" w:ascii="宋体" w:hAnsi="宋体" w:cs="宋体"/>
          <w:bCs/>
          <w:sz w:val="24"/>
        </w:rPr>
        <w:t>（三）基金管理人与基金托管人同时更换的条件和程序。</w:t>
      </w:r>
      <w:bookmarkEnd w:id="278"/>
    </w:p>
    <w:p>
      <w:pPr>
        <w:spacing w:line="360" w:lineRule="auto"/>
        <w:ind w:firstLine="480" w:firstLineChars="200"/>
        <w:rPr>
          <w:rFonts w:ascii="宋体" w:hAnsi="宋体" w:cs="宋体"/>
          <w:bCs/>
          <w:sz w:val="24"/>
        </w:rPr>
      </w:pPr>
      <w:r>
        <w:rPr>
          <w:rFonts w:hint="eastAsia" w:ascii="宋体" w:hAnsi="宋体" w:cs="宋体"/>
          <w:bCs/>
          <w:sz w:val="24"/>
        </w:rPr>
        <w:t>1、提名：如果基金管理人和基金托管人同时更换，由单独或合计持有基金总份额10%以上（含10%）的基金份额持有人提名新的基金管理人和基金托管人；</w:t>
      </w:r>
    </w:p>
    <w:p>
      <w:pPr>
        <w:spacing w:line="360" w:lineRule="auto"/>
        <w:ind w:firstLine="480" w:firstLineChars="200"/>
        <w:rPr>
          <w:rFonts w:ascii="宋体" w:hAnsi="宋体" w:cs="宋体"/>
          <w:bCs/>
          <w:sz w:val="24"/>
        </w:rPr>
      </w:pPr>
      <w:r>
        <w:rPr>
          <w:rFonts w:hint="eastAsia" w:ascii="宋体" w:hAnsi="宋体" w:cs="宋体"/>
          <w:bCs/>
          <w:sz w:val="24"/>
        </w:rPr>
        <w:t>2、基金管理人和基金托管人的更换分别按上述程序进行；</w:t>
      </w:r>
    </w:p>
    <w:p>
      <w:pPr>
        <w:spacing w:line="360" w:lineRule="auto"/>
        <w:ind w:firstLine="480" w:firstLineChars="200"/>
        <w:rPr>
          <w:rFonts w:ascii="宋体" w:hAnsi="宋体" w:cs="宋体"/>
          <w:bCs/>
          <w:sz w:val="24"/>
        </w:rPr>
      </w:pPr>
      <w:r>
        <w:rPr>
          <w:rFonts w:hint="eastAsia" w:ascii="宋体" w:hAnsi="宋体" w:cs="宋体"/>
          <w:bCs/>
          <w:sz w:val="24"/>
        </w:rPr>
        <w:t>3、公告：新任基金管理人和新任基金托管人应在更换基金管理人和基金托管人的基金份额持有人大会决议生效后2日内在规定媒介上联合公告。</w:t>
      </w:r>
    </w:p>
    <w:p>
      <w:pPr>
        <w:spacing w:line="360" w:lineRule="auto"/>
        <w:ind w:firstLine="480" w:firstLineChars="200"/>
        <w:rPr>
          <w:rFonts w:ascii="宋体" w:hAnsi="宋体" w:cs="宋体"/>
          <w:bCs/>
          <w:sz w:val="24"/>
        </w:rPr>
      </w:pPr>
    </w:p>
    <w:p>
      <w:pPr>
        <w:spacing w:line="360" w:lineRule="auto"/>
        <w:ind w:firstLine="482" w:firstLineChars="200"/>
        <w:rPr>
          <w:rFonts w:ascii="宋体" w:hAnsi="宋体" w:cs="宋体"/>
          <w:b/>
          <w:bCs/>
          <w:sz w:val="24"/>
        </w:rPr>
      </w:pPr>
      <w:r>
        <w:rPr>
          <w:rFonts w:hint="eastAsia" w:ascii="宋体" w:hAnsi="宋体" w:cs="宋体"/>
          <w:b/>
          <w:bCs/>
          <w:sz w:val="24"/>
        </w:rPr>
        <w:t>三、新任或临时基金管理人接收基金管理业务，或新任或临时基金托管人接收基金财产和基金托管业务前，原基金管理人或原基金托管人应依据法律法规和《基金合同》的规定继续履行相关职责，并保证不对基金份额持有人的利益造成损害。原基金管理人或原基金托管人在继续履行相关职责期间，仍有权按照本基金合同的规定收取基金管理费或基金托管费。</w:t>
      </w:r>
    </w:p>
    <w:p>
      <w:pPr>
        <w:spacing w:line="360" w:lineRule="auto"/>
        <w:ind w:firstLine="482" w:firstLineChars="200"/>
        <w:rPr>
          <w:rFonts w:ascii="宋体" w:hAnsi="宋体" w:cs="宋体"/>
          <w:b/>
          <w:bCs/>
          <w:sz w:val="24"/>
        </w:rPr>
      </w:pPr>
    </w:p>
    <w:p>
      <w:pPr>
        <w:spacing w:line="360" w:lineRule="auto"/>
        <w:ind w:firstLine="482" w:firstLineChars="200"/>
        <w:rPr>
          <w:rFonts w:ascii="宋体" w:hAnsi="宋体" w:cs="宋体"/>
          <w:b/>
          <w:bCs/>
          <w:sz w:val="24"/>
        </w:rPr>
      </w:pPr>
      <w:r>
        <w:rPr>
          <w:rFonts w:hint="eastAsia" w:ascii="宋体" w:hAnsi="宋体" w:cs="宋体"/>
          <w:b/>
          <w:bCs/>
          <w:sz w:val="24"/>
        </w:rPr>
        <w:t>四、本部分关于基金管理人、基金托管人更换条件和程序的约定，凡是直接引用法律法规或监管规则的部分，如将来法律法规或监管规则修改导致相关内容被取消或变更的，基金管理人与基金托管人协商一致并提前公告后，可直接对相应内容进行修改和调整，无需召开基金份额持有人大会审议。</w:t>
      </w:r>
    </w:p>
    <w:p>
      <w:pPr>
        <w:spacing w:line="360" w:lineRule="auto"/>
        <w:ind w:firstLine="480" w:firstLineChars="200"/>
        <w:rPr>
          <w:rFonts w:ascii="宋体" w:hAnsi="宋体" w:cs="宋体"/>
          <w:bCs/>
          <w:sz w:val="24"/>
        </w:rPr>
      </w:pPr>
    </w:p>
    <w:p>
      <w:pPr>
        <w:pStyle w:val="2"/>
        <w:spacing w:before="0" w:after="0"/>
        <w:jc w:val="center"/>
        <w:rPr>
          <w:rFonts w:hAnsi="宋体" w:cs="宋体"/>
          <w:color w:val="auto"/>
          <w:sz w:val="30"/>
        </w:rPr>
      </w:pPr>
      <w:r>
        <w:rPr>
          <w:rFonts w:hint="eastAsia" w:hAnsi="宋体" w:cs="宋体"/>
          <w:b w:val="0"/>
          <w:bCs/>
          <w:color w:val="auto"/>
          <w:kern w:val="2"/>
        </w:rPr>
        <w:br w:type="page"/>
      </w:r>
      <w:bookmarkStart w:id="279" w:name="_Toc98560356"/>
      <w:bookmarkStart w:id="280" w:name="_Toc48649708"/>
      <w:bookmarkStart w:id="281" w:name="_Toc739"/>
      <w:bookmarkStart w:id="282" w:name="_Toc4659"/>
      <w:bookmarkStart w:id="283" w:name="_Toc123102457"/>
      <w:bookmarkStart w:id="284" w:name="_Toc17198"/>
      <w:bookmarkStart w:id="285" w:name="_Toc20976"/>
      <w:bookmarkStart w:id="286" w:name="_Toc139991740"/>
      <w:bookmarkStart w:id="287" w:name="_Toc32092"/>
      <w:bookmarkStart w:id="288" w:name="_Toc79392622"/>
      <w:bookmarkStart w:id="289" w:name="_Toc123051456"/>
      <w:bookmarkStart w:id="290" w:name="_Toc8791"/>
      <w:bookmarkStart w:id="291" w:name="_Toc29408"/>
      <w:bookmarkStart w:id="292" w:name="_Toc141703890"/>
      <w:bookmarkStart w:id="293" w:name="_Toc17920"/>
      <w:bookmarkStart w:id="294" w:name="_Toc3329"/>
      <w:bookmarkStart w:id="295" w:name="_Toc32584"/>
      <w:bookmarkStart w:id="296" w:name="_Toc21237"/>
      <w:bookmarkStart w:id="297" w:name="_Toc123112238"/>
      <w:bookmarkStart w:id="298" w:name="_Toc5170"/>
      <w:r>
        <w:rPr>
          <w:rFonts w:hint="eastAsia" w:hAnsi="宋体" w:cs="宋体"/>
          <w:color w:val="auto"/>
          <w:sz w:val="30"/>
        </w:rPr>
        <w:t>第十部分  基金的托管</w:t>
      </w:r>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p>
    <w:p>
      <w:pPr>
        <w:autoSpaceDE w:val="0"/>
        <w:autoSpaceDN w:val="0"/>
        <w:spacing w:line="360" w:lineRule="auto"/>
        <w:textAlignment w:val="bottom"/>
        <w:rPr>
          <w:rFonts w:ascii="宋体" w:hAnsi="宋体" w:cs="宋体"/>
          <w:bCs/>
          <w:sz w:val="24"/>
        </w:rPr>
      </w:pPr>
    </w:p>
    <w:p>
      <w:pPr>
        <w:spacing w:line="360" w:lineRule="auto"/>
        <w:ind w:firstLine="480" w:firstLineChars="200"/>
        <w:rPr>
          <w:rFonts w:ascii="宋体" w:hAnsi="宋体" w:cs="宋体"/>
          <w:bCs/>
          <w:sz w:val="24"/>
        </w:rPr>
      </w:pPr>
      <w:r>
        <w:rPr>
          <w:rFonts w:hint="eastAsia" w:ascii="宋体" w:hAnsi="宋体" w:cs="宋体"/>
          <w:bCs/>
          <w:sz w:val="24"/>
        </w:rPr>
        <w:t>基金托管人和基金管理人按照《基金法》、《基金合同》及其他有关规定订立托管协议。</w:t>
      </w:r>
    </w:p>
    <w:p>
      <w:pPr>
        <w:autoSpaceDE w:val="0"/>
        <w:autoSpaceDN w:val="0"/>
        <w:spacing w:line="360" w:lineRule="auto"/>
        <w:ind w:firstLine="480" w:firstLineChars="200"/>
        <w:textAlignment w:val="bottom"/>
        <w:rPr>
          <w:rFonts w:ascii="宋体" w:hAnsi="宋体" w:cs="宋体"/>
          <w:bCs/>
          <w:sz w:val="24"/>
        </w:rPr>
      </w:pPr>
      <w:r>
        <w:rPr>
          <w:rFonts w:hint="eastAsia" w:ascii="宋体" w:hAnsi="宋体" w:cs="宋体"/>
          <w:bCs/>
          <w:sz w:val="24"/>
        </w:rPr>
        <w:t>订立托管协议的目的是明确基金托管人与基金管理人之间在基金财产的保管、投资运作、净值计算、收益分配、信息披露及相互监督等相关事宜中的权利义务及职责，确保基金财产的安全，保护基金份额持有人的合法权益。</w:t>
      </w:r>
    </w:p>
    <w:p>
      <w:pPr>
        <w:pStyle w:val="2"/>
        <w:spacing w:before="0" w:after="0"/>
        <w:jc w:val="center"/>
        <w:rPr>
          <w:rFonts w:hAnsi="宋体" w:cs="宋体"/>
          <w:color w:val="auto"/>
          <w:sz w:val="30"/>
        </w:rPr>
      </w:pPr>
      <w:r>
        <w:rPr>
          <w:rFonts w:hint="eastAsia" w:hAnsi="宋体" w:cs="宋体"/>
          <w:b w:val="0"/>
          <w:bCs/>
          <w:color w:val="auto"/>
        </w:rPr>
        <w:br w:type="page"/>
      </w:r>
      <w:bookmarkStart w:id="299" w:name="_Toc139991741"/>
      <w:bookmarkStart w:id="300" w:name="_Toc26084"/>
      <w:bookmarkStart w:id="301" w:name="_Toc98560357"/>
      <w:bookmarkStart w:id="302" w:name="_Toc141703891"/>
      <w:bookmarkStart w:id="303" w:name="_Toc48649710"/>
      <w:bookmarkStart w:id="304" w:name="_Toc31469"/>
      <w:bookmarkStart w:id="305" w:name="_Toc26383"/>
      <w:bookmarkStart w:id="306" w:name="_Toc123112239"/>
      <w:bookmarkStart w:id="307" w:name="_Toc14725"/>
      <w:bookmarkStart w:id="308" w:name="_Toc26152"/>
      <w:bookmarkStart w:id="309" w:name="_Toc22674"/>
      <w:bookmarkStart w:id="310" w:name="_Toc16789"/>
      <w:bookmarkStart w:id="311" w:name="_Toc123102458"/>
      <w:bookmarkStart w:id="312" w:name="_Toc19520"/>
      <w:bookmarkStart w:id="313" w:name="_Toc3244"/>
      <w:bookmarkStart w:id="314" w:name="_Toc123051457"/>
      <w:bookmarkStart w:id="315" w:name="_Toc29489"/>
      <w:bookmarkStart w:id="316" w:name="_Toc21886"/>
      <w:bookmarkStart w:id="317" w:name="_Toc79392624"/>
      <w:bookmarkStart w:id="318" w:name="_Toc2255"/>
      <w:r>
        <w:rPr>
          <w:rFonts w:hint="eastAsia" w:hAnsi="宋体" w:cs="宋体"/>
          <w:color w:val="auto"/>
          <w:sz w:val="30"/>
        </w:rPr>
        <w:t>第十一部分  基金份额的登记</w:t>
      </w:r>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p>
    <w:p>
      <w:pPr>
        <w:autoSpaceDE w:val="0"/>
        <w:autoSpaceDN w:val="0"/>
        <w:spacing w:line="360" w:lineRule="auto"/>
        <w:textAlignment w:val="bottom"/>
        <w:rPr>
          <w:rFonts w:ascii="宋体" w:hAnsi="宋体" w:cs="宋体"/>
          <w:bCs/>
          <w:sz w:val="24"/>
        </w:rPr>
      </w:pPr>
    </w:p>
    <w:p>
      <w:pPr>
        <w:spacing w:line="360" w:lineRule="auto"/>
        <w:ind w:firstLine="482" w:firstLineChars="200"/>
        <w:rPr>
          <w:rFonts w:ascii="宋体" w:hAnsi="宋体" w:cs="宋体"/>
          <w:b/>
          <w:sz w:val="24"/>
        </w:rPr>
      </w:pPr>
      <w:r>
        <w:rPr>
          <w:rFonts w:hint="eastAsia" w:ascii="宋体" w:hAnsi="宋体" w:cs="宋体"/>
          <w:b/>
          <w:sz w:val="24"/>
        </w:rPr>
        <w:t>一、基金的份额登记业务</w:t>
      </w:r>
    </w:p>
    <w:p>
      <w:pPr>
        <w:spacing w:line="360" w:lineRule="auto"/>
        <w:ind w:firstLine="480" w:firstLineChars="200"/>
        <w:rPr>
          <w:rFonts w:ascii="宋体" w:hAnsi="宋体" w:cs="宋体"/>
          <w:bCs/>
          <w:sz w:val="24"/>
        </w:rPr>
      </w:pPr>
      <w:r>
        <w:rPr>
          <w:rFonts w:hint="eastAsia" w:ascii="宋体" w:hAnsi="宋体" w:cs="宋体"/>
          <w:bCs/>
          <w:sz w:val="24"/>
        </w:rPr>
        <w:t>本基金的登记业务指本基金登记、存管、过户、清算和结算业务，具体内容包括投资人基金账户的建立和管理、基金份额登记、基金销售业务的确认、清算和结算、代理发放红利、建立并保管基金份额持有人名册和办理非交易过户等。</w:t>
      </w:r>
    </w:p>
    <w:p>
      <w:pPr>
        <w:spacing w:line="360" w:lineRule="auto"/>
        <w:ind w:firstLine="480" w:firstLineChars="200"/>
        <w:rPr>
          <w:rFonts w:ascii="宋体" w:hAnsi="宋体" w:cs="宋体"/>
          <w:bCs/>
          <w:sz w:val="24"/>
        </w:rPr>
      </w:pPr>
    </w:p>
    <w:p>
      <w:pPr>
        <w:spacing w:line="360" w:lineRule="auto"/>
        <w:ind w:firstLine="482" w:firstLineChars="200"/>
        <w:rPr>
          <w:rFonts w:ascii="宋体" w:hAnsi="宋体" w:cs="宋体"/>
          <w:b/>
          <w:sz w:val="24"/>
        </w:rPr>
      </w:pPr>
      <w:r>
        <w:rPr>
          <w:rFonts w:hint="eastAsia" w:ascii="宋体" w:hAnsi="宋体" w:cs="宋体"/>
          <w:b/>
          <w:sz w:val="24"/>
        </w:rPr>
        <w:t>二、基金登记业务办理机构</w:t>
      </w:r>
    </w:p>
    <w:p>
      <w:pPr>
        <w:spacing w:line="360" w:lineRule="auto"/>
        <w:ind w:firstLine="480" w:firstLineChars="200"/>
        <w:rPr>
          <w:rFonts w:ascii="宋体" w:hAnsi="宋体" w:cs="宋体"/>
          <w:bCs/>
          <w:sz w:val="24"/>
        </w:rPr>
      </w:pPr>
      <w:r>
        <w:rPr>
          <w:rFonts w:hint="eastAsia" w:ascii="宋体" w:hAnsi="宋体" w:cs="宋体"/>
          <w:bCs/>
          <w:sz w:val="24"/>
        </w:rPr>
        <w:t>本基金的登记业务由基金管理人或基金管理人委托的其他符合条件的机构办理，但基金管理人依法应当承担的责任不因委托而免除。基金管理人委托其他机构办理本基金登记业务的，应与代理人签订委托代理协议，以明确基金管理人和代理机构在投资者基金账户管理、基金份额登记、清算及基金交易确认、发放红利、建立并保管基金份额持有人名册和办理非交易过户等事宜中的权利和义务，保护基金份额持有人的合法权益。</w:t>
      </w:r>
    </w:p>
    <w:p>
      <w:pPr>
        <w:spacing w:line="360" w:lineRule="auto"/>
        <w:ind w:firstLine="480" w:firstLineChars="200"/>
        <w:rPr>
          <w:rFonts w:ascii="宋体" w:hAnsi="宋体" w:cs="宋体"/>
          <w:bCs/>
          <w:sz w:val="24"/>
        </w:rPr>
      </w:pPr>
    </w:p>
    <w:p>
      <w:pPr>
        <w:spacing w:line="360" w:lineRule="auto"/>
        <w:ind w:firstLine="482" w:firstLineChars="200"/>
        <w:rPr>
          <w:rFonts w:ascii="宋体" w:hAnsi="宋体" w:cs="宋体"/>
          <w:b/>
          <w:sz w:val="24"/>
        </w:rPr>
      </w:pPr>
      <w:r>
        <w:rPr>
          <w:rFonts w:hint="eastAsia" w:ascii="宋体" w:hAnsi="宋体" w:cs="宋体"/>
          <w:b/>
          <w:sz w:val="24"/>
        </w:rPr>
        <w:t>三、基金登记机构的权利</w:t>
      </w:r>
      <w:bookmarkStart w:id="319" w:name="_Hlt88820748"/>
      <w:bookmarkEnd w:id="319"/>
    </w:p>
    <w:p>
      <w:pPr>
        <w:spacing w:line="360" w:lineRule="auto"/>
        <w:ind w:firstLine="480" w:firstLineChars="200"/>
        <w:rPr>
          <w:rFonts w:ascii="宋体" w:hAnsi="宋体" w:cs="宋体"/>
          <w:bCs/>
          <w:sz w:val="24"/>
        </w:rPr>
      </w:pPr>
      <w:r>
        <w:rPr>
          <w:rFonts w:hint="eastAsia" w:ascii="宋体" w:hAnsi="宋体" w:cs="宋体"/>
          <w:bCs/>
          <w:sz w:val="24"/>
        </w:rPr>
        <w:t>基金登记机构享有以下权利：</w:t>
      </w:r>
    </w:p>
    <w:p>
      <w:pPr>
        <w:spacing w:line="360" w:lineRule="auto"/>
        <w:ind w:firstLine="480" w:firstLineChars="200"/>
        <w:rPr>
          <w:rFonts w:ascii="宋体" w:hAnsi="宋体" w:cs="宋体"/>
          <w:bCs/>
          <w:sz w:val="24"/>
        </w:rPr>
      </w:pPr>
      <w:r>
        <w:rPr>
          <w:rFonts w:hint="eastAsia" w:ascii="宋体" w:hAnsi="宋体" w:cs="宋体"/>
          <w:bCs/>
          <w:sz w:val="24"/>
        </w:rPr>
        <w:t>1、取得登记费；</w:t>
      </w:r>
    </w:p>
    <w:p>
      <w:pPr>
        <w:spacing w:line="360" w:lineRule="auto"/>
        <w:ind w:firstLine="480" w:firstLineChars="200"/>
        <w:rPr>
          <w:rFonts w:ascii="宋体" w:hAnsi="宋体" w:cs="宋体"/>
          <w:bCs/>
          <w:sz w:val="24"/>
        </w:rPr>
      </w:pPr>
      <w:r>
        <w:rPr>
          <w:rFonts w:hint="eastAsia" w:ascii="宋体" w:hAnsi="宋体" w:cs="宋体"/>
          <w:bCs/>
          <w:sz w:val="24"/>
        </w:rPr>
        <w:t>2、建立和管理投资者基金账户；</w:t>
      </w:r>
    </w:p>
    <w:p>
      <w:pPr>
        <w:spacing w:line="360" w:lineRule="auto"/>
        <w:ind w:firstLine="480" w:firstLineChars="200"/>
        <w:rPr>
          <w:rFonts w:ascii="宋体" w:hAnsi="宋体" w:cs="宋体"/>
          <w:bCs/>
          <w:sz w:val="24"/>
        </w:rPr>
      </w:pPr>
      <w:r>
        <w:rPr>
          <w:rFonts w:hint="eastAsia" w:ascii="宋体" w:hAnsi="宋体" w:cs="宋体"/>
          <w:bCs/>
          <w:sz w:val="24"/>
        </w:rPr>
        <w:t>3、保管基金份额持有人开户资料、交易资料、基金份额持有人名册等；</w:t>
      </w:r>
    </w:p>
    <w:p>
      <w:pPr>
        <w:spacing w:line="360" w:lineRule="auto"/>
        <w:ind w:firstLine="480" w:firstLineChars="200"/>
        <w:rPr>
          <w:rFonts w:ascii="宋体" w:hAnsi="宋体" w:cs="宋体"/>
          <w:bCs/>
          <w:sz w:val="24"/>
        </w:rPr>
      </w:pPr>
      <w:r>
        <w:rPr>
          <w:rFonts w:hint="eastAsia" w:ascii="宋体" w:hAnsi="宋体" w:cs="宋体"/>
          <w:bCs/>
          <w:sz w:val="24"/>
        </w:rPr>
        <w:t>4、在法律法规允许的范围内，对登记业务的办理时间进行调整，并依照有关规定于开始实施前在规定媒介上公告；</w:t>
      </w:r>
    </w:p>
    <w:p>
      <w:pPr>
        <w:spacing w:line="360" w:lineRule="auto"/>
        <w:ind w:firstLine="480" w:firstLineChars="200"/>
        <w:rPr>
          <w:rFonts w:ascii="宋体" w:hAnsi="宋体" w:cs="宋体"/>
          <w:bCs/>
          <w:sz w:val="24"/>
        </w:rPr>
      </w:pPr>
      <w:r>
        <w:rPr>
          <w:rFonts w:hint="eastAsia" w:ascii="宋体" w:hAnsi="宋体" w:cs="宋体"/>
          <w:bCs/>
          <w:sz w:val="24"/>
        </w:rPr>
        <w:t>5、法律法规及中国证监会规定的和《基金合同》约定的其他权利。</w:t>
      </w:r>
    </w:p>
    <w:p>
      <w:pPr>
        <w:spacing w:line="360" w:lineRule="auto"/>
        <w:ind w:firstLine="480" w:firstLineChars="200"/>
        <w:rPr>
          <w:rFonts w:ascii="宋体" w:hAnsi="宋体" w:cs="宋体"/>
          <w:bCs/>
          <w:sz w:val="24"/>
        </w:rPr>
      </w:pPr>
    </w:p>
    <w:p>
      <w:pPr>
        <w:spacing w:line="360" w:lineRule="auto"/>
        <w:ind w:firstLine="482" w:firstLineChars="200"/>
        <w:rPr>
          <w:rFonts w:ascii="宋体" w:hAnsi="宋体" w:cs="宋体"/>
          <w:b/>
          <w:sz w:val="24"/>
        </w:rPr>
      </w:pPr>
      <w:r>
        <w:rPr>
          <w:rFonts w:hint="eastAsia" w:ascii="宋体" w:hAnsi="宋体" w:cs="宋体"/>
          <w:b/>
          <w:sz w:val="24"/>
        </w:rPr>
        <w:t>四、基金登记机构的义务</w:t>
      </w:r>
    </w:p>
    <w:p>
      <w:pPr>
        <w:spacing w:line="360" w:lineRule="auto"/>
        <w:ind w:firstLine="480" w:firstLineChars="200"/>
        <w:rPr>
          <w:rFonts w:ascii="宋体" w:hAnsi="宋体" w:cs="宋体"/>
          <w:bCs/>
          <w:sz w:val="24"/>
        </w:rPr>
      </w:pPr>
      <w:r>
        <w:rPr>
          <w:rFonts w:hint="eastAsia" w:ascii="宋体" w:hAnsi="宋体" w:cs="宋体"/>
          <w:bCs/>
          <w:sz w:val="24"/>
        </w:rPr>
        <w:t>基金登记机构承担以下义务：</w:t>
      </w:r>
    </w:p>
    <w:p>
      <w:pPr>
        <w:spacing w:line="360" w:lineRule="auto"/>
        <w:ind w:firstLine="480" w:firstLineChars="200"/>
        <w:rPr>
          <w:rFonts w:ascii="宋体" w:hAnsi="宋体" w:cs="宋体"/>
          <w:bCs/>
          <w:sz w:val="24"/>
        </w:rPr>
      </w:pPr>
      <w:r>
        <w:rPr>
          <w:rFonts w:hint="eastAsia" w:ascii="宋体" w:hAnsi="宋体" w:cs="宋体"/>
          <w:bCs/>
          <w:sz w:val="24"/>
        </w:rPr>
        <w:t>1、配备足够的专业人员办理本基金份额的登记业务；</w:t>
      </w:r>
    </w:p>
    <w:p>
      <w:pPr>
        <w:spacing w:line="360" w:lineRule="auto"/>
        <w:ind w:firstLine="480" w:firstLineChars="200"/>
        <w:rPr>
          <w:rFonts w:ascii="宋体" w:hAnsi="宋体" w:cs="宋体"/>
          <w:bCs/>
          <w:sz w:val="24"/>
        </w:rPr>
      </w:pPr>
      <w:r>
        <w:rPr>
          <w:rFonts w:hint="eastAsia" w:ascii="宋体" w:hAnsi="宋体" w:cs="宋体"/>
          <w:bCs/>
          <w:sz w:val="24"/>
        </w:rPr>
        <w:t>2、严格按照法律法规和《基金合同》规定的条件办理本基金份额的登记业务；</w:t>
      </w:r>
    </w:p>
    <w:p>
      <w:pPr>
        <w:spacing w:line="360" w:lineRule="auto"/>
        <w:ind w:firstLine="480" w:firstLineChars="200"/>
        <w:rPr>
          <w:rFonts w:ascii="宋体" w:hAnsi="宋体" w:cs="宋体"/>
          <w:bCs/>
          <w:sz w:val="24"/>
        </w:rPr>
      </w:pPr>
      <w:r>
        <w:rPr>
          <w:rFonts w:hint="eastAsia" w:ascii="宋体" w:hAnsi="宋体" w:cs="宋体"/>
          <w:bCs/>
          <w:sz w:val="24"/>
        </w:rPr>
        <w:t>3、妥善保存登记数据，并将基金份额持有人名称、身份信息及基金份额明细等数据备份至中国证监会认定的机构，其保存期限自基金账户销户之日起不得低于法律法规规定的最低年限；</w:t>
      </w:r>
    </w:p>
    <w:p>
      <w:pPr>
        <w:spacing w:line="360" w:lineRule="auto"/>
        <w:ind w:firstLine="480" w:firstLineChars="200"/>
        <w:rPr>
          <w:rFonts w:ascii="宋体" w:hAnsi="宋体" w:cs="宋体"/>
          <w:bCs/>
          <w:sz w:val="24"/>
        </w:rPr>
      </w:pPr>
      <w:r>
        <w:rPr>
          <w:rFonts w:hint="eastAsia" w:ascii="宋体" w:hAnsi="宋体" w:cs="宋体"/>
          <w:bCs/>
          <w:sz w:val="24"/>
        </w:rPr>
        <w:t>4、对基金份额持有人的基金账户信息负有保密义务，因违反该保密义务对投资者或基金带来的损失，须承担相应的赔偿责任，但司法强制检查情形及法律法规及中国证监会规定的和《基金合同》约定的其他情形除外；</w:t>
      </w:r>
    </w:p>
    <w:p>
      <w:pPr>
        <w:spacing w:line="360" w:lineRule="auto"/>
        <w:ind w:firstLine="480" w:firstLineChars="200"/>
        <w:rPr>
          <w:rFonts w:ascii="宋体" w:hAnsi="宋体" w:cs="宋体"/>
          <w:bCs/>
          <w:sz w:val="24"/>
        </w:rPr>
      </w:pPr>
      <w:r>
        <w:rPr>
          <w:rFonts w:hint="eastAsia" w:ascii="宋体" w:hAnsi="宋体" w:cs="宋体"/>
          <w:bCs/>
          <w:sz w:val="24"/>
        </w:rPr>
        <w:t>5、按《基金合同》及招募说明书规定为投资者办理非交易过户业务、提供其他必要的服务；</w:t>
      </w:r>
    </w:p>
    <w:p>
      <w:pPr>
        <w:spacing w:line="360" w:lineRule="auto"/>
        <w:ind w:firstLine="480" w:firstLineChars="200"/>
        <w:rPr>
          <w:rFonts w:ascii="宋体" w:hAnsi="宋体" w:cs="宋体"/>
          <w:bCs/>
          <w:sz w:val="24"/>
        </w:rPr>
      </w:pPr>
      <w:r>
        <w:rPr>
          <w:rFonts w:hint="eastAsia" w:ascii="宋体" w:hAnsi="宋体" w:cs="宋体"/>
          <w:bCs/>
          <w:sz w:val="24"/>
        </w:rPr>
        <w:t>6、接受基金管理人的监督；</w:t>
      </w:r>
    </w:p>
    <w:p>
      <w:pPr>
        <w:spacing w:line="360" w:lineRule="auto"/>
        <w:ind w:firstLine="480" w:firstLineChars="200"/>
        <w:rPr>
          <w:rFonts w:ascii="宋体" w:hAnsi="宋体" w:cs="宋体"/>
          <w:bCs/>
          <w:sz w:val="24"/>
        </w:rPr>
      </w:pPr>
      <w:r>
        <w:rPr>
          <w:rFonts w:hint="eastAsia" w:ascii="宋体" w:hAnsi="宋体" w:cs="宋体"/>
          <w:bCs/>
          <w:sz w:val="24"/>
        </w:rPr>
        <w:t>7、如因登记机构的原因而造成基金管理人或者基金份额持有人损失的，依法承担相应的赔偿责任；</w:t>
      </w:r>
    </w:p>
    <w:p>
      <w:pPr>
        <w:spacing w:line="360" w:lineRule="auto"/>
        <w:ind w:firstLine="480" w:firstLineChars="200"/>
        <w:rPr>
          <w:rFonts w:ascii="宋体" w:hAnsi="宋体" w:cs="宋体"/>
          <w:bCs/>
          <w:sz w:val="24"/>
        </w:rPr>
      </w:pPr>
      <w:r>
        <w:rPr>
          <w:rFonts w:hint="eastAsia" w:ascii="宋体" w:hAnsi="宋体" w:cs="宋体"/>
          <w:bCs/>
          <w:sz w:val="24"/>
        </w:rPr>
        <w:t>8、法律法规及中国证监会规定的和《基金合同》约定的其他义务。</w:t>
      </w:r>
    </w:p>
    <w:p>
      <w:pPr>
        <w:pStyle w:val="2"/>
        <w:spacing w:before="0" w:after="0"/>
        <w:jc w:val="center"/>
        <w:rPr>
          <w:rFonts w:hAnsi="宋体" w:cs="宋体"/>
          <w:color w:val="auto"/>
          <w:sz w:val="30"/>
        </w:rPr>
      </w:pPr>
      <w:r>
        <w:rPr>
          <w:rFonts w:hint="eastAsia" w:hAnsi="宋体" w:cs="宋体"/>
          <w:b w:val="0"/>
          <w:bCs/>
          <w:color w:val="auto"/>
        </w:rPr>
        <w:br w:type="page"/>
      </w:r>
      <w:bookmarkStart w:id="320" w:name="_Toc11395"/>
      <w:bookmarkStart w:id="321" w:name="_Toc16437"/>
      <w:bookmarkStart w:id="322" w:name="_Toc5477"/>
      <w:bookmarkStart w:id="323" w:name="_Toc801"/>
      <w:bookmarkStart w:id="324" w:name="_Toc3872"/>
      <w:bookmarkStart w:id="325" w:name="_Toc21917"/>
      <w:bookmarkStart w:id="326" w:name="_Toc11351"/>
      <w:bookmarkStart w:id="327" w:name="_Toc18552"/>
      <w:bookmarkStart w:id="328" w:name="_Toc22538"/>
      <w:bookmarkStart w:id="329" w:name="_Toc2981"/>
      <w:bookmarkStart w:id="330" w:name="_Toc13343"/>
      <w:bookmarkStart w:id="331" w:name="_Toc578"/>
      <w:r>
        <w:rPr>
          <w:rFonts w:hint="eastAsia" w:hAnsi="宋体" w:cs="宋体"/>
          <w:color w:val="auto"/>
          <w:sz w:val="30"/>
        </w:rPr>
        <w:t>第十二部分  基金的投资</w:t>
      </w:r>
      <w:bookmarkEnd w:id="320"/>
      <w:bookmarkEnd w:id="321"/>
      <w:bookmarkEnd w:id="322"/>
      <w:bookmarkEnd w:id="323"/>
      <w:bookmarkEnd w:id="324"/>
      <w:bookmarkEnd w:id="325"/>
      <w:bookmarkEnd w:id="326"/>
      <w:bookmarkEnd w:id="327"/>
      <w:bookmarkEnd w:id="328"/>
      <w:bookmarkEnd w:id="329"/>
      <w:bookmarkEnd w:id="330"/>
      <w:bookmarkEnd w:id="331"/>
    </w:p>
    <w:p>
      <w:pPr>
        <w:spacing w:line="360" w:lineRule="auto"/>
        <w:ind w:firstLine="480" w:firstLineChars="200"/>
        <w:rPr>
          <w:rFonts w:ascii="宋体" w:hAnsi="宋体" w:cs="宋体"/>
          <w:bCs/>
          <w:sz w:val="24"/>
        </w:rPr>
      </w:pPr>
    </w:p>
    <w:p>
      <w:pPr>
        <w:spacing w:line="360" w:lineRule="auto"/>
        <w:ind w:firstLine="482" w:firstLineChars="200"/>
        <w:rPr>
          <w:rFonts w:ascii="宋体" w:hAnsi="宋体" w:cs="宋体"/>
          <w:b/>
          <w:sz w:val="24"/>
        </w:rPr>
      </w:pPr>
      <w:r>
        <w:rPr>
          <w:rFonts w:hint="eastAsia" w:ascii="宋体" w:hAnsi="宋体" w:cs="宋体"/>
          <w:b/>
          <w:sz w:val="24"/>
        </w:rPr>
        <w:t>一、投资目标</w:t>
      </w:r>
    </w:p>
    <w:p>
      <w:pPr>
        <w:spacing w:line="360" w:lineRule="auto"/>
        <w:ind w:firstLine="480" w:firstLineChars="200"/>
        <w:rPr>
          <w:rStyle w:val="26"/>
          <w:rFonts w:ascii="仿宋" w:hAnsi="仿宋" w:eastAsia="仿宋"/>
          <w:sz w:val="24"/>
          <w:szCs w:val="24"/>
        </w:rPr>
      </w:pPr>
      <w:r>
        <w:rPr>
          <w:rFonts w:hint="eastAsia" w:ascii="宋体" w:hAnsi="宋体" w:cs="宋体"/>
          <w:bCs/>
          <w:sz w:val="24"/>
        </w:rPr>
        <w:t>本基金在严格控制投资组合风险的前提下,追求基金资产的长期稳健增值</w:t>
      </w:r>
      <w:r>
        <w:rPr>
          <w:rFonts w:hint="eastAsia" w:ascii="仿宋" w:hAnsi="仿宋" w:eastAsia="仿宋"/>
          <w:sz w:val="24"/>
          <w:szCs w:val="24"/>
        </w:rPr>
        <w:t>。</w:t>
      </w:r>
    </w:p>
    <w:p>
      <w:pPr>
        <w:spacing w:line="360" w:lineRule="auto"/>
        <w:ind w:firstLine="420" w:firstLineChars="200"/>
        <w:rPr>
          <w:rStyle w:val="26"/>
          <w:rFonts w:ascii="仿宋" w:hAnsi="仿宋" w:eastAsia="仿宋"/>
          <w:szCs w:val="24"/>
        </w:rPr>
      </w:pPr>
    </w:p>
    <w:p>
      <w:pPr>
        <w:spacing w:line="360" w:lineRule="auto"/>
        <w:ind w:firstLine="482" w:firstLineChars="200"/>
        <w:rPr>
          <w:rFonts w:ascii="宋体" w:hAnsi="宋体" w:cs="宋体"/>
          <w:b/>
          <w:sz w:val="24"/>
        </w:rPr>
      </w:pPr>
      <w:r>
        <w:rPr>
          <w:rFonts w:hint="eastAsia" w:ascii="宋体" w:hAnsi="宋体" w:cs="宋体"/>
          <w:b/>
          <w:sz w:val="24"/>
        </w:rPr>
        <w:t>二、投资范围</w:t>
      </w:r>
    </w:p>
    <w:p>
      <w:pPr>
        <w:spacing w:line="360" w:lineRule="auto"/>
        <w:ind w:firstLine="480" w:firstLineChars="200"/>
        <w:rPr>
          <w:rFonts w:ascii="宋体" w:hAnsi="宋体" w:cs="宋体"/>
          <w:sz w:val="24"/>
          <w:szCs w:val="24"/>
        </w:rPr>
      </w:pPr>
      <w:r>
        <w:rPr>
          <w:rFonts w:hint="eastAsia" w:ascii="宋体" w:hAnsi="宋体" w:cs="宋体"/>
          <w:sz w:val="24"/>
          <w:szCs w:val="24"/>
        </w:rPr>
        <w:t>本基金的投资范围为具有良好流动性的金融工具，包括国内依法发行的债券（国债、金融债、央行票据、地方政府债、企业债、公司债、中期票据、短期融资券、超短期融资券、政府支持机构债券、政府支持债券、证券公司短期公司债券、公开发行的次级债）、资产支持证券、债券回购、银行存款（包括协议存款、通知存款、定期存款及其他银行存款）、货币市场工具、同业存单以及法律法规或中国证监会允许基金投资的其他金融工具（但须符合中国证监会的相关规定）。</w:t>
      </w:r>
    </w:p>
    <w:p>
      <w:pPr>
        <w:spacing w:line="360" w:lineRule="auto"/>
        <w:ind w:firstLine="480" w:firstLineChars="200"/>
        <w:rPr>
          <w:rFonts w:ascii="宋体" w:hAnsi="宋体" w:cs="宋体"/>
          <w:sz w:val="24"/>
          <w:szCs w:val="24"/>
        </w:rPr>
      </w:pPr>
      <w:r>
        <w:rPr>
          <w:rFonts w:hint="eastAsia" w:ascii="宋体" w:hAnsi="宋体" w:cs="宋体"/>
          <w:sz w:val="24"/>
          <w:szCs w:val="24"/>
        </w:rPr>
        <w:t>本基金不投资于股票等权益类资产，也不投资于可转换债券、可交换债券。</w:t>
      </w:r>
    </w:p>
    <w:p>
      <w:pPr>
        <w:spacing w:line="360" w:lineRule="auto"/>
        <w:ind w:firstLine="480" w:firstLineChars="200"/>
        <w:rPr>
          <w:rFonts w:ascii="宋体" w:hAnsi="宋体" w:cs="宋体"/>
          <w:sz w:val="24"/>
          <w:szCs w:val="24"/>
        </w:rPr>
      </w:pPr>
      <w:r>
        <w:rPr>
          <w:rFonts w:hint="eastAsia" w:ascii="宋体" w:hAnsi="宋体" w:cs="宋体"/>
          <w:sz w:val="24"/>
          <w:szCs w:val="24"/>
        </w:rPr>
        <w:t>如法律法规或监管机构以后允许基金投资其他品种，基金管理人在履行适当程序后，可以将</w:t>
      </w:r>
      <w:bookmarkStart w:id="332" w:name="OLE_LINK119"/>
      <w:bookmarkStart w:id="333" w:name="OLE_LINK118"/>
      <w:r>
        <w:rPr>
          <w:rFonts w:hint="eastAsia" w:ascii="宋体" w:hAnsi="宋体" w:cs="宋体"/>
          <w:sz w:val="24"/>
          <w:szCs w:val="24"/>
        </w:rPr>
        <w:t>其纳入投资范围。</w:t>
      </w:r>
    </w:p>
    <w:bookmarkEnd w:id="332"/>
    <w:bookmarkEnd w:id="333"/>
    <w:p>
      <w:pPr>
        <w:spacing w:line="360" w:lineRule="auto"/>
        <w:ind w:firstLine="480"/>
        <w:rPr>
          <w:rFonts w:ascii="宋体" w:hAnsi="宋体" w:cs="宋体"/>
          <w:sz w:val="24"/>
          <w:szCs w:val="24"/>
        </w:rPr>
      </w:pPr>
      <w:bookmarkStart w:id="334" w:name="OLE_LINK33"/>
      <w:r>
        <w:rPr>
          <w:rFonts w:hint="eastAsia" w:ascii="宋体" w:hAnsi="宋体" w:cs="宋体"/>
          <w:sz w:val="24"/>
          <w:szCs w:val="24"/>
        </w:rPr>
        <w:t>基金的投资组合比例为：</w:t>
      </w:r>
      <w:bookmarkStart w:id="335" w:name="OLE_LINK132"/>
      <w:bookmarkStart w:id="336" w:name="OLE_LINK133"/>
      <w:bookmarkStart w:id="337" w:name="OLE_LINK137"/>
      <w:bookmarkStart w:id="338" w:name="OLE_LINK136"/>
      <w:r>
        <w:rPr>
          <w:rFonts w:hint="eastAsia" w:ascii="宋体" w:hAnsi="宋体" w:cs="宋体"/>
          <w:sz w:val="24"/>
          <w:szCs w:val="24"/>
        </w:rPr>
        <w:t>本基金投资于债券资产的比例不低于基金资产的80%，但在封闭期结束前3个月可不受前述投资组合比例的限制。</w:t>
      </w:r>
      <w:bookmarkEnd w:id="334"/>
      <w:bookmarkEnd w:id="335"/>
      <w:bookmarkEnd w:id="336"/>
      <w:bookmarkStart w:id="339" w:name="OLE_LINK135"/>
      <w:bookmarkStart w:id="340" w:name="OLE_LINK134"/>
    </w:p>
    <w:p>
      <w:pPr>
        <w:spacing w:line="360" w:lineRule="auto"/>
        <w:ind w:firstLine="480"/>
        <w:rPr>
          <w:rFonts w:ascii="宋体" w:hAnsi="宋体" w:cs="宋体"/>
          <w:sz w:val="24"/>
          <w:szCs w:val="24"/>
        </w:rPr>
      </w:pPr>
      <w:r>
        <w:rPr>
          <w:rFonts w:hint="eastAsia" w:ascii="宋体" w:hAnsi="宋体" w:cs="宋体"/>
          <w:sz w:val="24"/>
          <w:szCs w:val="24"/>
        </w:rPr>
        <w:t>如法律法规或中国证监会变更投资品种的投资比例限制，基金管理人在履 行适当程序后，可以调整上述投资品种的投资比例。</w:t>
      </w:r>
    </w:p>
    <w:bookmarkEnd w:id="339"/>
    <w:bookmarkEnd w:id="340"/>
    <w:p>
      <w:pPr>
        <w:spacing w:line="360" w:lineRule="auto"/>
        <w:ind w:firstLine="480"/>
        <w:rPr>
          <w:rFonts w:ascii="宋体" w:hAnsi="宋体" w:cs="宋体"/>
          <w:sz w:val="24"/>
          <w:szCs w:val="24"/>
        </w:rPr>
      </w:pPr>
    </w:p>
    <w:bookmarkEnd w:id="337"/>
    <w:bookmarkEnd w:id="338"/>
    <w:p>
      <w:pPr>
        <w:spacing w:line="360" w:lineRule="auto"/>
        <w:ind w:firstLine="482" w:firstLineChars="200"/>
        <w:rPr>
          <w:rFonts w:ascii="宋体" w:hAnsi="宋体" w:cs="宋体"/>
          <w:b/>
          <w:sz w:val="24"/>
        </w:rPr>
      </w:pPr>
      <w:r>
        <w:rPr>
          <w:rFonts w:hint="eastAsia" w:ascii="宋体" w:hAnsi="宋体" w:cs="宋体"/>
          <w:b/>
          <w:sz w:val="24"/>
        </w:rPr>
        <w:t>三、投资策略</w:t>
      </w:r>
    </w:p>
    <w:p>
      <w:pPr>
        <w:numPr>
          <w:ilvl w:val="255"/>
          <w:numId w:val="0"/>
        </w:numPr>
        <w:spacing w:line="360" w:lineRule="auto"/>
        <w:ind w:firstLine="480" w:firstLineChars="200"/>
        <w:rPr>
          <w:rFonts w:ascii="宋体" w:hAnsi="宋体" w:cs="宋体"/>
          <w:sz w:val="24"/>
          <w:szCs w:val="24"/>
        </w:rPr>
      </w:pPr>
      <w:r>
        <w:rPr>
          <w:rFonts w:hint="eastAsia" w:ascii="宋体" w:hAnsi="宋体" w:cs="宋体"/>
          <w:sz w:val="24"/>
        </w:rPr>
        <w:t>1、</w:t>
      </w:r>
      <w:r>
        <w:rPr>
          <w:rFonts w:hint="eastAsia" w:ascii="宋体" w:hAnsi="宋体" w:cs="宋体"/>
          <w:sz w:val="24"/>
          <w:szCs w:val="24"/>
        </w:rPr>
        <w:t>封闭期投资策略</w:t>
      </w:r>
    </w:p>
    <w:p>
      <w:pPr>
        <w:numPr>
          <w:ilvl w:val="255"/>
          <w:numId w:val="0"/>
        </w:numPr>
        <w:spacing w:line="360" w:lineRule="auto"/>
        <w:ind w:firstLine="480" w:firstLineChars="200"/>
        <w:rPr>
          <w:rFonts w:ascii="宋体" w:hAnsi="宋体" w:cs="宋体"/>
          <w:sz w:val="24"/>
          <w:szCs w:val="24"/>
        </w:rPr>
      </w:pPr>
      <w:r>
        <w:rPr>
          <w:rFonts w:hint="eastAsia" w:ascii="宋体" w:hAnsi="宋体" w:cs="宋体"/>
          <w:sz w:val="24"/>
          <w:szCs w:val="24"/>
        </w:rPr>
        <w:t>为力争基金资产在封闭期结束前可完全变现，本基金在封闭期内采用买入并持有到期投资策略，所投金融资产以收取合同现金流量为目的并持有到期，所投资产到期日（或回售日）不得晚于</w:t>
      </w:r>
      <w:bookmarkStart w:id="341" w:name="OLE_LINK32"/>
      <w:r>
        <w:rPr>
          <w:rFonts w:hint="eastAsia" w:ascii="宋体" w:hAnsi="宋体" w:cs="宋体"/>
          <w:sz w:val="24"/>
          <w:szCs w:val="24"/>
        </w:rPr>
        <w:t>封闭期到期日</w:t>
      </w:r>
      <w:bookmarkEnd w:id="341"/>
      <w:r>
        <w:rPr>
          <w:rFonts w:hint="eastAsia" w:ascii="宋体" w:hAnsi="宋体" w:cs="宋体"/>
          <w:sz w:val="24"/>
          <w:szCs w:val="24"/>
        </w:rPr>
        <w:t>。本基金投资含回售权的债券时，应在投资该债券前，确定行使回售权或持有至到期的时间；债券到期日晚于封闭期到期日的，基金管理人应当行使回售权而不得持有至到期日。基金管理人可以基于持有人利益优先原则，在不违反《企业会计准则》的前提下，对尚未到期的固定收益类品种进行处置。</w:t>
      </w:r>
    </w:p>
    <w:p>
      <w:pPr>
        <w:numPr>
          <w:ilvl w:val="0"/>
          <w:numId w:val="3"/>
        </w:numPr>
        <w:spacing w:line="360" w:lineRule="auto"/>
        <w:ind w:firstLine="480" w:firstLineChars="200"/>
        <w:rPr>
          <w:rFonts w:ascii="宋体" w:hAnsi="宋体" w:cs="宋体"/>
          <w:sz w:val="24"/>
          <w:szCs w:val="24"/>
        </w:rPr>
      </w:pPr>
      <w:r>
        <w:rPr>
          <w:rFonts w:hint="eastAsia" w:ascii="宋体" w:hAnsi="宋体" w:cs="宋体"/>
          <w:sz w:val="24"/>
          <w:szCs w:val="24"/>
        </w:rPr>
        <w:t>信用债投资策略</w:t>
      </w:r>
    </w:p>
    <w:p>
      <w:pPr>
        <w:numPr>
          <w:ilvl w:val="255"/>
          <w:numId w:val="0"/>
        </w:numPr>
        <w:spacing w:line="360" w:lineRule="auto"/>
        <w:ind w:firstLine="480" w:firstLineChars="200"/>
        <w:rPr>
          <w:rFonts w:ascii="宋体" w:hAnsi="宋体" w:cs="宋体"/>
          <w:sz w:val="24"/>
          <w:szCs w:val="24"/>
        </w:rPr>
      </w:pPr>
      <w:r>
        <w:rPr>
          <w:rFonts w:hint="eastAsia" w:ascii="宋体" w:hAnsi="宋体" w:cs="宋体"/>
          <w:sz w:val="24"/>
          <w:szCs w:val="24"/>
        </w:rPr>
        <w:t>本基金将根据对宏观经济形势、发行人公司所在行业状况、以及公司自身在行业内的竞争力、公司财务状况和现金流状况、公司治理等信息，进一步结合债券发行具体条款对债券进行分析，评估信用风险溢价，发掘具备相对价值的个券。</w:t>
      </w:r>
    </w:p>
    <w:p>
      <w:pPr>
        <w:numPr>
          <w:ilvl w:val="255"/>
          <w:numId w:val="0"/>
        </w:numPr>
        <w:spacing w:line="360" w:lineRule="auto"/>
        <w:ind w:firstLine="480" w:firstLineChars="200"/>
        <w:rPr>
          <w:rFonts w:ascii="宋体" w:hAnsi="宋体" w:cs="宋体"/>
          <w:sz w:val="24"/>
          <w:szCs w:val="24"/>
        </w:rPr>
      </w:pPr>
      <w:r>
        <w:rPr>
          <w:rFonts w:hint="eastAsia" w:ascii="宋体" w:hAnsi="宋体" w:cs="宋体"/>
          <w:sz w:val="24"/>
          <w:szCs w:val="24"/>
        </w:rPr>
        <w:t>在信用风险控制方面，本基金将以内部信用评级为主、外部信用评级为辅，即采用内外结合的信用研究和评级制度，研究债券发行主体企业的基本面，以确定企业主体债的实际信用状况。本基金将根据发行人的公司背景、行业特性、盈利能力、偿债能力、流动性等因素，对信用债进行信用风险评估，依据不同信用债发行主体所处行业未来发展前景及其自身在行业内的竞争能力，对不同发行主体的债券进行内部评级分类。在实际投资中，本基金还将结合个券流动性、到期收益率、税收因素、市场偏好等多方面因素进行个券选择，以平衡信用债投资的风险与收益。同时，本基金将采取分散化投资策略，严格控制组合整体的违约风险水平。</w:t>
      </w:r>
    </w:p>
    <w:p>
      <w:pPr>
        <w:numPr>
          <w:ilvl w:val="255"/>
          <w:numId w:val="0"/>
        </w:numPr>
        <w:spacing w:line="360" w:lineRule="auto"/>
        <w:ind w:firstLine="480" w:firstLineChars="200"/>
        <w:rPr>
          <w:rFonts w:ascii="宋体" w:hAnsi="宋体" w:cs="宋体"/>
          <w:sz w:val="24"/>
          <w:szCs w:val="24"/>
        </w:rPr>
      </w:pPr>
      <w:r>
        <w:rPr>
          <w:rFonts w:hint="eastAsia" w:ascii="宋体" w:hAnsi="宋体" w:cs="宋体"/>
          <w:sz w:val="24"/>
          <w:szCs w:val="24"/>
        </w:rPr>
        <w:t>本基金投资的信用债的信用评级应为AA级及以上，其中投资于信用评级为AAA级及以上的信用债占信用债资产的比例不低于50%，投资于信用评级为AA+级及以下的信用债占信用债资产的比例不超过50%，投资于信用评级为AA级的信用债占信用债资产的比例不超过20%（信用债包含资产支持证券，且资产支持证券也受上述投资比例的约束）。</w:t>
      </w:r>
      <w:r>
        <w:rPr>
          <w:rFonts w:ascii="宋体" w:hAnsi="宋体" w:cs="宋体"/>
          <w:sz w:val="24"/>
          <w:szCs w:val="24"/>
        </w:rPr>
        <w:t>基金持有信用债期间，如果其评级下降、基金规模变动等使得投资比例不再符合上述约定，基金管理人应在评级报告发布之日或不再符合上述约定之日起3个月内调整至符合合同约定范围，中国证监会规定的特殊情形除外。</w:t>
      </w:r>
    </w:p>
    <w:p>
      <w:pPr>
        <w:numPr>
          <w:ilvl w:val="255"/>
          <w:numId w:val="0"/>
        </w:numPr>
        <w:spacing w:line="360" w:lineRule="auto"/>
        <w:ind w:firstLine="480" w:firstLineChars="200"/>
        <w:rPr>
          <w:rFonts w:ascii="宋体" w:hAnsi="宋体" w:cs="宋体"/>
          <w:sz w:val="24"/>
          <w:szCs w:val="24"/>
        </w:rPr>
      </w:pPr>
      <w:r>
        <w:rPr>
          <w:rFonts w:hint="eastAsia" w:ascii="宋体" w:hAnsi="宋体" w:cs="宋体"/>
          <w:sz w:val="24"/>
          <w:szCs w:val="24"/>
        </w:rPr>
        <w:t>本基金对信用债评级的认定参照国内依法成立并拥有证券评级资质的评级机构所出具的信用评级，评级机构以基金管理人选定为准。上述信用评级为债项评级，短期融资券、超短期融资券等短期信用债的信用评级依照评级机构出具的主体信用评级，本基金投资的信用债若无债项评级的，参照主体信用评级。若有担保方或提供担保同等效力的机构，其信用评级可参考担保人或提供担保同等效力的机构的评级。如出现多家评级机构出具的信用评级不同的情况，基金管理人可结合内部信用评级进行独立判断与认定。</w:t>
      </w:r>
    </w:p>
    <w:p>
      <w:pPr>
        <w:numPr>
          <w:ilvl w:val="255"/>
          <w:numId w:val="0"/>
        </w:numPr>
        <w:spacing w:line="360" w:lineRule="auto"/>
        <w:ind w:firstLine="480" w:firstLineChars="200"/>
        <w:rPr>
          <w:rFonts w:ascii="宋体" w:hAnsi="宋体" w:cs="宋体"/>
          <w:sz w:val="24"/>
          <w:szCs w:val="24"/>
        </w:rPr>
      </w:pPr>
      <w:r>
        <w:rPr>
          <w:rFonts w:hint="eastAsia" w:ascii="宋体" w:hAnsi="宋体" w:cs="宋体"/>
          <w:sz w:val="24"/>
          <w:szCs w:val="24"/>
        </w:rPr>
        <w:t>本基金将定期对所投债券的信用资质和发行人的偿付能力进行评估。对于存在信用风险隐患的发行人所发行的债券，及时制定风险处置预案。封闭期内，如本基金持有债券的信用风险显著增加时，为减少信用损失，本基金将对该债券进行处置。</w:t>
      </w:r>
    </w:p>
    <w:p>
      <w:pPr>
        <w:numPr>
          <w:ilvl w:val="0"/>
          <w:numId w:val="3"/>
        </w:numPr>
        <w:spacing w:line="360" w:lineRule="auto"/>
        <w:ind w:firstLine="480" w:firstLineChars="200"/>
        <w:rPr>
          <w:rFonts w:ascii="宋体" w:hAnsi="宋体" w:cs="宋体"/>
          <w:sz w:val="24"/>
          <w:szCs w:val="24"/>
        </w:rPr>
      </w:pPr>
      <w:r>
        <w:rPr>
          <w:rFonts w:hint="eastAsia" w:ascii="宋体" w:hAnsi="宋体" w:cs="宋体"/>
          <w:sz w:val="24"/>
          <w:szCs w:val="24"/>
        </w:rPr>
        <w:t>杠杆投资策略</w:t>
      </w:r>
    </w:p>
    <w:p>
      <w:pPr>
        <w:numPr>
          <w:ilvl w:val="255"/>
          <w:numId w:val="0"/>
        </w:numPr>
        <w:spacing w:line="360" w:lineRule="auto"/>
        <w:ind w:firstLine="480" w:firstLineChars="200"/>
        <w:rPr>
          <w:rFonts w:ascii="宋体" w:hAnsi="宋体" w:cs="宋体"/>
          <w:sz w:val="24"/>
          <w:szCs w:val="24"/>
        </w:rPr>
      </w:pPr>
      <w:r>
        <w:rPr>
          <w:rFonts w:hint="eastAsia" w:ascii="宋体" w:hAnsi="宋体" w:cs="宋体"/>
          <w:sz w:val="24"/>
          <w:szCs w:val="24"/>
        </w:rPr>
        <w:t>本基金将在考虑债券投资的风险收益情况，以及回购成本等因素的情况下，在风险可控以及法律法规允许的范围内进行债券回购。</w:t>
      </w:r>
    </w:p>
    <w:p>
      <w:pPr>
        <w:numPr>
          <w:ilvl w:val="0"/>
          <w:numId w:val="3"/>
        </w:numPr>
        <w:spacing w:line="360" w:lineRule="auto"/>
        <w:ind w:firstLine="480" w:firstLineChars="200"/>
        <w:rPr>
          <w:rFonts w:ascii="宋体" w:hAnsi="宋体" w:cs="宋体"/>
          <w:sz w:val="24"/>
          <w:szCs w:val="24"/>
        </w:rPr>
      </w:pPr>
      <w:r>
        <w:rPr>
          <w:rFonts w:hint="eastAsia" w:ascii="宋体" w:hAnsi="宋体" w:cs="宋体"/>
          <w:sz w:val="24"/>
          <w:szCs w:val="24"/>
        </w:rPr>
        <w:t>资产支持证券投资策略</w:t>
      </w:r>
    </w:p>
    <w:p>
      <w:pPr>
        <w:numPr>
          <w:ilvl w:val="255"/>
          <w:numId w:val="0"/>
        </w:numPr>
        <w:spacing w:line="360" w:lineRule="auto"/>
        <w:ind w:firstLine="480" w:firstLineChars="200"/>
        <w:rPr>
          <w:rFonts w:ascii="宋体" w:hAnsi="宋体" w:cs="宋体"/>
          <w:sz w:val="24"/>
          <w:szCs w:val="24"/>
        </w:rPr>
      </w:pPr>
      <w:r>
        <w:rPr>
          <w:rFonts w:hint="eastAsia" w:ascii="宋体" w:hAnsi="宋体" w:cs="宋体"/>
          <w:sz w:val="24"/>
          <w:szCs w:val="24"/>
        </w:rPr>
        <w:t>资产支持证券投资关键在于对基础资产质量及未来现金流的分析，本基金将在国内资产证券化产品具体政策框架下，采用基本面分析和数量化模型相结合，对个券进行风险分析和价值评估后进行投资。本基金将严格控制资产支持证券的总体投资规模并进行分散投资，以降低流动性风险。</w:t>
      </w:r>
    </w:p>
    <w:p>
      <w:pPr>
        <w:numPr>
          <w:ilvl w:val="0"/>
          <w:numId w:val="3"/>
        </w:numPr>
        <w:spacing w:line="360" w:lineRule="auto"/>
        <w:ind w:firstLine="480" w:firstLineChars="200"/>
        <w:rPr>
          <w:rFonts w:ascii="宋体" w:hAnsi="宋体" w:cs="宋体"/>
          <w:sz w:val="24"/>
          <w:szCs w:val="24"/>
        </w:rPr>
      </w:pPr>
      <w:r>
        <w:rPr>
          <w:rFonts w:hint="eastAsia" w:ascii="宋体" w:hAnsi="宋体" w:cs="宋体"/>
          <w:sz w:val="24"/>
          <w:szCs w:val="24"/>
        </w:rPr>
        <w:t>封闭期现金管理策略</w:t>
      </w:r>
    </w:p>
    <w:p>
      <w:pPr>
        <w:numPr>
          <w:ilvl w:val="255"/>
          <w:numId w:val="0"/>
        </w:numPr>
        <w:spacing w:line="360" w:lineRule="auto"/>
        <w:ind w:firstLine="480" w:firstLineChars="200"/>
        <w:rPr>
          <w:rFonts w:ascii="宋体" w:hAnsi="宋体" w:cs="宋体"/>
          <w:sz w:val="24"/>
          <w:szCs w:val="24"/>
        </w:rPr>
      </w:pPr>
      <w:r>
        <w:rPr>
          <w:rFonts w:hint="eastAsia" w:ascii="宋体" w:hAnsi="宋体" w:cs="宋体"/>
          <w:sz w:val="24"/>
          <w:szCs w:val="24"/>
        </w:rPr>
        <w:t>在封闭期内完成组合的构建之前，本基金将根据届时的市场环境对组合的现金头寸进行管理，选择到期日（或回售日）在建仓期之内的债券、回购、银行存款、同业存单等进行投资，并采用买入持有到期投资策略。由于在建仓期本基金的投资难以做到与封闭期剩余期限完美匹配，因此可能存在持有的部分投资品种在封闭期结束前到期兑付本息的情形。另一方面，本基金持有的部分投资品种的付息也将增加基金的现金头寸。对于现金头寸，本基金将根据届时的市场环境和封闭期剩余期限，选择到期日（或回售日）在封闭期结束之前的债券、回购、银</w:t>
      </w:r>
      <w:bookmarkStart w:id="342" w:name="OLE_LINK128"/>
      <w:bookmarkStart w:id="343" w:name="OLE_LINK129"/>
      <w:r>
        <w:rPr>
          <w:rFonts w:hint="eastAsia" w:ascii="宋体" w:hAnsi="宋体" w:cs="宋体"/>
          <w:sz w:val="24"/>
          <w:szCs w:val="24"/>
        </w:rPr>
        <w:t>行存款、同业存单等进行投资或进行基金现金分红。</w:t>
      </w:r>
    </w:p>
    <w:p>
      <w:pPr>
        <w:widowControl/>
        <w:numPr>
          <w:ilvl w:val="255"/>
          <w:numId w:val="0"/>
        </w:numPr>
        <w:spacing w:line="360" w:lineRule="auto"/>
        <w:ind w:firstLine="480" w:firstLineChars="200"/>
        <w:jc w:val="left"/>
        <w:rPr>
          <w:rFonts w:ascii="宋体" w:hAnsi="宋体" w:cs="宋体"/>
          <w:sz w:val="24"/>
          <w:szCs w:val="24"/>
        </w:rPr>
      </w:pPr>
      <w:r>
        <w:rPr>
          <w:rFonts w:hint="eastAsia" w:ascii="宋体" w:hAnsi="宋体" w:cs="宋体"/>
          <w:sz w:val="24"/>
          <w:szCs w:val="24"/>
        </w:rPr>
        <w:t>6、</w:t>
      </w:r>
      <w:r>
        <w:rPr>
          <w:rFonts w:hint="eastAsia" w:ascii="宋体" w:hAnsi="宋体" w:cs="宋体"/>
          <w:sz w:val="24"/>
          <w:szCs w:val="24"/>
          <w:lang w:bidi="ar"/>
        </w:rPr>
        <w:t xml:space="preserve">证券公司短期公司债券投资策略 </w:t>
      </w:r>
    </w:p>
    <w:p>
      <w:pPr>
        <w:widowControl/>
        <w:numPr>
          <w:ilvl w:val="255"/>
          <w:numId w:val="0"/>
        </w:numPr>
        <w:spacing w:line="360" w:lineRule="auto"/>
        <w:ind w:firstLine="480" w:firstLineChars="200"/>
        <w:jc w:val="left"/>
        <w:rPr>
          <w:rFonts w:ascii="宋体" w:hAnsi="宋体" w:cs="宋体"/>
          <w:sz w:val="24"/>
          <w:szCs w:val="24"/>
        </w:rPr>
      </w:pPr>
      <w:r>
        <w:rPr>
          <w:rFonts w:hint="eastAsia" w:ascii="宋体" w:hAnsi="宋体" w:cs="宋体"/>
          <w:sz w:val="24"/>
          <w:szCs w:val="24"/>
          <w:lang w:bidi="ar"/>
        </w:rPr>
        <w:t>本基金通过对证券公司短期公司债券发行人基本面的深入调研分析，结合发行人资产负债状况、盈利能力、现金流、经营稳定性以及债券流动性、信用利差、信用评级、违约风险等综合评估结果，在持有到期策略下选取具有价格优势和套利机会的优质信用债券进行投资。</w:t>
      </w:r>
    </w:p>
    <w:p>
      <w:pPr>
        <w:numPr>
          <w:ilvl w:val="255"/>
          <w:numId w:val="0"/>
        </w:numPr>
        <w:spacing w:line="360" w:lineRule="auto"/>
        <w:ind w:firstLine="480" w:firstLineChars="200"/>
        <w:rPr>
          <w:rFonts w:ascii="宋体" w:hAnsi="宋体" w:cs="宋体"/>
          <w:sz w:val="24"/>
          <w:szCs w:val="24"/>
        </w:rPr>
      </w:pPr>
    </w:p>
    <w:bookmarkEnd w:id="342"/>
    <w:bookmarkEnd w:id="343"/>
    <w:p>
      <w:pPr>
        <w:spacing w:line="360" w:lineRule="auto"/>
        <w:ind w:firstLine="482" w:firstLineChars="200"/>
        <w:rPr>
          <w:rFonts w:ascii="宋体" w:hAnsi="宋体" w:cs="宋体"/>
          <w:b/>
          <w:sz w:val="24"/>
        </w:rPr>
      </w:pPr>
      <w:r>
        <w:rPr>
          <w:rFonts w:hint="eastAsia" w:ascii="宋体" w:hAnsi="宋体" w:cs="宋体"/>
          <w:b/>
          <w:sz w:val="24"/>
        </w:rPr>
        <w:t>四、投资限制</w:t>
      </w:r>
    </w:p>
    <w:p>
      <w:pPr>
        <w:numPr>
          <w:ilvl w:val="255"/>
          <w:numId w:val="0"/>
        </w:numPr>
        <w:spacing w:line="360" w:lineRule="auto"/>
        <w:ind w:firstLine="480" w:firstLineChars="200"/>
        <w:rPr>
          <w:rFonts w:ascii="宋体" w:hAnsi="宋体" w:cs="宋体"/>
          <w:sz w:val="24"/>
          <w:szCs w:val="24"/>
        </w:rPr>
      </w:pPr>
      <w:r>
        <w:rPr>
          <w:rFonts w:hint="eastAsia" w:ascii="宋体" w:hAnsi="宋体" w:cs="宋体"/>
          <w:sz w:val="24"/>
          <w:szCs w:val="24"/>
        </w:rPr>
        <w:t>1、组合限制</w:t>
      </w:r>
    </w:p>
    <w:p>
      <w:pPr>
        <w:numPr>
          <w:ilvl w:val="255"/>
          <w:numId w:val="0"/>
        </w:numPr>
        <w:spacing w:line="360" w:lineRule="auto"/>
        <w:ind w:firstLine="480" w:firstLineChars="200"/>
        <w:rPr>
          <w:rFonts w:ascii="宋体" w:hAnsi="宋体" w:cs="宋体"/>
          <w:sz w:val="24"/>
          <w:szCs w:val="24"/>
        </w:rPr>
      </w:pPr>
      <w:r>
        <w:rPr>
          <w:rFonts w:hint="eastAsia" w:ascii="宋体" w:hAnsi="宋体" w:cs="宋体"/>
          <w:sz w:val="24"/>
          <w:szCs w:val="24"/>
        </w:rPr>
        <w:t>基金的投资组合应遵循以下限制：</w:t>
      </w:r>
    </w:p>
    <w:p>
      <w:pPr>
        <w:numPr>
          <w:ilvl w:val="255"/>
          <w:numId w:val="0"/>
        </w:numPr>
        <w:spacing w:line="360" w:lineRule="auto"/>
        <w:ind w:firstLine="480" w:firstLineChars="200"/>
        <w:rPr>
          <w:rFonts w:ascii="宋体" w:hAnsi="宋体" w:cs="宋体"/>
          <w:sz w:val="24"/>
          <w:szCs w:val="24"/>
        </w:rPr>
      </w:pPr>
      <w:bookmarkStart w:id="344" w:name="OLE_LINK248"/>
      <w:bookmarkStart w:id="345" w:name="OLE_LINK249"/>
      <w:r>
        <w:rPr>
          <w:rFonts w:hint="eastAsia" w:ascii="宋体" w:hAnsi="宋体" w:cs="宋体"/>
          <w:sz w:val="24"/>
          <w:szCs w:val="24"/>
        </w:rPr>
        <w:t>（1）在封闭期内，本基金投资的各类金融工具的到期日（或回售日）不得晚于该封闭</w:t>
      </w:r>
      <w:bookmarkStart w:id="346" w:name="OLE_LINK131"/>
      <w:bookmarkStart w:id="347" w:name="OLE_LINK130"/>
      <w:r>
        <w:rPr>
          <w:rFonts w:hint="eastAsia" w:ascii="宋体" w:hAnsi="宋体" w:cs="宋体"/>
          <w:sz w:val="24"/>
          <w:szCs w:val="24"/>
        </w:rPr>
        <w:t>期的最后一</w:t>
      </w:r>
      <w:bookmarkEnd w:id="346"/>
      <w:bookmarkEnd w:id="347"/>
      <w:r>
        <w:rPr>
          <w:rFonts w:hint="eastAsia" w:ascii="宋体" w:hAnsi="宋体" w:cs="宋体"/>
          <w:sz w:val="24"/>
          <w:szCs w:val="24"/>
        </w:rPr>
        <w:t>日；</w:t>
      </w:r>
    </w:p>
    <w:p>
      <w:pPr>
        <w:numPr>
          <w:ilvl w:val="255"/>
          <w:numId w:val="0"/>
        </w:numPr>
        <w:spacing w:line="360" w:lineRule="auto"/>
        <w:ind w:firstLine="480" w:firstLineChars="200"/>
        <w:rPr>
          <w:rFonts w:ascii="宋体" w:hAnsi="宋体" w:cs="宋体"/>
          <w:sz w:val="24"/>
          <w:szCs w:val="24"/>
        </w:rPr>
      </w:pPr>
      <w:r>
        <w:rPr>
          <w:rFonts w:hint="eastAsia" w:ascii="宋体" w:hAnsi="宋体" w:cs="宋体"/>
          <w:sz w:val="24"/>
          <w:szCs w:val="24"/>
        </w:rPr>
        <w:t>（2）本基金投资于债券资产的比例不低于基金资产的80%，但在封闭期结束前3个月可不受前述投资组合比例的限制；</w:t>
      </w:r>
    </w:p>
    <w:p>
      <w:pPr>
        <w:numPr>
          <w:ilvl w:val="255"/>
          <w:numId w:val="0"/>
        </w:numPr>
        <w:spacing w:line="360" w:lineRule="auto"/>
        <w:ind w:firstLine="480" w:firstLineChars="200"/>
        <w:rPr>
          <w:rFonts w:ascii="宋体" w:hAnsi="宋体" w:cs="宋体"/>
          <w:sz w:val="24"/>
          <w:szCs w:val="24"/>
        </w:rPr>
      </w:pPr>
      <w:r>
        <w:rPr>
          <w:rFonts w:hint="eastAsia" w:ascii="宋体" w:hAnsi="宋体" w:cs="宋体"/>
          <w:sz w:val="24"/>
          <w:szCs w:val="24"/>
        </w:rPr>
        <w:t>（3）本基金持有一家公司发行的证券，其市值不超过基金资产净值的10%；</w:t>
      </w:r>
    </w:p>
    <w:p>
      <w:pPr>
        <w:numPr>
          <w:ilvl w:val="255"/>
          <w:numId w:val="0"/>
        </w:numPr>
        <w:spacing w:line="360" w:lineRule="auto"/>
        <w:ind w:firstLine="480" w:firstLineChars="200"/>
        <w:rPr>
          <w:rFonts w:ascii="宋体" w:hAnsi="宋体" w:cs="宋体"/>
          <w:sz w:val="24"/>
          <w:szCs w:val="24"/>
        </w:rPr>
      </w:pPr>
      <w:r>
        <w:rPr>
          <w:rFonts w:hint="eastAsia" w:ascii="宋体" w:hAnsi="宋体" w:cs="宋体"/>
          <w:sz w:val="24"/>
          <w:szCs w:val="24"/>
        </w:rPr>
        <w:t>（4）本基金管理人管理的全部基金持有一家公司发行的证券，不超过该证券的10%，完全按照有关指数的构成比例进行证券投资的基金品种可以不受此条款规定的比例限制；</w:t>
      </w:r>
    </w:p>
    <w:p>
      <w:pPr>
        <w:numPr>
          <w:ilvl w:val="255"/>
          <w:numId w:val="0"/>
        </w:numPr>
        <w:spacing w:line="360" w:lineRule="auto"/>
        <w:ind w:firstLine="480" w:firstLineChars="200"/>
        <w:rPr>
          <w:rFonts w:ascii="宋体" w:hAnsi="宋体" w:cs="宋体"/>
          <w:sz w:val="24"/>
          <w:szCs w:val="24"/>
        </w:rPr>
      </w:pPr>
      <w:r>
        <w:rPr>
          <w:rFonts w:hint="eastAsia" w:ascii="宋体" w:hAnsi="宋体" w:cs="宋体"/>
          <w:sz w:val="24"/>
          <w:szCs w:val="24"/>
        </w:rPr>
        <w:t>（5）本基金投资于同一原始权益人的各类资产支持证券的比例，不得超过基金资产净值的10%；</w:t>
      </w:r>
    </w:p>
    <w:p>
      <w:pPr>
        <w:numPr>
          <w:ilvl w:val="255"/>
          <w:numId w:val="0"/>
        </w:numPr>
        <w:spacing w:line="360" w:lineRule="auto"/>
        <w:ind w:firstLine="480" w:firstLineChars="200"/>
        <w:rPr>
          <w:rFonts w:ascii="宋体" w:hAnsi="宋体" w:cs="宋体"/>
          <w:sz w:val="24"/>
          <w:szCs w:val="24"/>
        </w:rPr>
      </w:pPr>
      <w:r>
        <w:rPr>
          <w:rFonts w:hint="eastAsia" w:ascii="宋体" w:hAnsi="宋体" w:cs="宋体"/>
          <w:sz w:val="24"/>
          <w:szCs w:val="24"/>
        </w:rPr>
        <w:t>（6）本基金持有的全部资产支持证券，其市值不得超过基金资产净值的20%；</w:t>
      </w:r>
    </w:p>
    <w:p>
      <w:pPr>
        <w:numPr>
          <w:ilvl w:val="255"/>
          <w:numId w:val="0"/>
        </w:numPr>
        <w:spacing w:line="360" w:lineRule="auto"/>
        <w:ind w:firstLine="480" w:firstLineChars="200"/>
        <w:rPr>
          <w:rFonts w:ascii="宋体" w:hAnsi="宋体" w:cs="宋体"/>
          <w:sz w:val="24"/>
          <w:szCs w:val="24"/>
        </w:rPr>
      </w:pPr>
      <w:r>
        <w:rPr>
          <w:rFonts w:hint="eastAsia" w:ascii="宋体" w:hAnsi="宋体" w:cs="宋体"/>
          <w:sz w:val="24"/>
          <w:szCs w:val="24"/>
        </w:rPr>
        <w:t>（7）本基金持有的同一(指同一信用级别)资产支持证券的比例，不得超过该资产支持证券规模的10%；</w:t>
      </w:r>
    </w:p>
    <w:p>
      <w:pPr>
        <w:numPr>
          <w:ilvl w:val="255"/>
          <w:numId w:val="0"/>
        </w:numPr>
        <w:spacing w:line="360" w:lineRule="auto"/>
        <w:ind w:firstLine="480" w:firstLineChars="200"/>
        <w:rPr>
          <w:rFonts w:ascii="宋体" w:hAnsi="宋体" w:cs="宋体"/>
          <w:sz w:val="24"/>
          <w:szCs w:val="24"/>
        </w:rPr>
      </w:pPr>
      <w:r>
        <w:rPr>
          <w:rFonts w:hint="eastAsia" w:ascii="宋体" w:hAnsi="宋体" w:cs="宋体"/>
          <w:sz w:val="24"/>
          <w:szCs w:val="24"/>
        </w:rPr>
        <w:t>（8）本基金管理人管理的全部基金投资于同一原始权益人的各类资产支持证券，不得超过其各类资产支持证券合计规模的10%；</w:t>
      </w:r>
    </w:p>
    <w:p>
      <w:pPr>
        <w:numPr>
          <w:ilvl w:val="255"/>
          <w:numId w:val="0"/>
        </w:numPr>
        <w:spacing w:line="360" w:lineRule="auto"/>
        <w:ind w:firstLine="480" w:firstLineChars="200"/>
        <w:rPr>
          <w:rFonts w:ascii="宋体" w:hAnsi="宋体" w:cs="宋体"/>
          <w:sz w:val="24"/>
          <w:szCs w:val="24"/>
        </w:rPr>
      </w:pPr>
      <w:bookmarkStart w:id="348" w:name="OLE_LINK138"/>
      <w:r>
        <w:rPr>
          <w:rFonts w:hint="eastAsia" w:ascii="宋体" w:hAnsi="宋体" w:cs="宋体"/>
          <w:sz w:val="24"/>
          <w:szCs w:val="24"/>
        </w:rPr>
        <w:t>（9）</w:t>
      </w:r>
      <w:bookmarkEnd w:id="348"/>
      <w:r>
        <w:rPr>
          <w:rFonts w:hint="eastAsia" w:ascii="宋体" w:hAnsi="宋体" w:cs="宋体"/>
          <w:sz w:val="24"/>
          <w:szCs w:val="24"/>
        </w:rPr>
        <w:t>本</w:t>
      </w:r>
      <w:bookmarkStart w:id="349" w:name="OLE_LINK139"/>
      <w:bookmarkStart w:id="350" w:name="OLE_LINK140"/>
      <w:r>
        <w:rPr>
          <w:rFonts w:hint="eastAsia" w:ascii="宋体" w:hAnsi="宋体" w:cs="宋体"/>
          <w:sz w:val="24"/>
          <w:szCs w:val="24"/>
        </w:rPr>
        <w:t>基金应投资于信用级别评级为AA以上(含AA)的资产支持证券。</w:t>
      </w:r>
      <w:bookmarkEnd w:id="349"/>
      <w:bookmarkEnd w:id="350"/>
      <w:r>
        <w:rPr>
          <w:rFonts w:hint="eastAsia" w:ascii="宋体" w:hAnsi="宋体" w:cs="宋体"/>
          <w:sz w:val="24"/>
          <w:szCs w:val="24"/>
        </w:rPr>
        <w:t>基金持有资产支持证券期间，如果其信用等级下降、不再符合投资标准，应在评级报告发布之日起3个月内予以全部卖出；</w:t>
      </w:r>
    </w:p>
    <w:p>
      <w:pPr>
        <w:numPr>
          <w:ilvl w:val="255"/>
          <w:numId w:val="0"/>
        </w:numPr>
        <w:spacing w:line="360" w:lineRule="auto"/>
        <w:ind w:firstLine="480" w:firstLineChars="200"/>
        <w:rPr>
          <w:rFonts w:ascii="宋体" w:hAnsi="宋体" w:cs="宋体"/>
          <w:sz w:val="24"/>
          <w:szCs w:val="24"/>
        </w:rPr>
      </w:pPr>
      <w:bookmarkStart w:id="351" w:name="OLE_LINK148"/>
      <w:r>
        <w:rPr>
          <w:rFonts w:hint="eastAsia" w:ascii="宋体" w:hAnsi="宋体" w:cs="宋体"/>
          <w:sz w:val="24"/>
          <w:szCs w:val="24"/>
        </w:rPr>
        <w:t>（10）本基金进入全国银行间同业市场进行债券回购的</w:t>
      </w:r>
      <w:bookmarkStart w:id="352" w:name="OLE_LINK142"/>
      <w:bookmarkStart w:id="353" w:name="OLE_LINK141"/>
      <w:r>
        <w:rPr>
          <w:rFonts w:hint="eastAsia" w:ascii="宋体" w:hAnsi="宋体" w:cs="宋体"/>
          <w:sz w:val="24"/>
          <w:szCs w:val="24"/>
        </w:rPr>
        <w:t>最长期限为1年</w:t>
      </w:r>
      <w:bookmarkEnd w:id="352"/>
      <w:bookmarkEnd w:id="353"/>
      <w:r>
        <w:rPr>
          <w:rFonts w:hint="eastAsia" w:ascii="宋体" w:hAnsi="宋体" w:cs="宋体"/>
          <w:sz w:val="24"/>
          <w:szCs w:val="24"/>
        </w:rPr>
        <w:t>，债券</w:t>
      </w:r>
      <w:bookmarkStart w:id="354" w:name="OLE_LINK149"/>
      <w:r>
        <w:rPr>
          <w:rFonts w:hint="eastAsia" w:ascii="宋体" w:hAnsi="宋体" w:cs="宋体"/>
          <w:sz w:val="24"/>
          <w:szCs w:val="24"/>
        </w:rPr>
        <w:t>回购到期后</w:t>
      </w:r>
      <w:bookmarkStart w:id="355" w:name="OLE_LINK143"/>
      <w:bookmarkStart w:id="356" w:name="OLE_LINK144"/>
      <w:bookmarkStart w:id="357" w:name="OLE_LINK145"/>
      <w:r>
        <w:rPr>
          <w:rFonts w:hint="eastAsia" w:ascii="宋体" w:hAnsi="宋体" w:cs="宋体"/>
          <w:sz w:val="24"/>
          <w:szCs w:val="24"/>
        </w:rPr>
        <w:t>不得展期</w:t>
      </w:r>
      <w:bookmarkEnd w:id="354"/>
      <w:bookmarkEnd w:id="355"/>
      <w:bookmarkEnd w:id="356"/>
      <w:bookmarkEnd w:id="357"/>
      <w:r>
        <w:rPr>
          <w:rFonts w:hint="eastAsia" w:ascii="宋体" w:hAnsi="宋体" w:cs="宋体"/>
          <w:sz w:val="24"/>
          <w:szCs w:val="24"/>
        </w:rPr>
        <w:t>；</w:t>
      </w:r>
    </w:p>
    <w:bookmarkEnd w:id="351"/>
    <w:p>
      <w:pPr>
        <w:numPr>
          <w:ilvl w:val="255"/>
          <w:numId w:val="0"/>
        </w:numPr>
        <w:spacing w:line="360" w:lineRule="auto"/>
        <w:ind w:firstLine="480" w:firstLineChars="200"/>
        <w:rPr>
          <w:rFonts w:ascii="宋体" w:hAnsi="宋体" w:cs="宋体"/>
          <w:sz w:val="24"/>
          <w:szCs w:val="24"/>
        </w:rPr>
      </w:pPr>
      <w:r>
        <w:rPr>
          <w:rFonts w:hint="eastAsia" w:ascii="宋体" w:hAnsi="宋体" w:cs="宋体"/>
          <w:sz w:val="24"/>
          <w:szCs w:val="24"/>
        </w:rPr>
        <w:t>（11）本基金资产总值不得超过基金资产净值的200%；</w:t>
      </w:r>
    </w:p>
    <w:p>
      <w:pPr>
        <w:numPr>
          <w:ilvl w:val="255"/>
          <w:numId w:val="0"/>
        </w:numPr>
        <w:spacing w:line="360" w:lineRule="auto"/>
        <w:ind w:firstLine="480" w:firstLineChars="200"/>
        <w:rPr>
          <w:rFonts w:ascii="宋体" w:hAnsi="宋体" w:cs="宋体"/>
          <w:sz w:val="24"/>
          <w:szCs w:val="24"/>
        </w:rPr>
      </w:pPr>
      <w:r>
        <w:rPr>
          <w:rFonts w:hint="eastAsia" w:ascii="宋体" w:hAnsi="宋体" w:cs="宋体"/>
          <w:sz w:val="24"/>
          <w:szCs w:val="24"/>
        </w:rPr>
        <w:t>（12）法律法规及中国证监会规定的和基金合同约定的其他投资限制。</w:t>
      </w:r>
    </w:p>
    <w:p>
      <w:pPr>
        <w:numPr>
          <w:ilvl w:val="255"/>
          <w:numId w:val="0"/>
        </w:numPr>
        <w:spacing w:line="360" w:lineRule="auto"/>
        <w:ind w:firstLine="480" w:firstLineChars="200"/>
        <w:rPr>
          <w:rFonts w:ascii="宋体" w:hAnsi="宋体" w:cs="宋体"/>
          <w:sz w:val="24"/>
          <w:szCs w:val="24"/>
        </w:rPr>
      </w:pPr>
      <w:r>
        <w:rPr>
          <w:rFonts w:hint="eastAsia" w:ascii="宋体" w:hAnsi="宋体" w:cs="宋体"/>
          <w:sz w:val="24"/>
          <w:szCs w:val="24"/>
        </w:rPr>
        <w:t>除上述第（9）项外，因证券市场波动、证券发行人合并、基金规模变动等基金管理人之外的因素致使基金投资比例不符合上述规定投资比例的，基金管理人应当在10个交易日内进行调整，但中国证监会规定的特殊情形除外。法律法规另有规定的，从其规定。</w:t>
      </w:r>
    </w:p>
    <w:p>
      <w:pPr>
        <w:numPr>
          <w:ilvl w:val="255"/>
          <w:numId w:val="0"/>
        </w:numPr>
        <w:spacing w:line="360" w:lineRule="auto"/>
        <w:ind w:firstLine="480" w:firstLineChars="200"/>
        <w:rPr>
          <w:rFonts w:ascii="宋体" w:hAnsi="宋体" w:cs="宋体"/>
          <w:sz w:val="24"/>
          <w:szCs w:val="24"/>
        </w:rPr>
      </w:pPr>
      <w:r>
        <w:rPr>
          <w:rFonts w:hint="eastAsia" w:ascii="宋体" w:hAnsi="宋体" w:cs="宋体"/>
          <w:sz w:val="24"/>
          <w:szCs w:val="24"/>
        </w:rPr>
        <w:t>基金管理人应当自基金合同生效之日起6个月内使基金的投资组合比例符合基金合同的有关约定。在上述期间，本基金的投资范围、投资策略应当符合本基金合同的约定。基金托管人对基金的投资的监督与检查自本基金合同生效之日起开始。</w:t>
      </w:r>
    </w:p>
    <w:p>
      <w:pPr>
        <w:numPr>
          <w:ilvl w:val="255"/>
          <w:numId w:val="0"/>
        </w:numPr>
        <w:spacing w:line="360" w:lineRule="auto"/>
        <w:ind w:firstLine="480" w:firstLineChars="200"/>
        <w:rPr>
          <w:rFonts w:ascii="宋体" w:hAnsi="宋体" w:cs="宋体"/>
          <w:sz w:val="24"/>
          <w:szCs w:val="24"/>
        </w:rPr>
      </w:pPr>
      <w:r>
        <w:rPr>
          <w:rFonts w:hint="eastAsia" w:ascii="宋体" w:hAnsi="宋体" w:cs="宋体"/>
          <w:sz w:val="24"/>
          <w:szCs w:val="24"/>
        </w:rPr>
        <w:t>若法律法规或监管部门取消或调整上述限制，如适用于本基金，基金管理人在履行适当程序后，本基金投资不再受相关限制或按照调整后的规定执行。</w:t>
      </w:r>
    </w:p>
    <w:bookmarkEnd w:id="344"/>
    <w:bookmarkEnd w:id="345"/>
    <w:p>
      <w:pPr>
        <w:numPr>
          <w:ilvl w:val="255"/>
          <w:numId w:val="0"/>
        </w:numPr>
        <w:spacing w:line="360" w:lineRule="auto"/>
        <w:ind w:firstLine="480" w:firstLineChars="200"/>
        <w:rPr>
          <w:rFonts w:ascii="宋体" w:hAnsi="宋体" w:cs="宋体"/>
          <w:sz w:val="24"/>
          <w:szCs w:val="24"/>
        </w:rPr>
      </w:pPr>
      <w:bookmarkStart w:id="358" w:name="OLE_LINK36"/>
      <w:r>
        <w:rPr>
          <w:rFonts w:hint="eastAsia" w:ascii="宋体" w:hAnsi="宋体" w:cs="宋体"/>
          <w:sz w:val="24"/>
          <w:szCs w:val="24"/>
        </w:rPr>
        <w:t>2、禁止行为</w:t>
      </w:r>
    </w:p>
    <w:p>
      <w:pPr>
        <w:numPr>
          <w:ilvl w:val="255"/>
          <w:numId w:val="0"/>
        </w:numPr>
        <w:spacing w:line="360" w:lineRule="auto"/>
        <w:ind w:firstLine="480" w:firstLineChars="200"/>
        <w:rPr>
          <w:rFonts w:ascii="宋体" w:hAnsi="宋体" w:cs="宋体"/>
          <w:sz w:val="24"/>
          <w:szCs w:val="24"/>
        </w:rPr>
      </w:pPr>
      <w:r>
        <w:rPr>
          <w:rFonts w:hint="eastAsia" w:ascii="宋体" w:hAnsi="宋体" w:cs="宋体"/>
          <w:sz w:val="24"/>
          <w:szCs w:val="24"/>
        </w:rPr>
        <w:t>为维护基金份额持有人的合法权益，基金财产不得用于下列投资或者活动：</w:t>
      </w:r>
    </w:p>
    <w:p>
      <w:pPr>
        <w:numPr>
          <w:ilvl w:val="255"/>
          <w:numId w:val="0"/>
        </w:numPr>
        <w:spacing w:line="360" w:lineRule="auto"/>
        <w:ind w:firstLine="480" w:firstLineChars="200"/>
        <w:rPr>
          <w:rFonts w:ascii="宋体" w:hAnsi="宋体" w:cs="宋体"/>
          <w:sz w:val="24"/>
          <w:szCs w:val="24"/>
        </w:rPr>
      </w:pPr>
      <w:r>
        <w:rPr>
          <w:rFonts w:hint="eastAsia" w:ascii="宋体" w:hAnsi="宋体" w:cs="宋体"/>
          <w:sz w:val="24"/>
          <w:szCs w:val="24"/>
        </w:rPr>
        <w:t>（1）承销证券；</w:t>
      </w:r>
    </w:p>
    <w:p>
      <w:pPr>
        <w:numPr>
          <w:ilvl w:val="255"/>
          <w:numId w:val="0"/>
        </w:numPr>
        <w:spacing w:line="360" w:lineRule="auto"/>
        <w:ind w:firstLine="480" w:firstLineChars="200"/>
        <w:rPr>
          <w:rFonts w:ascii="宋体" w:hAnsi="宋体" w:cs="宋体"/>
          <w:sz w:val="24"/>
          <w:szCs w:val="24"/>
        </w:rPr>
      </w:pPr>
      <w:r>
        <w:rPr>
          <w:rFonts w:hint="eastAsia" w:ascii="宋体" w:hAnsi="宋体" w:cs="宋体"/>
          <w:sz w:val="24"/>
          <w:szCs w:val="24"/>
        </w:rPr>
        <w:t>（2）违反规定向他人贷款或者提供担保；</w:t>
      </w:r>
    </w:p>
    <w:p>
      <w:pPr>
        <w:numPr>
          <w:ilvl w:val="255"/>
          <w:numId w:val="0"/>
        </w:numPr>
        <w:spacing w:line="360" w:lineRule="auto"/>
        <w:ind w:firstLine="480" w:firstLineChars="200"/>
        <w:rPr>
          <w:rFonts w:ascii="宋体" w:hAnsi="宋体" w:cs="宋体"/>
          <w:sz w:val="24"/>
          <w:szCs w:val="24"/>
        </w:rPr>
      </w:pPr>
      <w:r>
        <w:rPr>
          <w:rFonts w:hint="eastAsia" w:ascii="宋体" w:hAnsi="宋体" w:cs="宋体"/>
          <w:sz w:val="24"/>
          <w:szCs w:val="24"/>
        </w:rPr>
        <w:t>（3）从事承担无限责任的投资；</w:t>
      </w:r>
    </w:p>
    <w:p>
      <w:pPr>
        <w:numPr>
          <w:ilvl w:val="255"/>
          <w:numId w:val="0"/>
        </w:numPr>
        <w:spacing w:line="360" w:lineRule="auto"/>
        <w:ind w:firstLine="480" w:firstLineChars="200"/>
        <w:rPr>
          <w:rFonts w:ascii="宋体" w:hAnsi="宋体" w:cs="宋体"/>
          <w:sz w:val="24"/>
          <w:szCs w:val="24"/>
        </w:rPr>
      </w:pPr>
      <w:r>
        <w:rPr>
          <w:rFonts w:hint="eastAsia" w:ascii="宋体" w:hAnsi="宋体" w:cs="宋体"/>
          <w:sz w:val="24"/>
          <w:szCs w:val="24"/>
        </w:rPr>
        <w:t>（4）买卖其他基金份额，但是中国证监会另有规定的除外；</w:t>
      </w:r>
    </w:p>
    <w:p>
      <w:pPr>
        <w:numPr>
          <w:ilvl w:val="255"/>
          <w:numId w:val="0"/>
        </w:numPr>
        <w:spacing w:line="360" w:lineRule="auto"/>
        <w:ind w:firstLine="480" w:firstLineChars="200"/>
        <w:rPr>
          <w:rFonts w:ascii="宋体" w:hAnsi="宋体" w:cs="宋体"/>
          <w:sz w:val="24"/>
          <w:szCs w:val="24"/>
        </w:rPr>
      </w:pPr>
      <w:r>
        <w:rPr>
          <w:rFonts w:hint="eastAsia" w:ascii="宋体" w:hAnsi="宋体" w:cs="宋体"/>
          <w:sz w:val="24"/>
          <w:szCs w:val="24"/>
        </w:rPr>
        <w:t>（5）向其基金管理人、基金托管人出资；</w:t>
      </w:r>
    </w:p>
    <w:p>
      <w:pPr>
        <w:numPr>
          <w:ilvl w:val="255"/>
          <w:numId w:val="0"/>
        </w:numPr>
        <w:spacing w:line="360" w:lineRule="auto"/>
        <w:ind w:firstLine="480" w:firstLineChars="200"/>
        <w:rPr>
          <w:rFonts w:ascii="宋体" w:hAnsi="宋体" w:cs="宋体"/>
          <w:sz w:val="24"/>
          <w:szCs w:val="24"/>
        </w:rPr>
      </w:pPr>
      <w:r>
        <w:rPr>
          <w:rFonts w:hint="eastAsia" w:ascii="宋体" w:hAnsi="宋体" w:cs="宋体"/>
          <w:sz w:val="24"/>
          <w:szCs w:val="24"/>
        </w:rPr>
        <w:t>（6）从事内幕交易、操纵证券交易价格及其他不正当的证券交易活动；</w:t>
      </w:r>
    </w:p>
    <w:p>
      <w:pPr>
        <w:numPr>
          <w:ilvl w:val="255"/>
          <w:numId w:val="0"/>
        </w:numPr>
        <w:spacing w:line="360" w:lineRule="auto"/>
        <w:ind w:firstLine="480" w:firstLineChars="200"/>
        <w:rPr>
          <w:rFonts w:ascii="宋体" w:hAnsi="宋体" w:cs="宋体"/>
          <w:sz w:val="24"/>
          <w:szCs w:val="24"/>
        </w:rPr>
      </w:pPr>
      <w:r>
        <w:rPr>
          <w:rFonts w:hint="eastAsia" w:ascii="宋体" w:hAnsi="宋体" w:cs="宋体"/>
          <w:sz w:val="24"/>
          <w:szCs w:val="24"/>
        </w:rPr>
        <w:t>（7）法律、行政法规和中国证监会规定禁止的其他活动。</w:t>
      </w:r>
    </w:p>
    <w:p>
      <w:pPr>
        <w:numPr>
          <w:ilvl w:val="255"/>
          <w:numId w:val="0"/>
        </w:numPr>
        <w:spacing w:line="360" w:lineRule="auto"/>
        <w:ind w:firstLine="480" w:firstLineChars="200"/>
        <w:rPr>
          <w:rFonts w:ascii="宋体" w:hAnsi="宋体" w:cs="宋体"/>
          <w:sz w:val="24"/>
          <w:szCs w:val="24"/>
        </w:rPr>
      </w:pPr>
      <w:bookmarkStart w:id="359" w:name="OLE_LINK257"/>
      <w:bookmarkStart w:id="360" w:name="OLE_LINK256"/>
      <w:r>
        <w:rPr>
          <w:rFonts w:hint="eastAsia" w:ascii="宋体" w:hAnsi="宋体" w:cs="宋体"/>
          <w:sz w:val="24"/>
          <w:szCs w:val="24"/>
        </w:rPr>
        <w:t>基金管理人运用基金财产买卖基金管理人、基金托管人及其控股股东、实际控制人或者与其有重大利害关系的公司发行的证券或者承销期内承销的证券，或者从事其他重大关联交易的，应当符合基金的投资目标和投资策略，遵循基金份额持有人利益优先原则，防范利益冲突，建立健全内部审批机制和评估机制，按照市场公平合理价格执行。相关交易必须事先得到基金托管人的同意，并按法律法规予以披露。重大关联交易应提交基金管理人董事会审议，并经过三分之二以上的独立董事通过。基金管理人董事会应至少每半年对关联交易事项进行审查。</w:t>
      </w:r>
    </w:p>
    <w:p>
      <w:pPr>
        <w:numPr>
          <w:ilvl w:val="255"/>
          <w:numId w:val="0"/>
        </w:numPr>
        <w:spacing w:line="360" w:lineRule="auto"/>
        <w:ind w:firstLine="480" w:firstLineChars="200"/>
        <w:rPr>
          <w:rFonts w:ascii="宋体" w:hAnsi="宋体" w:cs="宋体"/>
          <w:sz w:val="24"/>
          <w:szCs w:val="24"/>
        </w:rPr>
      </w:pPr>
      <w:r>
        <w:rPr>
          <w:rFonts w:hint="eastAsia" w:ascii="宋体" w:hAnsi="宋体" w:cs="宋体"/>
          <w:sz w:val="24"/>
          <w:szCs w:val="24"/>
        </w:rPr>
        <w:t>法律、行政法规或监管部门取消或变更上述限制，如适用于本基金，基金管理人在履行适当程序后，则本基金投资不再受相关限制或按变更后的规定执行。</w:t>
      </w:r>
    </w:p>
    <w:p>
      <w:pPr>
        <w:numPr>
          <w:ilvl w:val="255"/>
          <w:numId w:val="0"/>
        </w:numPr>
        <w:spacing w:line="360" w:lineRule="auto"/>
        <w:rPr>
          <w:rFonts w:ascii="宋体" w:hAnsi="宋体" w:cs="宋体"/>
          <w:sz w:val="24"/>
          <w:szCs w:val="24"/>
        </w:rPr>
      </w:pPr>
    </w:p>
    <w:bookmarkEnd w:id="359"/>
    <w:bookmarkEnd w:id="360"/>
    <w:p>
      <w:pPr>
        <w:spacing w:line="360" w:lineRule="auto"/>
        <w:ind w:firstLine="482" w:firstLineChars="200"/>
        <w:rPr>
          <w:rFonts w:ascii="宋体" w:hAnsi="宋体" w:cs="宋体"/>
          <w:b/>
          <w:sz w:val="24"/>
        </w:rPr>
      </w:pPr>
      <w:r>
        <w:rPr>
          <w:rFonts w:hint="eastAsia" w:ascii="宋体" w:hAnsi="宋体" w:cs="宋体"/>
          <w:b/>
          <w:sz w:val="24"/>
        </w:rPr>
        <w:t>五、业绩比较基准</w:t>
      </w:r>
    </w:p>
    <w:bookmarkEnd w:id="358"/>
    <w:p>
      <w:pPr>
        <w:spacing w:line="360" w:lineRule="auto"/>
        <w:ind w:firstLine="480" w:firstLineChars="200"/>
        <w:rPr>
          <w:rFonts w:ascii="宋体" w:hAnsi="宋体" w:cs="宋体"/>
          <w:kern w:val="0"/>
          <w:sz w:val="24"/>
          <w:szCs w:val="24"/>
        </w:rPr>
      </w:pPr>
      <w:r>
        <w:rPr>
          <w:rFonts w:hint="eastAsia" w:ascii="宋体" w:hAnsi="宋体" w:cs="宋体"/>
          <w:kern w:val="0"/>
          <w:sz w:val="24"/>
          <w:szCs w:val="24"/>
        </w:rPr>
        <w:t>本基金的业绩比较基准为</w:t>
      </w:r>
      <w:r>
        <w:rPr>
          <w:rFonts w:hint="eastAsia" w:ascii="Arial" w:hAnsi="Arial" w:cs="Arial"/>
          <w:color w:val="333333"/>
          <w:sz w:val="24"/>
          <w:szCs w:val="24"/>
          <w:shd w:val="clear" w:color="auto" w:fill="FFFFFF"/>
        </w:rPr>
        <w:t>中债</w:t>
      </w:r>
      <w:r>
        <w:rPr>
          <w:rFonts w:ascii="Arial" w:hAnsi="Arial" w:cs="Arial"/>
          <w:color w:val="333333"/>
          <w:sz w:val="24"/>
          <w:szCs w:val="24"/>
          <w:shd w:val="clear" w:color="auto" w:fill="FFFFFF"/>
        </w:rPr>
        <w:t>-1-5</w:t>
      </w:r>
      <w:r>
        <w:rPr>
          <w:rFonts w:hint="eastAsia" w:ascii="Arial" w:hAnsi="Arial" w:cs="Arial"/>
          <w:color w:val="333333"/>
          <w:sz w:val="24"/>
          <w:szCs w:val="24"/>
          <w:shd w:val="clear" w:color="auto" w:fill="FFFFFF"/>
        </w:rPr>
        <w:t>年债券综合全价</w:t>
      </w:r>
      <w:r>
        <w:rPr>
          <w:rFonts w:ascii="Arial" w:hAnsi="Arial" w:cs="Arial"/>
          <w:color w:val="333333"/>
          <w:sz w:val="24"/>
          <w:szCs w:val="24"/>
          <w:shd w:val="clear" w:color="auto" w:fill="FFFFFF"/>
        </w:rPr>
        <w:t>(</w:t>
      </w:r>
      <w:r>
        <w:rPr>
          <w:rFonts w:hint="eastAsia" w:ascii="Arial" w:hAnsi="Arial" w:cs="Arial"/>
          <w:color w:val="333333"/>
          <w:sz w:val="24"/>
          <w:szCs w:val="24"/>
          <w:shd w:val="clear" w:color="auto" w:fill="FFFFFF"/>
        </w:rPr>
        <w:t>总值</w:t>
      </w:r>
      <w:r>
        <w:rPr>
          <w:rFonts w:ascii="Arial" w:hAnsi="Arial" w:cs="Arial"/>
          <w:color w:val="333333"/>
          <w:sz w:val="24"/>
          <w:szCs w:val="24"/>
          <w:shd w:val="clear" w:color="auto" w:fill="FFFFFF"/>
        </w:rPr>
        <w:t>)</w:t>
      </w:r>
      <w:r>
        <w:rPr>
          <w:rFonts w:hint="eastAsia" w:ascii="Arial" w:hAnsi="Arial" w:cs="Arial"/>
          <w:color w:val="333333"/>
          <w:sz w:val="24"/>
          <w:szCs w:val="24"/>
          <w:shd w:val="clear" w:color="auto" w:fill="FFFFFF"/>
        </w:rPr>
        <w:t>指数</w:t>
      </w:r>
      <w:r>
        <w:rPr>
          <w:rFonts w:hint="eastAsia" w:ascii="宋体" w:hAnsi="宋体" w:cs="宋体"/>
          <w:kern w:val="0"/>
          <w:sz w:val="24"/>
          <w:szCs w:val="24"/>
        </w:rPr>
        <w:t>。</w:t>
      </w:r>
    </w:p>
    <w:p>
      <w:pPr>
        <w:spacing w:line="360" w:lineRule="auto"/>
        <w:ind w:firstLine="480" w:firstLineChars="200"/>
        <w:rPr>
          <w:rFonts w:ascii="宋体" w:hAnsi="宋体" w:cs="宋体"/>
          <w:bCs/>
          <w:sz w:val="24"/>
        </w:rPr>
      </w:pPr>
      <w:r>
        <w:rPr>
          <w:rFonts w:ascii="宋体" w:hAnsi="宋体" w:cs="宋体"/>
          <w:bCs/>
          <w:sz w:val="24"/>
        </w:rPr>
        <w:t>1</w:t>
      </w:r>
      <w:r>
        <w:rPr>
          <w:rFonts w:hint="eastAsia" w:ascii="宋体" w:hAnsi="宋体" w:cs="宋体"/>
          <w:bCs/>
          <w:sz w:val="24"/>
        </w:rPr>
        <w:t>、业绩比较基准设定的原因</w:t>
      </w:r>
    </w:p>
    <w:p>
      <w:pPr>
        <w:spacing w:line="360" w:lineRule="auto"/>
        <w:ind w:firstLine="480"/>
        <w:rPr>
          <w:rFonts w:ascii="宋体" w:hAnsi="宋体" w:cs="宋体"/>
          <w:sz w:val="24"/>
        </w:rPr>
      </w:pPr>
      <w:r>
        <w:rPr>
          <w:rFonts w:hint="eastAsia" w:ascii="宋体" w:hAnsi="宋体" w:cs="宋体"/>
          <w:bCs/>
          <w:sz w:val="24"/>
        </w:rPr>
        <w:t>（</w:t>
      </w:r>
      <w:r>
        <w:rPr>
          <w:rFonts w:ascii="宋体" w:hAnsi="宋体" w:cs="宋体"/>
          <w:bCs/>
          <w:sz w:val="24"/>
        </w:rPr>
        <w:t>1</w:t>
      </w:r>
      <w:r>
        <w:rPr>
          <w:rFonts w:hint="eastAsia" w:ascii="宋体" w:hAnsi="宋体" w:cs="宋体"/>
          <w:bCs/>
          <w:sz w:val="24"/>
        </w:rPr>
        <w:t>）基于基金投资范围以及预期投资的主要资产类别，本基金主要投资于债券等资产，相应选取与之匹配的</w:t>
      </w:r>
      <w:r>
        <w:rPr>
          <w:bCs/>
          <w:color w:val="000000"/>
          <w:sz w:val="24"/>
        </w:rPr>
        <w:t>债券指数</w:t>
      </w:r>
      <w:r>
        <w:rPr>
          <w:rFonts w:hint="eastAsia"/>
          <w:bCs/>
          <w:color w:val="000000"/>
          <w:sz w:val="24"/>
        </w:rPr>
        <w:t>作为</w:t>
      </w:r>
      <w:r>
        <w:rPr>
          <w:rFonts w:hint="eastAsia" w:ascii="宋体" w:hAnsi="宋体" w:cs="宋体"/>
          <w:bCs/>
          <w:sz w:val="24"/>
        </w:rPr>
        <w:t>基准要素。</w:t>
      </w:r>
      <w:r>
        <w:rPr>
          <w:bCs/>
          <w:color w:val="000000"/>
          <w:sz w:val="24"/>
        </w:rPr>
        <w:t>同时基于</w:t>
      </w:r>
      <w:r>
        <w:rPr>
          <w:rFonts w:hint="eastAsia"/>
          <w:bCs/>
          <w:color w:val="000000"/>
          <w:sz w:val="24"/>
        </w:rPr>
        <w:t>本</w:t>
      </w:r>
      <w:r>
        <w:rPr>
          <w:bCs/>
          <w:color w:val="000000"/>
          <w:sz w:val="24"/>
        </w:rPr>
        <w:t>基金投资于债券资产的比例不低于基金资产的 80%等投资比例限制，</w:t>
      </w:r>
      <w:r>
        <w:rPr>
          <w:rFonts w:hint="eastAsia"/>
          <w:bCs/>
          <w:color w:val="000000"/>
          <w:sz w:val="24"/>
        </w:rPr>
        <w:t>以</w:t>
      </w:r>
      <w:r>
        <w:rPr>
          <w:bCs/>
          <w:color w:val="000000"/>
          <w:sz w:val="24"/>
        </w:rPr>
        <w:t>及预期的资产配置比例中枢，本基金将债券资产对应的基准要素设置为</w:t>
      </w:r>
      <w:r>
        <w:rPr>
          <w:rFonts w:hint="eastAsia"/>
          <w:bCs/>
          <w:color w:val="000000"/>
          <w:sz w:val="24"/>
        </w:rPr>
        <w:t>100</w:t>
      </w:r>
      <w:r>
        <w:rPr>
          <w:bCs/>
          <w:color w:val="000000"/>
          <w:sz w:val="24"/>
        </w:rPr>
        <w:t>%</w:t>
      </w:r>
      <w:r>
        <w:rPr>
          <w:rFonts w:hint="eastAsia"/>
          <w:bCs/>
          <w:color w:val="000000"/>
          <w:sz w:val="24"/>
        </w:rPr>
        <w:t>。</w:t>
      </w:r>
    </w:p>
    <w:p>
      <w:pPr>
        <w:numPr>
          <w:ilvl w:val="0"/>
          <w:numId w:val="4"/>
        </w:numPr>
        <w:spacing w:line="360" w:lineRule="auto"/>
        <w:ind w:firstLine="480"/>
        <w:rPr>
          <w:rFonts w:ascii="宋体" w:hAnsi="宋体" w:cs="宋体"/>
          <w:sz w:val="24"/>
          <w:szCs w:val="21"/>
        </w:rPr>
      </w:pPr>
      <w:r>
        <w:rPr>
          <w:rFonts w:hint="eastAsia" w:ascii="宋体" w:hAnsi="宋体" w:cs="宋体"/>
          <w:sz w:val="24"/>
        </w:rPr>
        <w:t>基于基金投资目标、投资范围和投资策略，</w:t>
      </w:r>
      <w:r>
        <w:rPr>
          <w:rFonts w:hint="eastAsia" w:ascii="宋体" w:hAnsi="宋体" w:cs="宋体"/>
          <w:sz w:val="24"/>
          <w:szCs w:val="24"/>
        </w:rPr>
        <w:t>本基金</w:t>
      </w:r>
      <w:r>
        <w:rPr>
          <w:rFonts w:hint="eastAsia"/>
          <w:bCs/>
          <w:color w:val="000000"/>
          <w:sz w:val="24"/>
        </w:rPr>
        <w:t>以63个月为封闭投资运作期限，</w:t>
      </w:r>
      <w:r>
        <w:rPr>
          <w:rFonts w:hint="eastAsia" w:ascii="宋体" w:hAnsi="宋体" w:cs="宋体"/>
          <w:sz w:val="24"/>
          <w:szCs w:val="24"/>
        </w:rPr>
        <w:t>在封闭期内采用买入并持有到期投资策略，</w:t>
      </w:r>
      <w:r>
        <w:rPr>
          <w:rFonts w:hint="eastAsia" w:ascii="宋体" w:hAnsi="宋体" w:cs="宋体"/>
          <w:bCs/>
          <w:sz w:val="24"/>
        </w:rPr>
        <w:t>主要投资剩余期限为1-5年的债券资产，</w:t>
      </w:r>
      <w:r>
        <w:rPr>
          <w:rFonts w:hint="eastAsia" w:ascii="宋体" w:hAnsi="宋体" w:cs="宋体"/>
          <w:sz w:val="24"/>
          <w:szCs w:val="24"/>
        </w:rPr>
        <w:t>所投金融资产以收取合同现金流量为目的并持有到期。综合考虑</w:t>
      </w:r>
      <w:r>
        <w:rPr>
          <w:bCs/>
          <w:sz w:val="24"/>
        </w:rPr>
        <w:t>基准指数与</w:t>
      </w:r>
      <w:r>
        <w:rPr>
          <w:rFonts w:hint="eastAsia" w:ascii="宋体" w:hAnsi="宋体" w:cs="宋体"/>
          <w:sz w:val="24"/>
          <w:szCs w:val="24"/>
        </w:rPr>
        <w:t>产品定位和投资风格的匹配度，</w:t>
      </w:r>
      <w:r>
        <w:rPr>
          <w:rFonts w:hint="eastAsia"/>
          <w:bCs/>
          <w:color w:val="000000"/>
          <w:sz w:val="24"/>
        </w:rPr>
        <w:t>同时兼顾考虑基准指数的表征性、认可度，以及基准指数券种、久期、信用等级分布特征等</w:t>
      </w:r>
      <w:r>
        <w:rPr>
          <w:rFonts w:hint="eastAsia" w:ascii="宋体" w:hAnsi="宋体" w:cs="宋体"/>
          <w:sz w:val="24"/>
          <w:szCs w:val="24"/>
        </w:rPr>
        <w:t>，选择上述</w:t>
      </w:r>
      <w:r>
        <w:rPr>
          <w:rFonts w:ascii="Arial" w:hAnsi="Arial" w:cs="Arial"/>
          <w:color w:val="333333"/>
          <w:sz w:val="24"/>
          <w:szCs w:val="24"/>
          <w:shd w:val="clear" w:color="auto" w:fill="FFFFFF"/>
        </w:rPr>
        <w:t>中债-1-5年债券综合全价(总值)指数</w:t>
      </w:r>
      <w:bookmarkStart w:id="361" w:name="OLE_LINK166"/>
      <w:bookmarkStart w:id="362" w:name="OLE_LINK167"/>
      <w:r>
        <w:rPr>
          <w:rFonts w:hint="eastAsia" w:ascii="宋体" w:hAnsi="宋体" w:cs="宋体"/>
          <w:sz w:val="24"/>
          <w:szCs w:val="24"/>
        </w:rPr>
        <w:t>作为业绩比较基准要素。</w:t>
      </w:r>
    </w:p>
    <w:p>
      <w:pPr>
        <w:spacing w:line="360" w:lineRule="auto"/>
        <w:ind w:firstLine="484" w:firstLineChars="202"/>
        <w:rPr>
          <w:rFonts w:ascii="宋体" w:hAnsi="宋体"/>
          <w:sz w:val="24"/>
          <w:szCs w:val="24"/>
        </w:rPr>
      </w:pPr>
      <w:r>
        <w:rPr>
          <w:rFonts w:ascii="Arial" w:hAnsi="Arial" w:cs="Arial"/>
          <w:color w:val="333333"/>
          <w:sz w:val="24"/>
          <w:szCs w:val="24"/>
          <w:shd w:val="clear" w:color="auto" w:fill="FFFFFF"/>
        </w:rPr>
        <w:t>中债-1-5年债券综合全价(总值)指数</w:t>
      </w:r>
      <w:r>
        <w:rPr>
          <w:rFonts w:hint="eastAsia" w:ascii="宋体" w:hAnsi="宋体"/>
          <w:sz w:val="24"/>
          <w:szCs w:val="24"/>
        </w:rPr>
        <w:t>成分券包括在境内公开发行且上市流通、剩余期限在1-5年的国债、地方政府债、政策性银行债券、信用债等。该指数覆盖</w:t>
      </w:r>
      <w:r>
        <w:rPr>
          <w:rFonts w:ascii="宋体" w:hAnsi="宋体"/>
          <w:sz w:val="24"/>
          <w:szCs w:val="24"/>
        </w:rPr>
        <w:t>1</w:t>
      </w:r>
      <w:r>
        <w:rPr>
          <w:rFonts w:hint="eastAsia" w:ascii="MS Gothic" w:hAnsi="MS Gothic" w:eastAsia="MS Gothic" w:cs="MS Gothic"/>
          <w:sz w:val="24"/>
          <w:szCs w:val="24"/>
        </w:rPr>
        <w:t>‑</w:t>
      </w:r>
      <w:r>
        <w:rPr>
          <w:rFonts w:ascii="宋体" w:hAnsi="宋体"/>
          <w:sz w:val="24"/>
          <w:szCs w:val="24"/>
        </w:rPr>
        <w:t>5</w:t>
      </w:r>
      <w:r>
        <w:rPr>
          <w:rFonts w:hint="eastAsia" w:ascii="宋体" w:hAnsi="宋体"/>
          <w:sz w:val="24"/>
          <w:szCs w:val="24"/>
        </w:rPr>
        <w:t>年区间内主流信用债品种，成分券的久期分布、券种结构、信用层级与本基金实际可投资产高度契合，能够客观反映同期限债券组合的整体表现，与本基金投资标的的风险收益特征具备良好匹配性，适合作为本基金的业绩比较基准要素。</w:t>
      </w:r>
    </w:p>
    <w:p>
      <w:pPr>
        <w:spacing w:line="360" w:lineRule="auto"/>
        <w:ind w:firstLine="480" w:firstLineChars="200"/>
        <w:rPr>
          <w:rFonts w:ascii="宋体" w:hAnsi="宋体" w:cs="宋体"/>
          <w:bCs/>
          <w:sz w:val="24"/>
        </w:rPr>
      </w:pPr>
      <w:bookmarkStart w:id="363" w:name="OLE_LINK163"/>
      <w:bookmarkStart w:id="364" w:name="OLE_LINK162"/>
      <w:r>
        <w:rPr>
          <w:rFonts w:hint="eastAsia" w:ascii="宋体" w:hAnsi="宋体" w:cs="宋体"/>
          <w:bCs/>
          <w:sz w:val="24"/>
        </w:rPr>
        <w:t>综上，本基金选取的业绩比较基准与基金投资目标、投资范围、投资策略、投资比例限制相匹配。</w:t>
      </w:r>
    </w:p>
    <w:bookmarkEnd w:id="361"/>
    <w:bookmarkEnd w:id="362"/>
    <w:bookmarkEnd w:id="363"/>
    <w:bookmarkEnd w:id="364"/>
    <w:p>
      <w:pPr>
        <w:spacing w:line="360" w:lineRule="auto"/>
        <w:ind w:firstLine="480" w:firstLineChars="200"/>
        <w:rPr>
          <w:rFonts w:ascii="宋体" w:hAnsi="宋体" w:cs="宋体"/>
          <w:bCs/>
          <w:sz w:val="24"/>
        </w:rPr>
      </w:pPr>
      <w:r>
        <w:rPr>
          <w:rFonts w:hint="eastAsia" w:ascii="宋体" w:hAnsi="宋体" w:cs="宋体"/>
          <w:bCs/>
          <w:sz w:val="24"/>
        </w:rPr>
        <w:t>2、业绩比较基准要素的基本信息</w:t>
      </w:r>
    </w:p>
    <w:p>
      <w:pPr>
        <w:spacing w:line="360" w:lineRule="auto"/>
        <w:ind w:firstLine="480" w:firstLineChars="200"/>
        <w:rPr>
          <w:rFonts w:ascii="宋体" w:hAnsi="宋体" w:cs="宋体"/>
          <w:bCs/>
          <w:sz w:val="24"/>
        </w:rPr>
      </w:pPr>
      <w:bookmarkStart w:id="365" w:name="OLE_LINK165"/>
      <w:bookmarkStart w:id="366" w:name="OLE_LINK164"/>
      <w:r>
        <w:rPr>
          <w:rFonts w:ascii="Arial" w:hAnsi="Arial" w:cs="Arial"/>
          <w:color w:val="333333"/>
          <w:sz w:val="24"/>
          <w:szCs w:val="24"/>
          <w:shd w:val="clear" w:color="auto" w:fill="FFFFFF"/>
        </w:rPr>
        <w:t>中债-1-5年债券综合全价(总值)指数</w:t>
      </w:r>
      <w:r>
        <w:rPr>
          <w:rFonts w:hint="eastAsia" w:ascii="宋体" w:hAnsi="宋体" w:cs="宋体"/>
          <w:bCs/>
          <w:sz w:val="24"/>
          <w:szCs w:val="21"/>
        </w:rPr>
        <w:t>由</w:t>
      </w:r>
      <w:r>
        <w:rPr>
          <w:rFonts w:hint="eastAsia" w:ascii="宋体" w:hAnsi="宋体" w:cs="宋体"/>
          <w:bCs/>
          <w:sz w:val="24"/>
        </w:rPr>
        <w:t>中债金融估值中心有限公司编制发布，指数代码为</w:t>
      </w:r>
      <w:r>
        <w:rPr>
          <w:rFonts w:ascii="宋体" w:hAnsi="宋体" w:cs="宋体"/>
          <w:bCs/>
          <w:sz w:val="24"/>
        </w:rPr>
        <w:t>CBA37203</w:t>
      </w:r>
      <w:r>
        <w:rPr>
          <w:rFonts w:hint="eastAsia" w:ascii="宋体" w:hAnsi="宋体" w:cs="宋体"/>
          <w:bCs/>
          <w:sz w:val="24"/>
        </w:rPr>
        <w:t>，指数具体信息详见中国债券信息网，网址：</w:t>
      </w:r>
      <w:r>
        <w:fldChar w:fldCharType="begin"/>
      </w:r>
      <w:r>
        <w:instrText xml:space="preserve"> HYPERLINK "http://www.chinabond.com.cn。" </w:instrText>
      </w:r>
      <w:r>
        <w:fldChar w:fldCharType="separate"/>
      </w:r>
      <w:r>
        <w:rPr>
          <w:rFonts w:hint="eastAsia" w:ascii="宋体" w:hAnsi="宋体" w:cs="宋体"/>
          <w:bCs/>
          <w:sz w:val="24"/>
        </w:rPr>
        <w:t>www.chinabond.com.cn。</w:t>
      </w:r>
      <w:r>
        <w:rPr>
          <w:rFonts w:hint="eastAsia" w:ascii="宋体" w:hAnsi="宋体" w:cs="宋体"/>
          <w:bCs/>
          <w:sz w:val="24"/>
        </w:rPr>
        <w:fldChar w:fldCharType="end"/>
      </w:r>
    </w:p>
    <w:bookmarkEnd w:id="365"/>
    <w:bookmarkEnd w:id="366"/>
    <w:p>
      <w:pPr>
        <w:spacing w:line="360" w:lineRule="auto"/>
        <w:ind w:firstLine="480" w:firstLineChars="200"/>
        <w:rPr>
          <w:rFonts w:ascii="宋体" w:hAnsi="宋体" w:cs="宋体"/>
          <w:bCs/>
          <w:sz w:val="24"/>
          <w:szCs w:val="24"/>
        </w:rPr>
      </w:pPr>
      <w:r>
        <w:rPr>
          <w:rFonts w:hint="eastAsia" w:ascii="宋体" w:hAnsi="宋体" w:cs="宋体"/>
          <w:bCs/>
          <w:sz w:val="24"/>
          <w:szCs w:val="24"/>
        </w:rPr>
        <w:t>3、业绩比较基准的计算方法</w:t>
      </w:r>
    </w:p>
    <w:p>
      <w:pPr>
        <w:spacing w:line="360" w:lineRule="auto"/>
        <w:ind w:firstLine="480" w:firstLineChars="200"/>
        <w:rPr>
          <w:rFonts w:ascii="Arial" w:hAnsi="Arial" w:cs="Arial"/>
          <w:color w:val="333333"/>
          <w:sz w:val="24"/>
          <w:szCs w:val="24"/>
          <w:shd w:val="clear" w:color="auto" w:fill="FFFFFF"/>
        </w:rPr>
      </w:pPr>
      <w:r>
        <w:rPr>
          <w:rFonts w:hint="eastAsia" w:ascii="宋体" w:hAnsi="宋体" w:cs="宋体"/>
          <w:bCs/>
          <w:sz w:val="24"/>
        </w:rPr>
        <w:t>本基金业绩比较基准收益率的计算方法以每日收益率为基础，以时间加权为计算原则</w:t>
      </w:r>
      <w:r>
        <w:rPr>
          <w:rFonts w:hint="eastAsia" w:ascii="Arial" w:hAnsi="Arial" w:cs="Arial"/>
          <w:color w:val="333333"/>
          <w:sz w:val="24"/>
          <w:szCs w:val="24"/>
          <w:shd w:val="clear" w:color="auto" w:fill="FFFFFF"/>
        </w:rPr>
        <w:t>。</w:t>
      </w:r>
    </w:p>
    <w:p>
      <w:pPr>
        <w:spacing w:line="360" w:lineRule="auto"/>
        <w:ind w:firstLine="480" w:firstLineChars="200"/>
        <w:rPr>
          <w:rFonts w:ascii="宋体" w:hAnsi="宋体" w:cs="宋体"/>
          <w:bCs/>
          <w:sz w:val="24"/>
          <w:szCs w:val="24"/>
        </w:rPr>
      </w:pPr>
      <w:r>
        <w:rPr>
          <w:rFonts w:hint="eastAsia" w:ascii="宋体" w:hAnsi="宋体" w:cs="宋体"/>
          <w:bCs/>
          <w:sz w:val="24"/>
          <w:szCs w:val="24"/>
        </w:rPr>
        <w:t>4、管理投资偏离业绩比较基准的</w:t>
      </w:r>
      <w:r>
        <w:rPr>
          <w:rFonts w:hint="eastAsia" w:ascii="宋体" w:hAnsi="宋体" w:cs="宋体"/>
          <w:sz w:val="24"/>
        </w:rPr>
        <w:t>定性或定量</w:t>
      </w:r>
      <w:r>
        <w:rPr>
          <w:rFonts w:hint="eastAsia" w:ascii="宋体" w:hAnsi="宋体" w:cs="宋体"/>
          <w:bCs/>
          <w:sz w:val="24"/>
          <w:szCs w:val="24"/>
        </w:rPr>
        <w:t>方法</w:t>
      </w:r>
    </w:p>
    <w:p>
      <w:pPr>
        <w:spacing w:line="360" w:lineRule="auto"/>
        <w:ind w:firstLine="480" w:firstLineChars="200"/>
        <w:rPr>
          <w:bCs/>
          <w:sz w:val="24"/>
        </w:rPr>
      </w:pPr>
      <w:r>
        <w:rPr>
          <w:rFonts w:hint="eastAsia"/>
          <w:bCs/>
          <w:sz w:val="24"/>
        </w:rPr>
        <w:t>基金管理人根据本基金类型、投资目标、投资风格、投资策略、风险收益特征等因素，审慎设置投资偏离业绩比较基准的监测指标和相关阈值。触发指标阈值的，基金经理原则上应当在基金管理人制度规定时间内调整完毕，或者提请投资决策委员会审议。投资决策委员会应当从保护基金份额持有人利益角度出发，对是否允许突破指标阈值作出决策，并对决策执行情况加强跟踪评估。</w:t>
      </w:r>
    </w:p>
    <w:p>
      <w:pPr>
        <w:spacing w:line="360" w:lineRule="auto"/>
        <w:ind w:firstLine="480" w:firstLineChars="200"/>
        <w:rPr>
          <w:bCs/>
          <w:sz w:val="24"/>
        </w:rPr>
      </w:pPr>
      <w:r>
        <w:rPr>
          <w:rFonts w:hint="eastAsia"/>
          <w:bCs/>
          <w:sz w:val="24"/>
        </w:rPr>
        <w:t>基金管理人在监测业绩比较基准偏离过程中，对于债券资产，可以采用久期中枢、信用风险暴露集中度、最大回撤等指标。</w:t>
      </w:r>
    </w:p>
    <w:p>
      <w:pPr>
        <w:spacing w:line="360" w:lineRule="auto"/>
        <w:ind w:firstLine="480" w:firstLineChars="200"/>
        <w:rPr>
          <w:rFonts w:ascii="宋体" w:hAnsi="宋体" w:cs="宋体"/>
          <w:bCs/>
          <w:sz w:val="24"/>
        </w:rPr>
      </w:pPr>
      <w:r>
        <w:rPr>
          <w:rFonts w:hint="eastAsia" w:ascii="宋体" w:hAnsi="宋体" w:cs="宋体"/>
          <w:bCs/>
          <w:sz w:val="24"/>
        </w:rPr>
        <w:t xml:space="preserve">本基金为主动管理型基金，其业绩比较基准是表征产品风格、衡量产品业绩、约束投资行为的参考标准，并非本基金的跟踪标的。基金管理人在基金合同约定的投资范围、投资限制内享有充分的投资决策自主权，可根据投资策略、市场研判等综合因素，自主构建投资组合，包括酌情投资于业绩比较基准要素成份证券外的证券。本基金投资组合相对业绩比较基准要素成份证券和权重可能存在偏离。 </w:t>
      </w:r>
    </w:p>
    <w:p>
      <w:pPr>
        <w:spacing w:line="360" w:lineRule="auto"/>
        <w:ind w:firstLine="480" w:firstLineChars="200"/>
        <w:rPr>
          <w:rFonts w:ascii="宋体" w:hAnsi="宋体" w:cs="宋体"/>
          <w:bCs/>
          <w:sz w:val="24"/>
        </w:rPr>
      </w:pPr>
      <w:r>
        <w:rPr>
          <w:rFonts w:ascii="宋体" w:hAnsi="宋体" w:cs="宋体"/>
          <w:bCs/>
          <w:sz w:val="24"/>
          <w:szCs w:val="24"/>
        </w:rPr>
        <w:t>5、</w:t>
      </w:r>
      <w:r>
        <w:rPr>
          <w:rFonts w:hint="eastAsia" w:ascii="宋体" w:hAnsi="宋体" w:cs="宋体"/>
          <w:bCs/>
          <w:sz w:val="24"/>
        </w:rPr>
        <w:t>未来可能变更业绩比较基准的情况和程序</w:t>
      </w:r>
    </w:p>
    <w:p>
      <w:pPr>
        <w:spacing w:line="360" w:lineRule="auto"/>
        <w:ind w:firstLine="480" w:firstLineChars="200"/>
        <w:rPr>
          <w:rFonts w:ascii="宋体" w:hAnsi="宋体" w:cs="宋体"/>
          <w:bCs/>
          <w:sz w:val="24"/>
        </w:rPr>
      </w:pPr>
      <w:r>
        <w:rPr>
          <w:rFonts w:hint="eastAsia" w:ascii="宋体" w:hAnsi="宋体" w:cs="宋体"/>
          <w:bCs/>
          <w:sz w:val="24"/>
        </w:rPr>
        <w:t>业绩比较基准变更符合下列条件之一且对基金份额持有人利益无实质性不利影响的，基金管理人应当与基金托管人协商，在新业绩比较基准生效前三十日公告并充分说明变更原因、差异及影响，无需召开基金份额持有人大会：</w:t>
      </w:r>
    </w:p>
    <w:p>
      <w:pPr>
        <w:spacing w:line="360" w:lineRule="auto"/>
        <w:ind w:firstLine="480" w:firstLineChars="200"/>
        <w:rPr>
          <w:rFonts w:ascii="宋体" w:hAnsi="宋体" w:cs="宋体"/>
          <w:bCs/>
          <w:sz w:val="24"/>
        </w:rPr>
      </w:pPr>
      <w:r>
        <w:rPr>
          <w:rFonts w:hint="eastAsia" w:ascii="宋体" w:hAnsi="宋体" w:cs="宋体"/>
          <w:bCs/>
          <w:sz w:val="24"/>
        </w:rPr>
        <w:t>（</w:t>
      </w:r>
      <w:r>
        <w:rPr>
          <w:rFonts w:ascii="宋体" w:hAnsi="宋体" w:cs="宋体"/>
          <w:bCs/>
          <w:sz w:val="24"/>
        </w:rPr>
        <w:t>1）原有业绩比较基准的要素无法持续运作、编制方案发生重大修订等客观因素导致业绩比较基准无法再表征基金产品投资风格，或不再符合基金合同关于投资目标、投资范围、投资策略、投资比例限制等的约定，或与主要的资产类别、国别或地区、市场板块、货币类型等不再匹配；或业绩比较基准的要素不再具备市场代表性；</w:t>
      </w:r>
    </w:p>
    <w:p>
      <w:pPr>
        <w:spacing w:line="360" w:lineRule="auto"/>
        <w:ind w:firstLine="480" w:firstLineChars="200"/>
        <w:rPr>
          <w:rFonts w:ascii="宋体" w:hAnsi="宋体" w:cs="宋体"/>
          <w:bCs/>
          <w:sz w:val="24"/>
        </w:rPr>
      </w:pPr>
      <w:r>
        <w:rPr>
          <w:rFonts w:hint="eastAsia" w:ascii="宋体" w:hAnsi="宋体" w:cs="宋体"/>
          <w:bCs/>
          <w:sz w:val="24"/>
        </w:rPr>
        <w:t>（</w:t>
      </w:r>
      <w:r>
        <w:rPr>
          <w:rFonts w:ascii="宋体" w:hAnsi="宋体" w:cs="宋体"/>
          <w:bCs/>
          <w:sz w:val="24"/>
        </w:rPr>
        <w:t>2）调整业绩比较基准的要素权重、更换相同或相近特征的要素等，使新业绩比较基准代表性更强，且符合相关法律法规规定的；</w:t>
      </w:r>
    </w:p>
    <w:p>
      <w:pPr>
        <w:spacing w:line="360" w:lineRule="auto"/>
        <w:ind w:firstLine="480" w:firstLineChars="200"/>
        <w:rPr>
          <w:rFonts w:ascii="宋体" w:hAnsi="宋体" w:cs="宋体"/>
          <w:bCs/>
          <w:sz w:val="24"/>
        </w:rPr>
      </w:pPr>
      <w:r>
        <w:rPr>
          <w:rFonts w:hint="eastAsia" w:ascii="宋体" w:hAnsi="宋体" w:cs="宋体"/>
          <w:bCs/>
          <w:sz w:val="24"/>
        </w:rPr>
        <w:t>（</w:t>
      </w:r>
      <w:r>
        <w:rPr>
          <w:rFonts w:ascii="宋体" w:hAnsi="宋体" w:cs="宋体"/>
          <w:bCs/>
          <w:sz w:val="24"/>
        </w:rPr>
        <w:t>3）中国证监会认可的其他情形。</w:t>
      </w:r>
    </w:p>
    <w:p>
      <w:pPr>
        <w:spacing w:line="360" w:lineRule="auto"/>
        <w:ind w:firstLine="480" w:firstLineChars="200"/>
        <w:rPr>
          <w:rFonts w:ascii="宋体" w:hAnsi="宋体" w:cs="宋体"/>
          <w:bCs/>
          <w:sz w:val="24"/>
        </w:rPr>
      </w:pPr>
      <w:r>
        <w:rPr>
          <w:rFonts w:hint="eastAsia" w:ascii="宋体" w:hAnsi="宋体" w:cs="宋体"/>
          <w:bCs/>
          <w:sz w:val="24"/>
        </w:rPr>
        <w:t>业绩比较基准变更涉及以下情形的，基金管理人应当按照规定履行变更注册、召开基金份额持有人大会等程序，法律法规、中国证监会另有规定的除外：</w:t>
      </w:r>
    </w:p>
    <w:p>
      <w:pPr>
        <w:spacing w:line="360" w:lineRule="auto"/>
        <w:ind w:firstLine="480" w:firstLineChars="200"/>
        <w:rPr>
          <w:rFonts w:ascii="宋体" w:hAnsi="宋体" w:cs="宋体"/>
          <w:bCs/>
          <w:sz w:val="24"/>
        </w:rPr>
      </w:pPr>
      <w:r>
        <w:rPr>
          <w:rFonts w:hint="eastAsia" w:ascii="宋体" w:hAnsi="宋体" w:cs="宋体"/>
          <w:bCs/>
          <w:sz w:val="24"/>
        </w:rPr>
        <w:t>（</w:t>
      </w:r>
      <w:r>
        <w:rPr>
          <w:rFonts w:ascii="宋体" w:hAnsi="宋体" w:cs="宋体"/>
          <w:bCs/>
          <w:sz w:val="24"/>
        </w:rPr>
        <w:t>1）基金投资目标、投资范围、投资策略、投资比例等拟进行重大调整，并变更业绩比较基准的；</w:t>
      </w:r>
    </w:p>
    <w:p>
      <w:pPr>
        <w:spacing w:line="360" w:lineRule="auto"/>
        <w:ind w:firstLine="480" w:firstLineChars="200"/>
        <w:rPr>
          <w:rFonts w:ascii="宋体" w:hAnsi="宋体" w:cs="宋体"/>
          <w:bCs/>
          <w:sz w:val="24"/>
        </w:rPr>
      </w:pPr>
      <w:r>
        <w:rPr>
          <w:rFonts w:hint="eastAsia" w:ascii="宋体" w:hAnsi="宋体" w:cs="宋体"/>
          <w:bCs/>
          <w:sz w:val="24"/>
        </w:rPr>
        <w:t>（</w:t>
      </w:r>
      <w:r>
        <w:rPr>
          <w:rFonts w:ascii="宋体" w:hAnsi="宋体" w:cs="宋体"/>
          <w:bCs/>
          <w:sz w:val="24"/>
        </w:rPr>
        <w:t>2）其他对基金份额持有人利益产生重大实质性影响的情形。</w:t>
      </w:r>
    </w:p>
    <w:p>
      <w:pPr>
        <w:spacing w:line="360" w:lineRule="auto"/>
        <w:rPr>
          <w:rFonts w:ascii="宋体" w:hAnsi="宋体" w:cs="宋体"/>
          <w:bCs/>
          <w:sz w:val="24"/>
        </w:rPr>
      </w:pPr>
    </w:p>
    <w:p>
      <w:pPr>
        <w:spacing w:line="360" w:lineRule="auto"/>
        <w:ind w:firstLine="482" w:firstLineChars="200"/>
        <w:rPr>
          <w:rFonts w:ascii="宋体" w:hAnsi="宋体" w:cs="宋体"/>
          <w:b/>
          <w:sz w:val="24"/>
        </w:rPr>
      </w:pPr>
      <w:r>
        <w:rPr>
          <w:rFonts w:hint="eastAsia" w:ascii="宋体" w:hAnsi="宋体" w:cs="宋体"/>
          <w:b/>
          <w:sz w:val="24"/>
        </w:rPr>
        <w:t>六、风险收益特征</w:t>
      </w:r>
    </w:p>
    <w:p>
      <w:pPr>
        <w:spacing w:line="360" w:lineRule="auto"/>
        <w:ind w:firstLine="480" w:firstLineChars="200"/>
        <w:rPr>
          <w:rFonts w:ascii="宋体" w:hAnsi="宋体" w:cs="宋体"/>
          <w:bCs/>
          <w:sz w:val="24"/>
        </w:rPr>
      </w:pPr>
      <w:r>
        <w:rPr>
          <w:rFonts w:hint="eastAsia" w:ascii="宋体" w:hAnsi="宋体" w:cs="宋体"/>
          <w:bCs/>
          <w:sz w:val="24"/>
        </w:rPr>
        <w:t>本基金为债券型基金，其长期平均风险和预期收益率低于股票型基金、混合型基金，高于货币市场基金。</w:t>
      </w:r>
    </w:p>
    <w:p>
      <w:pPr>
        <w:spacing w:line="360" w:lineRule="auto"/>
        <w:ind w:firstLine="480" w:firstLineChars="200"/>
        <w:rPr>
          <w:rFonts w:ascii="宋体" w:hAnsi="宋体" w:cs="宋体"/>
          <w:bCs/>
          <w:sz w:val="24"/>
        </w:rPr>
      </w:pPr>
    </w:p>
    <w:p>
      <w:pPr>
        <w:spacing w:line="360" w:lineRule="auto"/>
        <w:ind w:firstLine="482" w:firstLineChars="200"/>
        <w:rPr>
          <w:rFonts w:ascii="宋体" w:hAnsi="宋体" w:cs="宋体"/>
          <w:b/>
          <w:sz w:val="24"/>
        </w:rPr>
      </w:pPr>
      <w:r>
        <w:rPr>
          <w:rFonts w:hint="eastAsia" w:ascii="宋体" w:hAnsi="宋体" w:cs="宋体"/>
          <w:b/>
          <w:sz w:val="24"/>
        </w:rPr>
        <w:t>七、基金管理人代表基金行使</w:t>
      </w:r>
      <w:r>
        <w:rPr>
          <w:rFonts w:ascii="宋体" w:hAnsi="宋体" w:cs="宋体"/>
          <w:b/>
          <w:sz w:val="24"/>
        </w:rPr>
        <w:t>相关</w:t>
      </w:r>
      <w:r>
        <w:rPr>
          <w:rFonts w:hint="eastAsia" w:ascii="宋体" w:hAnsi="宋体" w:cs="宋体"/>
          <w:b/>
          <w:sz w:val="24"/>
        </w:rPr>
        <w:t>权利的处理原则及方法</w:t>
      </w:r>
    </w:p>
    <w:p>
      <w:pPr>
        <w:spacing w:line="360" w:lineRule="auto"/>
        <w:ind w:firstLine="480" w:firstLineChars="200"/>
        <w:rPr>
          <w:rFonts w:ascii="宋体" w:hAnsi="宋体" w:cs="宋体"/>
          <w:bCs/>
          <w:sz w:val="24"/>
        </w:rPr>
      </w:pPr>
      <w:r>
        <w:rPr>
          <w:rFonts w:hint="eastAsia" w:ascii="宋体" w:hAnsi="宋体" w:cs="宋体"/>
          <w:bCs/>
          <w:sz w:val="24"/>
        </w:rPr>
        <w:t xml:space="preserve">1、基金管理人按照国家有关规定代表基金独立行使相关权利，保护基金份额持有人的利益； </w:t>
      </w:r>
    </w:p>
    <w:p>
      <w:pPr>
        <w:spacing w:line="360" w:lineRule="auto"/>
        <w:ind w:firstLine="480" w:firstLineChars="200"/>
        <w:rPr>
          <w:rFonts w:ascii="宋体" w:hAnsi="宋体" w:cs="宋体"/>
          <w:bCs/>
          <w:sz w:val="24"/>
        </w:rPr>
      </w:pPr>
      <w:r>
        <w:rPr>
          <w:rFonts w:hint="eastAsia" w:ascii="宋体" w:hAnsi="宋体" w:cs="宋体"/>
          <w:bCs/>
          <w:sz w:val="24"/>
        </w:rPr>
        <w:t xml:space="preserve">2、有利于基金财产的安全与增值； </w:t>
      </w:r>
    </w:p>
    <w:p>
      <w:pPr>
        <w:spacing w:line="360" w:lineRule="auto"/>
        <w:ind w:firstLine="480" w:firstLineChars="200"/>
        <w:rPr>
          <w:rFonts w:ascii="宋体" w:hAnsi="宋体" w:cs="宋体"/>
          <w:bCs/>
          <w:sz w:val="24"/>
        </w:rPr>
      </w:pPr>
      <w:r>
        <w:rPr>
          <w:rFonts w:hint="eastAsia" w:ascii="宋体" w:hAnsi="宋体" w:cs="宋体"/>
          <w:bCs/>
          <w:sz w:val="24"/>
        </w:rPr>
        <w:t>3、不通过关联交易为自身、雇员、授权代理人或任何存在利害关系的第三人牟取任何不当利益。</w:t>
      </w:r>
    </w:p>
    <w:p>
      <w:pPr>
        <w:spacing w:line="360" w:lineRule="auto"/>
        <w:ind w:firstLine="480" w:firstLineChars="200"/>
        <w:rPr>
          <w:rFonts w:ascii="宋体" w:hAnsi="宋体" w:cs="宋体"/>
          <w:bCs/>
          <w:sz w:val="24"/>
        </w:rPr>
      </w:pPr>
    </w:p>
    <w:p>
      <w:pPr>
        <w:spacing w:line="360" w:lineRule="auto"/>
        <w:rPr>
          <w:rFonts w:ascii="宋体" w:hAnsi="宋体" w:cs="宋体"/>
          <w:bCs/>
          <w:sz w:val="24"/>
        </w:rPr>
      </w:pPr>
      <w:r>
        <w:rPr>
          <w:rFonts w:hint="eastAsia" w:ascii="宋体" w:hAnsi="宋体" w:cs="宋体"/>
          <w:bCs/>
          <w:sz w:val="24"/>
        </w:rPr>
        <w:t xml:space="preserve">                                                               </w:t>
      </w:r>
    </w:p>
    <w:p>
      <w:pPr>
        <w:rPr>
          <w:rFonts w:ascii="宋体" w:hAnsi="宋体" w:cs="宋体"/>
          <w:bCs/>
          <w:sz w:val="24"/>
        </w:rPr>
      </w:pPr>
    </w:p>
    <w:p>
      <w:pPr>
        <w:jc w:val="center"/>
        <w:rPr>
          <w:rFonts w:ascii="宋体" w:hAnsi="宋体" w:cs="宋体"/>
          <w:bCs/>
          <w:kern w:val="44"/>
        </w:rPr>
      </w:pPr>
      <w:r>
        <w:rPr>
          <w:rFonts w:hint="eastAsia" w:ascii="宋体" w:hAnsi="宋体" w:cs="宋体"/>
          <w:bCs/>
          <w:kern w:val="44"/>
        </w:rPr>
        <w:br w:type="page"/>
      </w:r>
    </w:p>
    <w:p>
      <w:pPr>
        <w:pStyle w:val="2"/>
        <w:spacing w:before="0" w:after="0"/>
        <w:jc w:val="center"/>
        <w:rPr>
          <w:rFonts w:hAnsi="宋体" w:cs="宋体"/>
          <w:color w:val="auto"/>
          <w:sz w:val="30"/>
        </w:rPr>
      </w:pPr>
      <w:bookmarkStart w:id="367" w:name="_Toc93226145"/>
      <w:bookmarkStart w:id="368" w:name="_Toc92662704"/>
      <w:bookmarkStart w:id="369" w:name="_Toc13819"/>
      <w:bookmarkStart w:id="370" w:name="_Toc24474"/>
      <w:bookmarkStart w:id="371" w:name="_Toc18000"/>
      <w:bookmarkStart w:id="372" w:name="_Toc21642"/>
      <w:bookmarkStart w:id="373" w:name="_Toc32030"/>
      <w:bookmarkStart w:id="374" w:name="_Toc139991743"/>
      <w:bookmarkStart w:id="375" w:name="_Toc141703893"/>
      <w:bookmarkStart w:id="376" w:name="_Toc128310496"/>
      <w:bookmarkStart w:id="377" w:name="_Toc20102"/>
      <w:bookmarkStart w:id="378" w:name="_Toc20782"/>
      <w:bookmarkStart w:id="379" w:name="_Toc26114"/>
      <w:bookmarkStart w:id="380" w:name="_Toc29561"/>
      <w:bookmarkStart w:id="381" w:name="_Toc3054"/>
      <w:bookmarkStart w:id="382" w:name="_Toc18572"/>
      <w:bookmarkStart w:id="383" w:name="_Toc31611"/>
      <w:r>
        <w:rPr>
          <w:rFonts w:hint="eastAsia" w:hAnsi="宋体" w:cs="宋体"/>
          <w:color w:val="auto"/>
          <w:sz w:val="30"/>
        </w:rPr>
        <w:t>第十三部分  基金</w:t>
      </w:r>
      <w:bookmarkEnd w:id="367"/>
      <w:bookmarkEnd w:id="368"/>
      <w:r>
        <w:rPr>
          <w:rFonts w:hint="eastAsia" w:hAnsi="宋体" w:cs="宋体"/>
          <w:color w:val="auto"/>
          <w:sz w:val="30"/>
        </w:rPr>
        <w:t>的财产</w:t>
      </w:r>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p>
    <w:p>
      <w:pPr>
        <w:spacing w:line="360" w:lineRule="auto"/>
        <w:ind w:firstLine="480" w:firstLineChars="200"/>
        <w:rPr>
          <w:rFonts w:ascii="宋体" w:hAnsi="宋体" w:cs="宋体"/>
          <w:bCs/>
          <w:sz w:val="24"/>
        </w:rPr>
      </w:pPr>
    </w:p>
    <w:p>
      <w:pPr>
        <w:spacing w:line="360" w:lineRule="auto"/>
        <w:ind w:firstLine="482" w:firstLineChars="200"/>
        <w:rPr>
          <w:rFonts w:ascii="宋体" w:hAnsi="宋体" w:cs="宋体"/>
          <w:b/>
          <w:sz w:val="24"/>
        </w:rPr>
      </w:pPr>
      <w:bookmarkStart w:id="384" w:name="OLE_LINK69"/>
      <w:bookmarkStart w:id="385" w:name="OLE_LINK70"/>
      <w:r>
        <w:rPr>
          <w:rFonts w:hint="eastAsia" w:ascii="宋体" w:hAnsi="宋体" w:cs="宋体"/>
          <w:b/>
          <w:sz w:val="24"/>
        </w:rPr>
        <w:t>一、基金资产总值</w:t>
      </w:r>
    </w:p>
    <w:p>
      <w:pPr>
        <w:spacing w:line="360" w:lineRule="auto"/>
        <w:ind w:firstLine="480" w:firstLineChars="200"/>
        <w:rPr>
          <w:rFonts w:ascii="宋体" w:hAnsi="宋体" w:cs="宋体"/>
          <w:bCs/>
          <w:sz w:val="24"/>
        </w:rPr>
      </w:pPr>
      <w:bookmarkStart w:id="386" w:name="OLE_LINK175"/>
      <w:bookmarkStart w:id="387" w:name="OLE_LINK174"/>
      <w:r>
        <w:rPr>
          <w:rFonts w:hint="eastAsia" w:ascii="宋体" w:hAnsi="宋体" w:cs="宋体"/>
          <w:bCs/>
          <w:sz w:val="24"/>
        </w:rPr>
        <w:t>基金资产总值是指基金拥有的各类有价证券、银行存款本息、基金应收款项及其他资产的价值总和。</w:t>
      </w:r>
    </w:p>
    <w:bookmarkEnd w:id="386"/>
    <w:bookmarkEnd w:id="387"/>
    <w:p>
      <w:pPr>
        <w:spacing w:line="360" w:lineRule="auto"/>
        <w:ind w:firstLine="480" w:firstLineChars="200"/>
        <w:rPr>
          <w:rFonts w:ascii="宋体" w:hAnsi="宋体" w:cs="宋体"/>
          <w:bCs/>
          <w:sz w:val="24"/>
        </w:rPr>
      </w:pPr>
    </w:p>
    <w:p>
      <w:pPr>
        <w:spacing w:line="360" w:lineRule="auto"/>
        <w:ind w:firstLine="482" w:firstLineChars="200"/>
        <w:rPr>
          <w:rFonts w:ascii="宋体" w:hAnsi="宋体" w:cs="宋体"/>
          <w:b/>
          <w:sz w:val="24"/>
        </w:rPr>
      </w:pPr>
      <w:r>
        <w:rPr>
          <w:rFonts w:hint="eastAsia" w:ascii="宋体" w:hAnsi="宋体" w:cs="宋体"/>
          <w:b/>
          <w:sz w:val="24"/>
        </w:rPr>
        <w:t>二、基金资产净值</w:t>
      </w:r>
    </w:p>
    <w:p>
      <w:pPr>
        <w:spacing w:line="360" w:lineRule="auto"/>
        <w:ind w:firstLine="480" w:firstLineChars="200"/>
        <w:rPr>
          <w:rFonts w:ascii="宋体" w:hAnsi="宋体" w:cs="宋体"/>
          <w:bCs/>
          <w:sz w:val="24"/>
        </w:rPr>
      </w:pPr>
      <w:bookmarkStart w:id="388" w:name="OLE_LINK275"/>
      <w:bookmarkStart w:id="389" w:name="OLE_LINK274"/>
      <w:r>
        <w:rPr>
          <w:rFonts w:hint="eastAsia" w:ascii="宋体" w:hAnsi="宋体" w:cs="宋体"/>
          <w:bCs/>
          <w:sz w:val="24"/>
        </w:rPr>
        <w:t>基金资产净值是指基金资产总值减去基金负债后的价值。</w:t>
      </w:r>
    </w:p>
    <w:bookmarkEnd w:id="388"/>
    <w:bookmarkEnd w:id="389"/>
    <w:p>
      <w:pPr>
        <w:spacing w:line="360" w:lineRule="auto"/>
        <w:ind w:firstLine="480" w:firstLineChars="200"/>
        <w:rPr>
          <w:rFonts w:ascii="宋体" w:hAnsi="宋体" w:cs="宋体"/>
          <w:bCs/>
          <w:sz w:val="24"/>
        </w:rPr>
      </w:pPr>
    </w:p>
    <w:p>
      <w:pPr>
        <w:spacing w:line="360" w:lineRule="auto"/>
        <w:ind w:firstLine="482" w:firstLineChars="200"/>
        <w:rPr>
          <w:rFonts w:ascii="宋体" w:hAnsi="宋体" w:cs="宋体"/>
          <w:b/>
          <w:sz w:val="24"/>
        </w:rPr>
      </w:pPr>
      <w:r>
        <w:rPr>
          <w:rFonts w:hint="eastAsia" w:ascii="宋体" w:hAnsi="宋体" w:cs="宋体"/>
          <w:b/>
          <w:sz w:val="24"/>
        </w:rPr>
        <w:t>三、基金财产的账户</w:t>
      </w:r>
    </w:p>
    <w:p>
      <w:pPr>
        <w:spacing w:line="360" w:lineRule="auto"/>
        <w:ind w:firstLine="480" w:firstLineChars="200"/>
        <w:rPr>
          <w:rFonts w:ascii="宋体" w:hAnsi="宋体" w:cs="宋体"/>
          <w:bCs/>
          <w:sz w:val="24"/>
        </w:rPr>
      </w:pPr>
      <w:bookmarkStart w:id="390" w:name="OLE_LINK180"/>
      <w:bookmarkStart w:id="391" w:name="OLE_LINK181"/>
      <w:r>
        <w:rPr>
          <w:rFonts w:hint="eastAsia" w:ascii="宋体" w:hAnsi="宋体" w:cs="宋体"/>
          <w:bCs/>
          <w:sz w:val="24"/>
        </w:rPr>
        <w:t>基金托管人根据相关法律法规、规范性文件为本基金开立资金账户、证券账 户以及投资所需的其他专用账户。开立的基金专用账户与基金管理人、基金托管 人、基金销售机构和基金登记机构自有的财产账户以及其他基金财产账户相独 立。证券经纪商</w:t>
      </w:r>
      <w:bookmarkStart w:id="392" w:name="OLE_LINK179"/>
      <w:bookmarkStart w:id="393" w:name="OLE_LINK178"/>
      <w:r>
        <w:rPr>
          <w:rFonts w:hint="eastAsia" w:ascii="宋体" w:hAnsi="宋体" w:cs="宋体"/>
          <w:bCs/>
          <w:sz w:val="24"/>
        </w:rPr>
        <w:t>根据相关法律法规规定及相关协议约定为本基</w:t>
      </w:r>
      <w:bookmarkEnd w:id="392"/>
      <w:bookmarkEnd w:id="393"/>
      <w:r>
        <w:rPr>
          <w:rFonts w:hint="eastAsia" w:ascii="宋体" w:hAnsi="宋体" w:cs="宋体"/>
          <w:bCs/>
          <w:sz w:val="24"/>
        </w:rPr>
        <w:t>金开立相关资金账户。</w:t>
      </w:r>
    </w:p>
    <w:bookmarkEnd w:id="390"/>
    <w:bookmarkEnd w:id="391"/>
    <w:p>
      <w:pPr>
        <w:spacing w:line="360" w:lineRule="auto"/>
        <w:rPr>
          <w:rFonts w:ascii="宋体" w:hAnsi="宋体" w:cs="宋体"/>
          <w:bCs/>
          <w:sz w:val="24"/>
        </w:rPr>
      </w:pPr>
    </w:p>
    <w:p>
      <w:pPr>
        <w:spacing w:line="360" w:lineRule="auto"/>
        <w:ind w:firstLine="482" w:firstLineChars="200"/>
        <w:rPr>
          <w:rFonts w:ascii="宋体" w:hAnsi="宋体" w:cs="宋体"/>
          <w:b/>
          <w:sz w:val="24"/>
        </w:rPr>
      </w:pPr>
      <w:r>
        <w:rPr>
          <w:rFonts w:hint="eastAsia" w:ascii="宋体" w:hAnsi="宋体" w:cs="宋体"/>
          <w:b/>
          <w:sz w:val="24"/>
        </w:rPr>
        <w:t>四、基金财产的保管和处分</w:t>
      </w:r>
      <w:bookmarkStart w:id="394" w:name="_Hlt88900062"/>
      <w:bookmarkEnd w:id="394"/>
    </w:p>
    <w:p>
      <w:pPr>
        <w:spacing w:line="360" w:lineRule="auto"/>
        <w:ind w:firstLine="480" w:firstLineChars="200"/>
        <w:rPr>
          <w:rFonts w:ascii="宋体" w:hAnsi="宋体" w:cs="宋体"/>
          <w:bCs/>
          <w:sz w:val="24"/>
        </w:rPr>
      </w:pPr>
      <w:r>
        <w:rPr>
          <w:rFonts w:hint="eastAsia" w:ascii="宋体" w:hAnsi="宋体" w:cs="宋体"/>
          <w:bCs/>
          <w:sz w:val="24"/>
        </w:rPr>
        <w:t>本基金财产独立于基金管理人、基金托管人、证券经纪商和基金销售机构等基金服务</w:t>
      </w:r>
      <w:r>
        <w:rPr>
          <w:rFonts w:hint="eastAsia" w:ascii="宋体" w:hAnsi="宋体" w:cs="宋体"/>
          <w:sz w:val="24"/>
        </w:rPr>
        <w:t>机构</w:t>
      </w:r>
      <w:r>
        <w:rPr>
          <w:rFonts w:hint="eastAsia" w:ascii="宋体" w:hAnsi="宋体" w:cs="宋体"/>
          <w:bCs/>
          <w:sz w:val="24"/>
        </w:rPr>
        <w:t>的财产，并由基金托管人保管。基金管理人、基金托管人、证券经纪商、基金登记机构和基金销售机构等基金服务</w:t>
      </w:r>
      <w:r>
        <w:rPr>
          <w:rFonts w:hint="eastAsia" w:ascii="宋体" w:hAnsi="宋体" w:cs="宋体"/>
          <w:sz w:val="24"/>
        </w:rPr>
        <w:t>机构</w:t>
      </w:r>
      <w:r>
        <w:rPr>
          <w:rFonts w:hint="eastAsia" w:ascii="宋体" w:hAnsi="宋体" w:cs="宋体"/>
          <w:bCs/>
          <w:sz w:val="24"/>
        </w:rPr>
        <w:t>以其自有的财产承担其自身的法律责任，其债权人不得对本基金财产行使请求冻结、扣押或其他权利。除依法律法规和《基金合同》的规定处分外，基金财产不得被处分。</w:t>
      </w:r>
    </w:p>
    <w:p>
      <w:pPr>
        <w:spacing w:line="360" w:lineRule="auto"/>
        <w:ind w:firstLine="480" w:firstLineChars="200"/>
        <w:rPr>
          <w:rFonts w:ascii="宋体" w:hAnsi="宋体" w:cs="宋体"/>
          <w:bCs/>
          <w:sz w:val="24"/>
        </w:rPr>
      </w:pPr>
      <w:r>
        <w:rPr>
          <w:rFonts w:hint="eastAsia" w:ascii="宋体" w:hAnsi="宋体" w:cs="宋体"/>
          <w:bCs/>
          <w:sz w:val="24"/>
        </w:rPr>
        <w:t>基金管理人、基金托管人、证券经纪商因依法解散、被依法撤销或者被依法宣告破产等原因进行清算的，基金财产不属于其清算财产。基金管理人管理运作基金财产所产生的债权，不得与其固有资产产生的债务相互抵销；基金管理人管理运作不同基金的基金财产所产生的债权债务不得相互抵销。非因基金财产本身承担的债务，不得对基金财产强制执行。</w:t>
      </w:r>
    </w:p>
    <w:p>
      <w:pPr>
        <w:pStyle w:val="2"/>
        <w:spacing w:before="0" w:after="0"/>
        <w:jc w:val="center"/>
        <w:rPr>
          <w:rFonts w:hAnsi="宋体" w:cs="宋体"/>
          <w:color w:val="auto"/>
          <w:sz w:val="30"/>
        </w:rPr>
      </w:pPr>
      <w:r>
        <w:rPr>
          <w:rFonts w:hint="eastAsia" w:hAnsi="宋体" w:cs="宋体"/>
          <w:b w:val="0"/>
          <w:bCs/>
          <w:color w:val="auto"/>
          <w:kern w:val="44"/>
          <w:sz w:val="21"/>
        </w:rPr>
        <w:br w:type="page"/>
      </w:r>
      <w:bookmarkStart w:id="395" w:name="_Toc31917"/>
      <w:bookmarkStart w:id="396" w:name="_Toc2623"/>
      <w:bookmarkStart w:id="397" w:name="_Toc20103"/>
      <w:bookmarkStart w:id="398" w:name="_Toc17782"/>
      <w:bookmarkStart w:id="399" w:name="_Toc27832"/>
      <w:bookmarkStart w:id="400" w:name="_Toc7802"/>
      <w:bookmarkStart w:id="401" w:name="_Toc19714"/>
      <w:bookmarkStart w:id="402" w:name="_Toc871"/>
      <w:bookmarkStart w:id="403" w:name="_Toc139991744"/>
      <w:bookmarkStart w:id="404" w:name="_Toc141703894"/>
      <w:r>
        <w:rPr>
          <w:rFonts w:hint="eastAsia" w:hAnsi="宋体" w:cs="宋体"/>
          <w:color w:val="auto"/>
          <w:sz w:val="30"/>
        </w:rPr>
        <w:t>第十四部分  基金资产估值</w:t>
      </w:r>
      <w:bookmarkEnd w:id="395"/>
      <w:bookmarkEnd w:id="396"/>
      <w:bookmarkEnd w:id="397"/>
      <w:bookmarkEnd w:id="398"/>
      <w:bookmarkEnd w:id="399"/>
      <w:bookmarkEnd w:id="400"/>
      <w:bookmarkEnd w:id="401"/>
      <w:bookmarkEnd w:id="402"/>
    </w:p>
    <w:p>
      <w:pPr>
        <w:spacing w:line="360" w:lineRule="auto"/>
        <w:ind w:firstLine="480" w:firstLineChars="200"/>
        <w:rPr>
          <w:rFonts w:ascii="宋体" w:hAnsi="宋体" w:cs="宋体"/>
          <w:bCs/>
          <w:sz w:val="24"/>
        </w:rPr>
      </w:pPr>
    </w:p>
    <w:bookmarkEnd w:id="403"/>
    <w:bookmarkEnd w:id="404"/>
    <w:p>
      <w:pPr>
        <w:spacing w:line="360" w:lineRule="auto"/>
        <w:ind w:firstLine="482" w:firstLineChars="200"/>
        <w:rPr>
          <w:rFonts w:ascii="宋体" w:hAnsi="宋体" w:cs="宋体"/>
          <w:b/>
          <w:sz w:val="24"/>
        </w:rPr>
      </w:pPr>
      <w:bookmarkStart w:id="405" w:name="_Toc32046"/>
      <w:bookmarkStart w:id="406" w:name="_Toc139991745"/>
      <w:bookmarkStart w:id="407" w:name="_Toc141703895"/>
      <w:r>
        <w:rPr>
          <w:rFonts w:hint="eastAsia" w:ascii="宋体" w:hAnsi="宋体" w:cs="宋体"/>
          <w:b/>
          <w:sz w:val="24"/>
        </w:rPr>
        <w:t>一、估值日</w:t>
      </w:r>
    </w:p>
    <w:p>
      <w:pPr>
        <w:spacing w:line="360" w:lineRule="auto"/>
        <w:ind w:firstLine="480" w:firstLineChars="200"/>
        <w:rPr>
          <w:rFonts w:ascii="宋体" w:hAnsi="宋体" w:cs="宋体"/>
          <w:bCs/>
          <w:sz w:val="24"/>
        </w:rPr>
      </w:pPr>
      <w:r>
        <w:rPr>
          <w:rFonts w:hint="eastAsia" w:ascii="宋体" w:hAnsi="宋体" w:cs="宋体"/>
          <w:bCs/>
          <w:sz w:val="24"/>
        </w:rPr>
        <w:t>本基金的估值日为本基金相关的证券交易场所的交易日以及国家法律法规规定需要对外披露基金净值的非交易日。</w:t>
      </w:r>
    </w:p>
    <w:p>
      <w:pPr>
        <w:spacing w:line="360" w:lineRule="auto"/>
        <w:ind w:firstLine="480" w:firstLineChars="200"/>
        <w:rPr>
          <w:rFonts w:ascii="宋体" w:hAnsi="宋体" w:cs="宋体"/>
          <w:bCs/>
          <w:sz w:val="24"/>
        </w:rPr>
      </w:pPr>
    </w:p>
    <w:p>
      <w:pPr>
        <w:spacing w:line="360" w:lineRule="auto"/>
        <w:ind w:firstLine="482" w:firstLineChars="200"/>
        <w:rPr>
          <w:rFonts w:ascii="宋体" w:hAnsi="宋体" w:cs="宋体"/>
          <w:b/>
          <w:sz w:val="24"/>
        </w:rPr>
      </w:pPr>
      <w:r>
        <w:rPr>
          <w:rFonts w:hint="eastAsia" w:ascii="宋体" w:hAnsi="宋体" w:cs="宋体"/>
          <w:b/>
          <w:sz w:val="24"/>
        </w:rPr>
        <w:t>二、估值对象</w:t>
      </w:r>
    </w:p>
    <w:p>
      <w:pPr>
        <w:spacing w:line="360" w:lineRule="auto"/>
        <w:ind w:firstLine="480" w:firstLineChars="200"/>
        <w:rPr>
          <w:rFonts w:ascii="宋体" w:hAnsi="宋体" w:cs="宋体"/>
          <w:bCs/>
          <w:sz w:val="24"/>
        </w:rPr>
      </w:pPr>
      <w:r>
        <w:rPr>
          <w:rFonts w:hint="eastAsia" w:ascii="宋体" w:hAnsi="宋体" w:cs="宋体"/>
          <w:bCs/>
          <w:sz w:val="24"/>
        </w:rPr>
        <w:t>基金所拥有的债券、资产支持证券、银行存款本息、应收款项、其它投资等资产及负债。</w:t>
      </w:r>
    </w:p>
    <w:p>
      <w:pPr>
        <w:spacing w:line="360" w:lineRule="auto"/>
        <w:ind w:firstLine="480" w:firstLineChars="200"/>
        <w:rPr>
          <w:rFonts w:ascii="宋体" w:hAnsi="宋体" w:cs="宋体"/>
          <w:bCs/>
          <w:sz w:val="24"/>
        </w:rPr>
      </w:pPr>
    </w:p>
    <w:p>
      <w:pPr>
        <w:spacing w:line="360" w:lineRule="auto"/>
        <w:ind w:firstLine="482" w:firstLineChars="200"/>
        <w:rPr>
          <w:rFonts w:ascii="宋体" w:hAnsi="宋体" w:cs="宋体"/>
          <w:b/>
          <w:sz w:val="24"/>
        </w:rPr>
      </w:pPr>
      <w:bookmarkStart w:id="408" w:name="OLE_LINK7"/>
      <w:bookmarkStart w:id="409" w:name="OLE_LINK6"/>
      <w:r>
        <w:rPr>
          <w:rFonts w:ascii="宋体" w:hAnsi="宋体" w:cs="宋体"/>
          <w:b/>
          <w:sz w:val="24"/>
        </w:rPr>
        <w:t>三</w:t>
      </w:r>
      <w:r>
        <w:rPr>
          <w:rFonts w:hint="eastAsia" w:ascii="宋体" w:hAnsi="宋体" w:cs="宋体"/>
          <w:b/>
          <w:sz w:val="24"/>
        </w:rPr>
        <w:t>、估值方法</w:t>
      </w:r>
    </w:p>
    <w:p>
      <w:pPr>
        <w:spacing w:line="360" w:lineRule="auto"/>
        <w:ind w:firstLine="480" w:firstLineChars="200"/>
        <w:rPr>
          <w:rFonts w:ascii="宋体" w:hAnsi="宋体" w:cs="宋体"/>
          <w:bCs/>
          <w:sz w:val="24"/>
        </w:rPr>
      </w:pPr>
      <w:r>
        <w:rPr>
          <w:rFonts w:hint="eastAsia" w:ascii="宋体" w:hAnsi="宋体" w:cs="宋体"/>
          <w:bCs/>
          <w:sz w:val="24"/>
        </w:rPr>
        <w:t>1、本基金估值采用摊余成本法，即估值对象以买入成本列示，按票面利率或协议利率并考虑其买入时的溢价与折价，在其剩余存续期内按照实际利率法进 行摊销，确认利息收入并评估减值准备。本基金不采用市场利率和上市交易的债 券和票据的市价计算基金资产净值。</w:t>
      </w:r>
    </w:p>
    <w:p>
      <w:pPr>
        <w:spacing w:line="360" w:lineRule="auto"/>
        <w:ind w:firstLine="480" w:firstLineChars="200"/>
        <w:rPr>
          <w:rFonts w:ascii="宋体" w:hAnsi="宋体" w:cs="宋体"/>
          <w:bCs/>
          <w:sz w:val="24"/>
        </w:rPr>
      </w:pPr>
      <w:r>
        <w:rPr>
          <w:rFonts w:hint="eastAsia" w:ascii="宋体" w:hAnsi="宋体" w:cs="宋体"/>
          <w:bCs/>
          <w:sz w:val="24"/>
        </w:rPr>
        <w:t>2、债券回购以协议成本列示，按协议商定利率在实际持有期内逐日计提利 息。</w:t>
      </w:r>
    </w:p>
    <w:p>
      <w:pPr>
        <w:spacing w:line="360" w:lineRule="auto"/>
        <w:ind w:firstLine="480" w:firstLineChars="200"/>
        <w:rPr>
          <w:rFonts w:ascii="宋体" w:hAnsi="宋体" w:cs="宋体"/>
          <w:bCs/>
          <w:sz w:val="24"/>
        </w:rPr>
      </w:pPr>
      <w:r>
        <w:rPr>
          <w:rFonts w:hint="eastAsia" w:ascii="宋体" w:hAnsi="宋体" w:cs="宋体"/>
          <w:bCs/>
          <w:sz w:val="24"/>
        </w:rPr>
        <w:t>3、银行存款以本金列示，按银行实际协议利率逐日计提利息。</w:t>
      </w:r>
    </w:p>
    <w:p>
      <w:pPr>
        <w:spacing w:line="360" w:lineRule="auto"/>
        <w:ind w:firstLine="480" w:firstLineChars="200"/>
        <w:rPr>
          <w:rFonts w:ascii="宋体" w:hAnsi="宋体" w:cs="宋体"/>
          <w:bCs/>
          <w:sz w:val="24"/>
        </w:rPr>
      </w:pPr>
      <w:r>
        <w:rPr>
          <w:rFonts w:hint="eastAsia" w:ascii="宋体" w:hAnsi="宋体" w:cs="宋体"/>
          <w:bCs/>
          <w:sz w:val="24"/>
        </w:rPr>
        <w:t>4、基金应当按照企业会计准则的要求，评估金融资产是否发生减值，如有客观证据表明发生减值的，应当计提减值准备。</w:t>
      </w:r>
    </w:p>
    <w:p>
      <w:pPr>
        <w:spacing w:line="360" w:lineRule="auto"/>
        <w:ind w:firstLine="480" w:firstLineChars="200"/>
        <w:rPr>
          <w:rFonts w:ascii="宋体" w:hAnsi="宋体" w:cs="宋体"/>
          <w:bCs/>
          <w:sz w:val="24"/>
        </w:rPr>
      </w:pPr>
      <w:r>
        <w:rPr>
          <w:rFonts w:hint="eastAsia" w:ascii="宋体" w:hAnsi="宋体" w:cs="宋体"/>
          <w:bCs/>
          <w:sz w:val="24"/>
        </w:rPr>
        <w:t>5、如有确凿证据表明本基金在封闭期内买入持有至到期的投资策略发生变 化或其他原因，</w:t>
      </w:r>
      <w:r>
        <w:rPr>
          <w:rFonts w:ascii="宋体" w:hAnsi="宋体" w:cs="宋体"/>
          <w:bCs/>
          <w:sz w:val="24"/>
        </w:rPr>
        <w:t>导致按原有摊余成本法估值不能客观反映上述资产或负债的公允价值的</w:t>
      </w:r>
      <w:r>
        <w:rPr>
          <w:rFonts w:hint="eastAsia" w:ascii="宋体" w:hAnsi="宋体" w:cs="宋体"/>
          <w:bCs/>
          <w:sz w:val="24"/>
        </w:rPr>
        <w:t>，基金管理人可根据具体情况与基金托管人商定后，按最能反映上述资产的公允价值的方法估值。为最大限度保护持有人利益，基金管理人可采用的风险控制手段包括但不限于：处置信用风险显著增加的固定收益品种、及时评估和计提固定收益品种减值损失等。</w:t>
      </w:r>
    </w:p>
    <w:p>
      <w:pPr>
        <w:spacing w:line="360" w:lineRule="auto"/>
        <w:ind w:firstLine="480" w:firstLineChars="200"/>
        <w:rPr>
          <w:rFonts w:ascii="宋体" w:hAnsi="宋体" w:cs="宋体"/>
          <w:bCs/>
          <w:sz w:val="24"/>
        </w:rPr>
      </w:pPr>
      <w:r>
        <w:rPr>
          <w:rFonts w:ascii="宋体" w:hAnsi="宋体" w:cs="宋体"/>
          <w:bCs/>
          <w:sz w:val="24"/>
        </w:rPr>
        <w:t>6</w:t>
      </w:r>
      <w:r>
        <w:rPr>
          <w:rFonts w:hint="eastAsia" w:ascii="宋体" w:hAnsi="宋体" w:cs="宋体"/>
          <w:bCs/>
          <w:sz w:val="24"/>
        </w:rPr>
        <w:t>、本基金</w:t>
      </w:r>
      <w:bookmarkStart w:id="410" w:name="OLE_LINK186"/>
      <w:bookmarkStart w:id="411" w:name="OLE_LINK187"/>
      <w:r>
        <w:rPr>
          <w:rFonts w:hint="eastAsia" w:ascii="宋体" w:hAnsi="宋体" w:cs="宋体"/>
          <w:bCs/>
          <w:sz w:val="24"/>
        </w:rPr>
        <w:t>不采用</w:t>
      </w:r>
      <w:bookmarkStart w:id="412" w:name="OLE_LINK189"/>
      <w:bookmarkStart w:id="413" w:name="OLE_LINK188"/>
      <w:r>
        <w:rPr>
          <w:rFonts w:hint="eastAsia" w:ascii="宋体" w:hAnsi="宋体" w:cs="宋体"/>
          <w:bCs/>
          <w:sz w:val="24"/>
        </w:rPr>
        <w:t>固定单位</w:t>
      </w:r>
      <w:bookmarkEnd w:id="410"/>
      <w:bookmarkEnd w:id="411"/>
      <w:r>
        <w:rPr>
          <w:rFonts w:hint="eastAsia" w:ascii="宋体" w:hAnsi="宋体" w:cs="宋体"/>
          <w:bCs/>
          <w:sz w:val="24"/>
        </w:rPr>
        <w:t>基金份额净值</w:t>
      </w:r>
      <w:bookmarkEnd w:id="412"/>
      <w:bookmarkEnd w:id="413"/>
      <w:r>
        <w:rPr>
          <w:rFonts w:hint="eastAsia" w:ascii="宋体" w:hAnsi="宋体" w:cs="宋体"/>
          <w:bCs/>
          <w:sz w:val="24"/>
        </w:rPr>
        <w:t>。</w:t>
      </w:r>
    </w:p>
    <w:p>
      <w:pPr>
        <w:spacing w:line="360" w:lineRule="auto"/>
        <w:ind w:firstLine="480" w:firstLineChars="200"/>
        <w:rPr>
          <w:rFonts w:ascii="宋体" w:hAnsi="宋体" w:cs="宋体"/>
          <w:bCs/>
          <w:sz w:val="24"/>
        </w:rPr>
      </w:pPr>
      <w:r>
        <w:rPr>
          <w:rFonts w:hint="eastAsia" w:ascii="宋体" w:hAnsi="宋体" w:cs="宋体"/>
          <w:bCs/>
          <w:sz w:val="24"/>
        </w:rPr>
        <w:t>7、相关法律法规以及监管部门、自律规则另有规定的，从其规定。如有新增事项，按国家最新规定估值。</w:t>
      </w:r>
    </w:p>
    <w:p>
      <w:pPr>
        <w:spacing w:line="360" w:lineRule="auto"/>
        <w:ind w:firstLine="480" w:firstLineChars="200"/>
        <w:rPr>
          <w:rFonts w:ascii="宋体" w:hAnsi="宋体" w:cs="宋体"/>
          <w:bCs/>
          <w:sz w:val="24"/>
        </w:rPr>
      </w:pPr>
      <w:r>
        <w:rPr>
          <w:rFonts w:hint="eastAsia" w:ascii="宋体" w:hAnsi="宋体" w:cs="宋体"/>
          <w:bCs/>
          <w:sz w:val="24"/>
        </w:rPr>
        <w:t>如基金管理人或基金托管人发现基金估值违反基金合同订明的估值方法、程 序及相关法律法规的规定或者未能充分维护基金份额持有人利益时，应立即通知 对方，共同查明原因，双方协商解决。</w:t>
      </w:r>
    </w:p>
    <w:p>
      <w:pPr>
        <w:spacing w:line="360" w:lineRule="auto"/>
        <w:ind w:firstLine="480" w:firstLineChars="200"/>
        <w:rPr>
          <w:rFonts w:ascii="宋体" w:hAnsi="宋体" w:cs="宋体"/>
          <w:bCs/>
          <w:sz w:val="24"/>
        </w:rPr>
      </w:pPr>
      <w:bookmarkStart w:id="414" w:name="OLE_LINK280"/>
      <w:bookmarkStart w:id="415" w:name="OLE_LINK281"/>
      <w:r>
        <w:rPr>
          <w:rFonts w:hint="eastAsia" w:ascii="宋体" w:hAnsi="宋体" w:cs="宋体"/>
          <w:bCs/>
          <w:sz w:val="24"/>
        </w:rPr>
        <w:t>根据有关法律法规，基金资产净值计算和基金会计核算的义务由基金管理人 承担。本基金的基金会计责任方由基金管理人担任，因此，就与本基金有关的会 计问题，如经相关各方在平等基础上充分讨论后，仍无法达成一致的意见，按照 基金管理人对基金净值信息的计算结果对外予以公布。</w:t>
      </w:r>
      <w:bookmarkEnd w:id="408"/>
      <w:bookmarkEnd w:id="409"/>
      <w:bookmarkEnd w:id="414"/>
      <w:bookmarkEnd w:id="415"/>
    </w:p>
    <w:p>
      <w:pPr>
        <w:spacing w:line="360" w:lineRule="auto"/>
        <w:ind w:firstLine="480" w:firstLineChars="200"/>
        <w:rPr>
          <w:rFonts w:ascii="宋体" w:hAnsi="宋体" w:cs="宋体"/>
          <w:bCs/>
          <w:sz w:val="24"/>
        </w:rPr>
      </w:pPr>
    </w:p>
    <w:p>
      <w:pPr>
        <w:spacing w:line="360" w:lineRule="auto"/>
        <w:ind w:firstLine="482" w:firstLineChars="200"/>
        <w:rPr>
          <w:rFonts w:ascii="宋体" w:hAnsi="宋体" w:cs="宋体"/>
          <w:b/>
          <w:sz w:val="24"/>
        </w:rPr>
      </w:pPr>
      <w:r>
        <w:rPr>
          <w:rFonts w:ascii="宋体" w:hAnsi="宋体" w:cs="宋体"/>
          <w:b/>
          <w:sz w:val="24"/>
        </w:rPr>
        <w:t>四</w:t>
      </w:r>
      <w:r>
        <w:rPr>
          <w:rFonts w:hint="eastAsia" w:ascii="宋体" w:hAnsi="宋体" w:cs="宋体"/>
          <w:b/>
          <w:sz w:val="24"/>
        </w:rPr>
        <w:t>、估值程序</w:t>
      </w:r>
    </w:p>
    <w:p>
      <w:pPr>
        <w:spacing w:line="360" w:lineRule="auto"/>
        <w:ind w:firstLine="480" w:firstLineChars="200"/>
        <w:rPr>
          <w:rFonts w:ascii="宋体" w:hAnsi="宋体" w:cs="宋体"/>
          <w:bCs/>
          <w:sz w:val="24"/>
        </w:rPr>
      </w:pPr>
      <w:r>
        <w:rPr>
          <w:rFonts w:ascii="宋体" w:hAnsi="宋体" w:cs="宋体"/>
          <w:bCs/>
          <w:sz w:val="24"/>
        </w:rPr>
        <w:t>1</w:t>
      </w:r>
      <w:r>
        <w:rPr>
          <w:rFonts w:hint="eastAsia" w:ascii="宋体" w:hAnsi="宋体" w:cs="宋体"/>
          <w:bCs/>
          <w:sz w:val="24"/>
        </w:rPr>
        <w:t>、</w:t>
      </w:r>
      <w:bookmarkStart w:id="416" w:name="OLE_LINK279"/>
      <w:bookmarkStart w:id="417" w:name="OLE_LINK278"/>
      <w:r>
        <w:rPr>
          <w:rFonts w:hint="eastAsia" w:ascii="宋体" w:hAnsi="宋体" w:cs="宋体"/>
          <w:bCs/>
          <w:sz w:val="24"/>
        </w:rPr>
        <w:t>基金份额净值是按照每个估值日闭市后，基金资产净值除以当日基金份</w:t>
      </w:r>
      <w:r>
        <w:rPr>
          <w:rFonts w:ascii="宋体" w:hAnsi="宋体" w:cs="宋体"/>
          <w:bCs/>
          <w:sz w:val="24"/>
        </w:rPr>
        <w:t xml:space="preserve"> </w:t>
      </w:r>
      <w:r>
        <w:rPr>
          <w:rFonts w:hint="eastAsia" w:ascii="宋体" w:hAnsi="宋体" w:cs="宋体"/>
          <w:bCs/>
          <w:sz w:val="24"/>
        </w:rPr>
        <w:t>额的余额数量计算，精确到</w:t>
      </w:r>
      <w:r>
        <w:rPr>
          <w:rFonts w:ascii="宋体" w:hAnsi="宋体" w:cs="宋体"/>
          <w:bCs/>
          <w:sz w:val="24"/>
        </w:rPr>
        <w:t>0.0001</w:t>
      </w:r>
      <w:r>
        <w:rPr>
          <w:rFonts w:hint="eastAsia" w:ascii="宋体" w:hAnsi="宋体" w:cs="宋体"/>
          <w:bCs/>
          <w:sz w:val="24"/>
        </w:rPr>
        <w:t>元，小数点后第</w:t>
      </w:r>
      <w:r>
        <w:rPr>
          <w:rFonts w:ascii="宋体" w:hAnsi="宋体" w:cs="宋体"/>
          <w:bCs/>
          <w:sz w:val="24"/>
        </w:rPr>
        <w:t>5</w:t>
      </w:r>
      <w:r>
        <w:rPr>
          <w:rFonts w:hint="eastAsia" w:ascii="宋体" w:hAnsi="宋体" w:cs="宋体"/>
          <w:bCs/>
          <w:sz w:val="24"/>
        </w:rPr>
        <w:t>位四舍五入。国家另有规定的，从其规定。</w:t>
      </w:r>
    </w:p>
    <w:p>
      <w:pPr>
        <w:spacing w:line="360" w:lineRule="auto"/>
        <w:ind w:firstLine="480" w:firstLineChars="200"/>
        <w:rPr>
          <w:rFonts w:ascii="宋体" w:hAnsi="宋体" w:cs="宋体"/>
          <w:bCs/>
          <w:sz w:val="24"/>
        </w:rPr>
      </w:pPr>
      <w:r>
        <w:rPr>
          <w:rFonts w:hint="eastAsia" w:ascii="宋体" w:hAnsi="宋体" w:cs="宋体"/>
          <w:bCs/>
          <w:sz w:val="24"/>
        </w:rPr>
        <w:t>基金管理人每个估值日计算基金资产净值及基金份额净值，并按规定公告。</w:t>
      </w:r>
      <w:r>
        <w:rPr>
          <w:rFonts w:ascii="宋体" w:hAnsi="宋体" w:cs="宋体"/>
          <w:bCs/>
          <w:sz w:val="24"/>
        </w:rPr>
        <w:t xml:space="preserve"> </w:t>
      </w:r>
    </w:p>
    <w:bookmarkEnd w:id="416"/>
    <w:bookmarkEnd w:id="417"/>
    <w:p>
      <w:pPr>
        <w:numPr>
          <w:ilvl w:val="255"/>
          <w:numId w:val="0"/>
        </w:numPr>
        <w:spacing w:line="360" w:lineRule="auto"/>
        <w:ind w:firstLine="480" w:firstLineChars="200"/>
        <w:rPr>
          <w:rFonts w:ascii="宋体" w:hAnsi="宋体" w:cs="宋体"/>
          <w:bCs/>
          <w:sz w:val="24"/>
        </w:rPr>
      </w:pPr>
      <w:r>
        <w:rPr>
          <w:rFonts w:ascii="宋体" w:hAnsi="宋体" w:cs="宋体"/>
          <w:bCs/>
          <w:sz w:val="24"/>
        </w:rPr>
        <w:t>2</w:t>
      </w:r>
      <w:r>
        <w:rPr>
          <w:rFonts w:hint="eastAsia" w:ascii="宋体" w:hAnsi="宋体" w:cs="宋体"/>
          <w:bCs/>
          <w:sz w:val="24"/>
        </w:rPr>
        <w:t>、基金管理人应每个估值日对基金资产估值。但基金管理人根据法律法规</w:t>
      </w:r>
      <w:r>
        <w:rPr>
          <w:rFonts w:ascii="宋体" w:hAnsi="宋体" w:cs="宋体"/>
          <w:bCs/>
          <w:sz w:val="24"/>
        </w:rPr>
        <w:t xml:space="preserve"> </w:t>
      </w:r>
      <w:r>
        <w:rPr>
          <w:rFonts w:hint="eastAsia" w:ascii="宋体" w:hAnsi="宋体" w:cs="宋体"/>
          <w:bCs/>
          <w:sz w:val="24"/>
        </w:rPr>
        <w:t>或本基金合同的规定暂停估值时除外。基金管理人每个估值日对基金资产估值</w:t>
      </w:r>
      <w:r>
        <w:rPr>
          <w:rFonts w:ascii="宋体" w:hAnsi="宋体" w:cs="宋体"/>
          <w:bCs/>
          <w:sz w:val="24"/>
        </w:rPr>
        <w:t xml:space="preserve"> </w:t>
      </w:r>
      <w:r>
        <w:rPr>
          <w:rFonts w:hint="eastAsia" w:ascii="宋体" w:hAnsi="宋体" w:cs="宋体"/>
          <w:bCs/>
          <w:sz w:val="24"/>
        </w:rPr>
        <w:t>后，将基金份额净值结果发送基金托管人，经基金托管人复核无误后，由基金管</w:t>
      </w:r>
      <w:r>
        <w:rPr>
          <w:rFonts w:ascii="宋体" w:hAnsi="宋体" w:cs="宋体"/>
          <w:bCs/>
          <w:sz w:val="24"/>
        </w:rPr>
        <w:t xml:space="preserve"> </w:t>
      </w:r>
      <w:r>
        <w:rPr>
          <w:rFonts w:hint="eastAsia" w:ascii="宋体" w:hAnsi="宋体" w:cs="宋体"/>
          <w:bCs/>
          <w:sz w:val="24"/>
        </w:rPr>
        <w:t>理人按规定对外公布。</w:t>
      </w:r>
    </w:p>
    <w:p>
      <w:pPr>
        <w:numPr>
          <w:ilvl w:val="255"/>
          <w:numId w:val="0"/>
        </w:numPr>
        <w:spacing w:line="360" w:lineRule="auto"/>
        <w:rPr>
          <w:rFonts w:ascii="宋体" w:hAnsi="宋体" w:cs="宋体"/>
          <w:bCs/>
          <w:sz w:val="24"/>
        </w:rPr>
      </w:pPr>
    </w:p>
    <w:p>
      <w:pPr>
        <w:spacing w:line="360" w:lineRule="auto"/>
        <w:ind w:firstLine="482" w:firstLineChars="200"/>
        <w:rPr>
          <w:rFonts w:ascii="宋体" w:hAnsi="宋体" w:cs="宋体"/>
          <w:b/>
          <w:sz w:val="24"/>
        </w:rPr>
      </w:pPr>
      <w:r>
        <w:rPr>
          <w:rFonts w:ascii="宋体" w:hAnsi="宋体" w:cs="宋体"/>
          <w:b/>
          <w:sz w:val="24"/>
        </w:rPr>
        <w:t>五</w:t>
      </w:r>
      <w:r>
        <w:rPr>
          <w:rFonts w:hint="eastAsia" w:ascii="宋体" w:hAnsi="宋体" w:cs="宋体"/>
          <w:b/>
          <w:sz w:val="24"/>
        </w:rPr>
        <w:t>、估值错误的处理</w:t>
      </w:r>
    </w:p>
    <w:p>
      <w:pPr>
        <w:spacing w:line="360" w:lineRule="auto"/>
        <w:ind w:firstLine="480" w:firstLineChars="200"/>
        <w:rPr>
          <w:rFonts w:ascii="宋体" w:hAnsi="宋体" w:cs="宋体"/>
          <w:bCs/>
          <w:sz w:val="24"/>
        </w:rPr>
      </w:pPr>
      <w:r>
        <w:rPr>
          <w:rFonts w:hint="eastAsia" w:ascii="宋体" w:hAnsi="宋体" w:cs="宋体"/>
          <w:bCs/>
          <w:sz w:val="24"/>
        </w:rPr>
        <w:t>基金管理人和基金托管人将采取必要、适当、合理的措施确保基金资产估值的准确性、及时性。当基金份额净值小数点后4</w:t>
      </w:r>
      <w:r>
        <w:rPr>
          <w:rFonts w:hint="eastAsia" w:ascii="宋体" w:hAnsi="宋体" w:cs="宋体"/>
          <w:sz w:val="24"/>
        </w:rPr>
        <w:t>位</w:t>
      </w:r>
      <w:r>
        <w:rPr>
          <w:rFonts w:hint="eastAsia" w:ascii="宋体" w:hAnsi="宋体" w:cs="宋体"/>
          <w:bCs/>
          <w:sz w:val="24"/>
        </w:rPr>
        <w:t>以内(含第4位)发生估值错误时，视为基金份额净值错误。</w:t>
      </w:r>
    </w:p>
    <w:p>
      <w:pPr>
        <w:spacing w:line="360" w:lineRule="auto"/>
        <w:ind w:firstLine="480" w:firstLineChars="200"/>
        <w:rPr>
          <w:rFonts w:ascii="宋体" w:hAnsi="宋体" w:cs="宋体"/>
          <w:bCs/>
          <w:sz w:val="24"/>
        </w:rPr>
      </w:pPr>
      <w:r>
        <w:rPr>
          <w:rFonts w:hint="eastAsia" w:ascii="宋体" w:hAnsi="宋体" w:cs="宋体"/>
          <w:bCs/>
          <w:sz w:val="24"/>
        </w:rPr>
        <w:t>本基金合同的当事人应按照以下约定处理：</w:t>
      </w:r>
    </w:p>
    <w:p>
      <w:pPr>
        <w:spacing w:line="360" w:lineRule="auto"/>
        <w:ind w:firstLine="480" w:firstLineChars="200"/>
        <w:rPr>
          <w:rFonts w:ascii="宋体" w:hAnsi="宋体" w:cs="宋体"/>
          <w:bCs/>
          <w:sz w:val="24"/>
        </w:rPr>
      </w:pPr>
      <w:r>
        <w:rPr>
          <w:rFonts w:hint="eastAsia" w:ascii="宋体" w:hAnsi="宋体" w:cs="宋体"/>
          <w:bCs/>
          <w:sz w:val="24"/>
        </w:rPr>
        <w:t>1、估值错误类型</w:t>
      </w:r>
    </w:p>
    <w:p>
      <w:pPr>
        <w:spacing w:line="360" w:lineRule="auto"/>
        <w:ind w:firstLine="480" w:firstLineChars="200"/>
        <w:rPr>
          <w:rFonts w:ascii="宋体" w:hAnsi="宋体" w:cs="宋体"/>
          <w:bCs/>
          <w:sz w:val="24"/>
        </w:rPr>
      </w:pPr>
      <w:r>
        <w:rPr>
          <w:rFonts w:hint="eastAsia" w:ascii="宋体" w:hAnsi="宋体" w:cs="宋体"/>
          <w:bCs/>
          <w:sz w:val="24"/>
        </w:rPr>
        <w:t>本基金运作过程中，如果由于基金管理人或基金托管人、或登记机构、或</w:t>
      </w:r>
      <w:r>
        <w:rPr>
          <w:rFonts w:hint="eastAsia" w:ascii="宋体" w:hAnsi="宋体" w:cs="宋体"/>
          <w:color w:val="000000"/>
          <w:sz w:val="24"/>
          <w:szCs w:val="24"/>
        </w:rPr>
        <w:t>证券经纪机构、</w:t>
      </w:r>
      <w:r>
        <w:rPr>
          <w:rFonts w:hint="eastAsia" w:ascii="宋体" w:hAnsi="宋体" w:cs="宋体"/>
          <w:bCs/>
          <w:sz w:val="24"/>
        </w:rPr>
        <w:t>或销售机构、或投资人自身的过错造成估值错误，导致其他当事人遭受损失的，过错的责任人应当对由于该估值错误遭受损失当事人(“受损方”)的直接损失按下述“估值错误处理原则”给予赔偿，承担赔偿责任。</w:t>
      </w:r>
    </w:p>
    <w:p>
      <w:pPr>
        <w:spacing w:line="360" w:lineRule="auto"/>
        <w:ind w:firstLine="480" w:firstLineChars="200"/>
        <w:rPr>
          <w:rFonts w:ascii="宋体" w:hAnsi="宋体" w:cs="宋体"/>
          <w:bCs/>
          <w:sz w:val="24"/>
        </w:rPr>
      </w:pPr>
      <w:r>
        <w:rPr>
          <w:rFonts w:hint="eastAsia" w:ascii="宋体" w:hAnsi="宋体" w:cs="宋体"/>
          <w:bCs/>
          <w:sz w:val="24"/>
        </w:rPr>
        <w:t>上述估值错误的主要类型包括但不限于：资料申报差错、数据传输差错、数据计算差错、系统故障差错、下达指令差错等。</w:t>
      </w:r>
    </w:p>
    <w:p>
      <w:pPr>
        <w:spacing w:line="360" w:lineRule="auto"/>
        <w:ind w:firstLine="480" w:firstLineChars="200"/>
        <w:rPr>
          <w:rFonts w:ascii="宋体" w:hAnsi="宋体" w:cs="宋体"/>
          <w:bCs/>
          <w:sz w:val="24"/>
        </w:rPr>
      </w:pPr>
      <w:r>
        <w:rPr>
          <w:rFonts w:hint="eastAsia" w:ascii="宋体" w:hAnsi="宋体" w:cs="宋体"/>
          <w:bCs/>
          <w:sz w:val="24"/>
        </w:rPr>
        <w:t>2、估值错误处理原则</w:t>
      </w:r>
    </w:p>
    <w:p>
      <w:pPr>
        <w:spacing w:line="360" w:lineRule="auto"/>
        <w:ind w:firstLine="480" w:firstLineChars="200"/>
        <w:rPr>
          <w:rFonts w:ascii="宋体" w:hAnsi="宋体" w:cs="宋体"/>
          <w:bCs/>
          <w:sz w:val="24"/>
        </w:rPr>
      </w:pPr>
      <w:r>
        <w:rPr>
          <w:rFonts w:hint="eastAsia" w:ascii="宋体" w:hAnsi="宋体" w:cs="宋体"/>
          <w:bCs/>
          <w:sz w:val="24"/>
        </w:rPr>
        <w:t>（1）估值错误已发生，但尚未给当事人造成损失时，估值错误责任方应及时协调各方，及时进行更正，因更正估值错误发生的费用由估值错误责任方承担；由于估值错误责任方未及时更正已产生的估值错误，给当事人造成损失的，由估值错误责任方对直接损失承担赔偿责任；若估值错误责任方已经积极协调，并且有协助义务的当事人有足够的时间进行更正而未更正，则其应当承担相应赔偿责任。估值错误责任方应对更正的情况向有关当事人进行确认，确保估值错误已得到更正。</w:t>
      </w:r>
    </w:p>
    <w:p>
      <w:pPr>
        <w:spacing w:line="360" w:lineRule="auto"/>
        <w:ind w:firstLine="480" w:firstLineChars="200"/>
        <w:rPr>
          <w:rFonts w:ascii="宋体" w:hAnsi="宋体" w:cs="宋体"/>
          <w:bCs/>
          <w:sz w:val="24"/>
        </w:rPr>
      </w:pPr>
      <w:r>
        <w:rPr>
          <w:rFonts w:hint="eastAsia" w:ascii="宋体" w:hAnsi="宋体" w:cs="宋体"/>
          <w:bCs/>
          <w:sz w:val="24"/>
        </w:rPr>
        <w:t>（2）估值错误的责任方对有关当事人的直接损失负责，不对间接损失负责，并且仅对估值错误的有关直接当事人负责，不对第三方负责。</w:t>
      </w:r>
    </w:p>
    <w:p>
      <w:pPr>
        <w:spacing w:line="360" w:lineRule="auto"/>
        <w:ind w:firstLine="480" w:firstLineChars="200"/>
        <w:rPr>
          <w:rFonts w:ascii="宋体" w:hAnsi="宋体" w:cs="宋体"/>
          <w:bCs/>
          <w:sz w:val="24"/>
        </w:rPr>
      </w:pPr>
      <w:r>
        <w:rPr>
          <w:rFonts w:hint="eastAsia" w:ascii="宋体" w:hAnsi="宋体" w:cs="宋体"/>
          <w:bCs/>
          <w:sz w:val="24"/>
        </w:rPr>
        <w:t>（3）因估值错误而获得不当得利的当事人负有及时返还不当得利的义务。但估值错误责任方仍应对估值错误负责。如果由于获得不当得利的当事人不返还或不全部返还不当得利造成其他当事人的利益损失(“受损方”)，则估值错误责任方应赔偿受损方的损失，并在其支付的赔偿金额的范围内对获得不当得利的当事人享有要求交付不当得利的权利；如果获得不当得利的当事人已经将此部分不当得利返还给受损方，则受损方应当将其已经获得的赔偿额加上已经获得的不当得利返还的总和超过其实际损失的差额部分支付给估值错误责任方。</w:t>
      </w:r>
    </w:p>
    <w:p>
      <w:pPr>
        <w:spacing w:line="360" w:lineRule="auto"/>
        <w:ind w:firstLine="480" w:firstLineChars="200"/>
        <w:rPr>
          <w:rFonts w:ascii="宋体" w:hAnsi="宋体" w:cs="宋体"/>
          <w:bCs/>
          <w:sz w:val="24"/>
        </w:rPr>
      </w:pPr>
      <w:r>
        <w:rPr>
          <w:rFonts w:hint="eastAsia" w:ascii="宋体" w:hAnsi="宋体" w:cs="宋体"/>
          <w:bCs/>
          <w:sz w:val="24"/>
        </w:rPr>
        <w:t>（4）估值错误调整采用尽量恢复至假设未发生估值错误的正确情形的方式。</w:t>
      </w:r>
    </w:p>
    <w:p>
      <w:pPr>
        <w:spacing w:line="360" w:lineRule="auto"/>
        <w:ind w:firstLine="480" w:firstLineChars="200"/>
        <w:rPr>
          <w:rFonts w:ascii="宋体" w:hAnsi="宋体" w:cs="宋体"/>
          <w:bCs/>
          <w:sz w:val="24"/>
        </w:rPr>
      </w:pPr>
      <w:r>
        <w:rPr>
          <w:rFonts w:hint="eastAsia" w:ascii="宋体" w:hAnsi="宋体" w:cs="宋体"/>
          <w:bCs/>
          <w:sz w:val="24"/>
        </w:rPr>
        <w:t>3、估值错误处理程序</w:t>
      </w:r>
    </w:p>
    <w:p>
      <w:pPr>
        <w:spacing w:line="360" w:lineRule="auto"/>
        <w:ind w:firstLine="480" w:firstLineChars="200"/>
        <w:rPr>
          <w:rFonts w:ascii="宋体" w:hAnsi="宋体" w:cs="宋体"/>
          <w:bCs/>
          <w:sz w:val="24"/>
        </w:rPr>
      </w:pPr>
      <w:r>
        <w:rPr>
          <w:rFonts w:hint="eastAsia" w:ascii="宋体" w:hAnsi="宋体" w:cs="宋体"/>
          <w:bCs/>
          <w:sz w:val="24"/>
        </w:rPr>
        <w:t>估值错误被发现后，有关的当事人应当及时进行处理，处理的程序如下：</w:t>
      </w:r>
    </w:p>
    <w:p>
      <w:pPr>
        <w:spacing w:line="360" w:lineRule="auto"/>
        <w:ind w:firstLine="480" w:firstLineChars="200"/>
        <w:rPr>
          <w:rFonts w:ascii="宋体" w:hAnsi="宋体" w:cs="宋体"/>
          <w:bCs/>
          <w:sz w:val="24"/>
        </w:rPr>
      </w:pPr>
      <w:r>
        <w:rPr>
          <w:rFonts w:hint="eastAsia" w:ascii="宋体" w:hAnsi="宋体" w:cs="宋体"/>
          <w:bCs/>
          <w:sz w:val="24"/>
        </w:rPr>
        <w:t>（1）查明估值错误发生的原因，列明所有的当事人，并根据估值错误发生的原因确定估值错误的责任方；</w:t>
      </w:r>
    </w:p>
    <w:p>
      <w:pPr>
        <w:spacing w:line="360" w:lineRule="auto"/>
        <w:ind w:firstLine="480" w:firstLineChars="200"/>
        <w:rPr>
          <w:rFonts w:ascii="宋体" w:hAnsi="宋体" w:cs="宋体"/>
          <w:bCs/>
          <w:sz w:val="24"/>
        </w:rPr>
      </w:pPr>
      <w:r>
        <w:rPr>
          <w:rFonts w:hint="eastAsia" w:ascii="宋体" w:hAnsi="宋体" w:cs="宋体"/>
          <w:bCs/>
          <w:sz w:val="24"/>
        </w:rPr>
        <w:t>（2）根据估值错误处理原则或当事人协商的方法对因估值错误造成的损失进行评估；</w:t>
      </w:r>
    </w:p>
    <w:p>
      <w:pPr>
        <w:spacing w:line="360" w:lineRule="auto"/>
        <w:ind w:firstLine="480" w:firstLineChars="200"/>
        <w:rPr>
          <w:rFonts w:ascii="宋体" w:hAnsi="宋体" w:cs="宋体"/>
          <w:bCs/>
          <w:sz w:val="24"/>
        </w:rPr>
      </w:pPr>
      <w:r>
        <w:rPr>
          <w:rFonts w:hint="eastAsia" w:ascii="宋体" w:hAnsi="宋体" w:cs="宋体"/>
          <w:bCs/>
          <w:sz w:val="24"/>
        </w:rPr>
        <w:t>（3）根据估值错误处理原则或当事人协商的方法由估值错误的责任方进行更正和赔偿损失；</w:t>
      </w:r>
    </w:p>
    <w:p>
      <w:pPr>
        <w:spacing w:line="360" w:lineRule="auto"/>
        <w:ind w:firstLine="480" w:firstLineChars="200"/>
        <w:rPr>
          <w:rFonts w:ascii="宋体" w:hAnsi="宋体" w:cs="宋体"/>
          <w:bCs/>
          <w:sz w:val="24"/>
        </w:rPr>
      </w:pPr>
      <w:r>
        <w:rPr>
          <w:rFonts w:hint="eastAsia" w:ascii="宋体" w:hAnsi="宋体" w:cs="宋体"/>
          <w:bCs/>
          <w:sz w:val="24"/>
        </w:rPr>
        <w:t>（4）根据估值错误处理的方法，需要修改基金登记机构交易数据的，由基金登记机构进行更正，并就估值错误的更正向有关当事人进行确认。</w:t>
      </w:r>
    </w:p>
    <w:p>
      <w:pPr>
        <w:spacing w:line="360" w:lineRule="auto"/>
        <w:ind w:firstLine="480" w:firstLineChars="200"/>
        <w:rPr>
          <w:rFonts w:ascii="宋体" w:hAnsi="宋体" w:cs="宋体"/>
          <w:bCs/>
          <w:sz w:val="24"/>
        </w:rPr>
      </w:pPr>
      <w:r>
        <w:rPr>
          <w:rFonts w:hint="eastAsia" w:ascii="宋体" w:hAnsi="宋体" w:cs="宋体"/>
          <w:bCs/>
          <w:sz w:val="24"/>
        </w:rPr>
        <w:t>4、基金份额净值估值错误处理的方法如下：</w:t>
      </w:r>
    </w:p>
    <w:p>
      <w:pPr>
        <w:spacing w:line="360" w:lineRule="auto"/>
        <w:ind w:firstLine="480" w:firstLineChars="200"/>
        <w:rPr>
          <w:rFonts w:ascii="宋体" w:hAnsi="宋体" w:cs="宋体"/>
          <w:bCs/>
          <w:sz w:val="24"/>
        </w:rPr>
      </w:pPr>
      <w:r>
        <w:rPr>
          <w:rFonts w:hint="eastAsia" w:ascii="宋体" w:hAnsi="宋体" w:cs="宋体"/>
          <w:bCs/>
          <w:sz w:val="24"/>
        </w:rPr>
        <w:t>（1）基金份额净值计算出现错误时，基金管理人应当立即予以纠正，通报基金托管人，并采取合理的措施防止损失进一步扩大。</w:t>
      </w:r>
    </w:p>
    <w:p>
      <w:pPr>
        <w:spacing w:line="360" w:lineRule="auto"/>
        <w:ind w:firstLine="480" w:firstLineChars="200"/>
        <w:rPr>
          <w:rFonts w:ascii="宋体" w:hAnsi="宋体" w:cs="宋体"/>
          <w:bCs/>
          <w:sz w:val="24"/>
        </w:rPr>
      </w:pPr>
      <w:r>
        <w:rPr>
          <w:rFonts w:hint="eastAsia" w:ascii="宋体" w:hAnsi="宋体" w:cs="宋体"/>
          <w:bCs/>
          <w:sz w:val="24"/>
        </w:rPr>
        <w:t>（2）基金份额的基金份额净值计算错误偏差达到基金份额净值的0.25%时，基金管理人应当通报基金托管人并报中国证监会备案；错误偏差达到基金份额净值的0.5%时，基金管理人应当公告，并报中国证监会备案。</w:t>
      </w:r>
    </w:p>
    <w:p>
      <w:pPr>
        <w:spacing w:line="360" w:lineRule="auto"/>
        <w:ind w:firstLine="480" w:firstLineChars="200"/>
        <w:rPr>
          <w:rFonts w:ascii="宋体" w:hAnsi="宋体" w:cs="宋体"/>
          <w:bCs/>
          <w:sz w:val="24"/>
        </w:rPr>
      </w:pPr>
      <w:r>
        <w:rPr>
          <w:rFonts w:hint="eastAsia" w:ascii="宋体" w:hAnsi="宋体" w:cs="宋体"/>
          <w:bCs/>
          <w:sz w:val="24"/>
        </w:rPr>
        <w:t>（3）当基金份额净值计算差错给基金和基金份额持有人造成损失需要进行赔偿时，基金管理人和基金托管人应根据实际情况界定双方承担的责任，经确认后按以下条款进行赔偿：</w:t>
      </w:r>
    </w:p>
    <w:p>
      <w:pPr>
        <w:spacing w:line="360" w:lineRule="auto"/>
        <w:ind w:firstLine="480" w:firstLineChars="200"/>
        <w:rPr>
          <w:rFonts w:ascii="宋体" w:hAnsi="宋体" w:cs="宋体"/>
          <w:bCs/>
          <w:sz w:val="24"/>
        </w:rPr>
      </w:pPr>
      <w:r>
        <w:rPr>
          <w:rFonts w:hint="eastAsia" w:ascii="宋体" w:hAnsi="宋体" w:cs="宋体"/>
          <w:bCs/>
          <w:sz w:val="24"/>
        </w:rPr>
        <w:t>①本基金的基金会计责任方由基金管理人担任，与本基金有关的会计问题，如经双方在平等基础上充分讨论后，尚不能达成一致时，按基金管理人的建议执行，由此给基金份额持有人和基金财产造成的损失，由基金管理人负责赔付。</w:t>
      </w:r>
    </w:p>
    <w:p>
      <w:pPr>
        <w:spacing w:line="360" w:lineRule="auto"/>
        <w:ind w:firstLine="480" w:firstLineChars="200"/>
        <w:rPr>
          <w:rFonts w:ascii="宋体" w:hAnsi="宋体" w:cs="宋体"/>
          <w:bCs/>
          <w:sz w:val="24"/>
        </w:rPr>
      </w:pPr>
      <w:r>
        <w:rPr>
          <w:rFonts w:hint="eastAsia" w:ascii="宋体" w:hAnsi="宋体" w:cs="宋体"/>
          <w:bCs/>
          <w:sz w:val="24"/>
        </w:rPr>
        <w:t>②若基金管理人计算的基金份额净值已由基金托管人复核确认后公告，由此给基金份额持有人造成损失的，应根据法律法规的规定对投资者或基金支付赔偿金，就实际向投资者或基金支付的赔偿金额，基金管理人与基金托管人按照过错程度各自承担相应的责任。</w:t>
      </w:r>
    </w:p>
    <w:p>
      <w:pPr>
        <w:spacing w:line="360" w:lineRule="auto"/>
        <w:ind w:firstLine="480" w:firstLineChars="200"/>
        <w:rPr>
          <w:rFonts w:ascii="宋体" w:hAnsi="宋体" w:cs="宋体"/>
          <w:bCs/>
          <w:sz w:val="24"/>
        </w:rPr>
      </w:pPr>
      <w:r>
        <w:rPr>
          <w:rFonts w:hint="eastAsia" w:ascii="宋体" w:hAnsi="宋体" w:cs="宋体"/>
          <w:bCs/>
          <w:sz w:val="24"/>
        </w:rPr>
        <w:t>③如基金管理人和基金托管人对基金份额净值的计算结果，虽然多次重新计算和核对，尚不能达成一致时，为避免不能按时公布基金份额净值的情形，以基金管理人的计算结果对外公布，由此给基金份额持有人和基金造成的损失，由基金管理人负责赔付。</w:t>
      </w:r>
    </w:p>
    <w:p>
      <w:pPr>
        <w:spacing w:line="360" w:lineRule="auto"/>
        <w:ind w:firstLine="480" w:firstLineChars="200"/>
        <w:rPr>
          <w:rFonts w:ascii="宋体" w:hAnsi="宋体" w:cs="宋体"/>
          <w:bCs/>
          <w:sz w:val="24"/>
        </w:rPr>
      </w:pPr>
      <w:r>
        <w:rPr>
          <w:rFonts w:hint="eastAsia" w:ascii="宋体" w:hAnsi="宋体" w:cs="宋体"/>
          <w:bCs/>
          <w:sz w:val="24"/>
        </w:rPr>
        <w:t>④由于基金管理人提供的信息错误，进而导致基金份额净值计算错误而引起的基金份额持有人和基金财产的损失，由基金管理人负责赔付。</w:t>
      </w:r>
    </w:p>
    <w:p>
      <w:pPr>
        <w:numPr>
          <w:ilvl w:val="0"/>
          <w:numId w:val="5"/>
        </w:numPr>
        <w:spacing w:line="360" w:lineRule="auto"/>
        <w:ind w:firstLine="480" w:firstLineChars="200"/>
        <w:rPr>
          <w:rFonts w:ascii="宋体" w:hAnsi="宋体" w:cs="宋体"/>
          <w:bCs/>
          <w:sz w:val="24"/>
        </w:rPr>
      </w:pPr>
      <w:r>
        <w:rPr>
          <w:rFonts w:hint="eastAsia" w:ascii="宋体" w:hAnsi="宋体" w:cs="宋体"/>
          <w:bCs/>
          <w:sz w:val="24"/>
        </w:rPr>
        <w:t>前述内容如法律法规或者监管部门另有规定的，从其规定。如果行业另有通行做法，双方当事人应本着平等和保护基金份额持有人利益的原则进行协商。</w:t>
      </w:r>
    </w:p>
    <w:p>
      <w:pPr>
        <w:numPr>
          <w:ilvl w:val="255"/>
          <w:numId w:val="0"/>
        </w:numPr>
        <w:spacing w:line="360" w:lineRule="auto"/>
        <w:rPr>
          <w:rFonts w:ascii="宋体" w:hAnsi="宋体" w:cs="宋体"/>
          <w:bCs/>
          <w:sz w:val="24"/>
        </w:rPr>
      </w:pPr>
    </w:p>
    <w:p>
      <w:pPr>
        <w:spacing w:line="360" w:lineRule="auto"/>
        <w:ind w:firstLine="482" w:firstLineChars="200"/>
        <w:rPr>
          <w:rFonts w:ascii="宋体" w:hAnsi="宋体" w:cs="宋体"/>
          <w:b/>
          <w:sz w:val="24"/>
        </w:rPr>
      </w:pPr>
      <w:r>
        <w:rPr>
          <w:rFonts w:ascii="宋体" w:hAnsi="宋体" w:cs="宋体"/>
          <w:b/>
          <w:sz w:val="24"/>
        </w:rPr>
        <w:t>六</w:t>
      </w:r>
      <w:r>
        <w:rPr>
          <w:rFonts w:hint="eastAsia" w:ascii="宋体" w:hAnsi="宋体" w:cs="宋体"/>
          <w:b/>
          <w:sz w:val="24"/>
        </w:rPr>
        <w:t>、暂停估值的情形</w:t>
      </w:r>
    </w:p>
    <w:p>
      <w:pPr>
        <w:spacing w:line="360" w:lineRule="auto"/>
        <w:ind w:firstLine="480" w:firstLineChars="200"/>
        <w:rPr>
          <w:rFonts w:ascii="宋体" w:hAnsi="宋体" w:cs="宋体"/>
          <w:bCs/>
          <w:sz w:val="24"/>
        </w:rPr>
      </w:pPr>
      <w:r>
        <w:rPr>
          <w:rFonts w:hint="eastAsia" w:ascii="宋体" w:hAnsi="宋体" w:cs="宋体"/>
          <w:bCs/>
          <w:sz w:val="24"/>
        </w:rPr>
        <w:t>1、基金投资所涉及的证券交易市场遇法定节假日或因其他原因暂停营业时；</w:t>
      </w:r>
    </w:p>
    <w:p>
      <w:pPr>
        <w:spacing w:line="360" w:lineRule="auto"/>
        <w:ind w:firstLine="480" w:firstLineChars="200"/>
        <w:rPr>
          <w:rFonts w:ascii="宋体" w:hAnsi="宋体" w:cs="宋体"/>
          <w:bCs/>
          <w:sz w:val="24"/>
        </w:rPr>
      </w:pPr>
      <w:r>
        <w:rPr>
          <w:rFonts w:hint="eastAsia" w:ascii="宋体" w:hAnsi="宋体" w:cs="宋体"/>
          <w:bCs/>
          <w:sz w:val="24"/>
        </w:rPr>
        <w:t>2、因不可抗力致使基金管理人、基金托管人无法准确评估基金资产价值时；</w:t>
      </w:r>
    </w:p>
    <w:p>
      <w:pPr>
        <w:spacing w:line="360" w:lineRule="auto"/>
        <w:ind w:firstLine="480" w:firstLineChars="200"/>
        <w:rPr>
          <w:rFonts w:ascii="宋体" w:hAnsi="宋体" w:cs="宋体"/>
          <w:bCs/>
          <w:sz w:val="24"/>
        </w:rPr>
      </w:pPr>
      <w:r>
        <w:rPr>
          <w:rFonts w:hint="eastAsia" w:ascii="宋体" w:hAnsi="宋体" w:cs="宋体"/>
          <w:bCs/>
          <w:sz w:val="24"/>
        </w:rPr>
        <w:t>3、法律法规、中国证监会规定和基金合同认定的其它情形。</w:t>
      </w:r>
    </w:p>
    <w:p>
      <w:pPr>
        <w:spacing w:line="360" w:lineRule="auto"/>
        <w:ind w:firstLine="480" w:firstLineChars="200"/>
        <w:rPr>
          <w:rFonts w:ascii="宋体" w:hAnsi="宋体" w:cs="宋体"/>
          <w:bCs/>
          <w:sz w:val="24"/>
        </w:rPr>
      </w:pPr>
    </w:p>
    <w:p>
      <w:pPr>
        <w:spacing w:line="360" w:lineRule="auto"/>
        <w:ind w:firstLine="482" w:firstLineChars="200"/>
        <w:rPr>
          <w:rFonts w:ascii="宋体" w:hAnsi="宋体" w:cs="宋体"/>
          <w:b/>
          <w:sz w:val="24"/>
        </w:rPr>
      </w:pPr>
      <w:r>
        <w:rPr>
          <w:rFonts w:ascii="宋体" w:hAnsi="宋体" w:cs="宋体"/>
          <w:b/>
          <w:sz w:val="24"/>
        </w:rPr>
        <w:t>七</w:t>
      </w:r>
      <w:r>
        <w:rPr>
          <w:rFonts w:hint="eastAsia" w:ascii="宋体" w:hAnsi="宋体" w:cs="宋体"/>
          <w:b/>
          <w:sz w:val="24"/>
        </w:rPr>
        <w:t>、基金净值的确认</w:t>
      </w:r>
    </w:p>
    <w:p>
      <w:pPr>
        <w:spacing w:line="360" w:lineRule="auto"/>
        <w:ind w:firstLine="480" w:firstLineChars="200"/>
        <w:rPr>
          <w:rFonts w:ascii="宋体" w:hAnsi="宋体" w:cs="宋体"/>
          <w:bCs/>
          <w:sz w:val="24"/>
        </w:rPr>
      </w:pPr>
      <w:r>
        <w:rPr>
          <w:rFonts w:hint="eastAsia" w:ascii="宋体" w:hAnsi="宋体" w:cs="宋体"/>
          <w:bCs/>
          <w:sz w:val="24"/>
        </w:rPr>
        <w:t>用于基金信息披露的基金资产净值和基金份额净值由基金管理人负责计算，基金托管人负责进行复核。基金管理人应于每个</w:t>
      </w:r>
      <w:r>
        <w:rPr>
          <w:rFonts w:ascii="宋体" w:hAnsi="宋体" w:cs="宋体"/>
          <w:bCs/>
          <w:sz w:val="24"/>
        </w:rPr>
        <w:t>估值</w:t>
      </w:r>
      <w:r>
        <w:rPr>
          <w:rFonts w:hint="eastAsia" w:ascii="宋体" w:hAnsi="宋体" w:cs="宋体"/>
          <w:bCs/>
          <w:sz w:val="24"/>
        </w:rPr>
        <w:t>日交易结束后计算当日的基金资产净值和基金份额净值并发送给基金托管人。基金托管人对净值计算结果复核确认后发送给基金管理人，由基金管理人按约定对基金净值信息予以公布。</w:t>
      </w:r>
    </w:p>
    <w:p>
      <w:pPr>
        <w:spacing w:line="360" w:lineRule="auto"/>
        <w:ind w:firstLine="480" w:firstLineChars="200"/>
        <w:rPr>
          <w:rFonts w:ascii="宋体" w:hAnsi="宋体" w:cs="宋体"/>
          <w:bCs/>
          <w:sz w:val="24"/>
        </w:rPr>
      </w:pPr>
    </w:p>
    <w:p>
      <w:pPr>
        <w:spacing w:line="360" w:lineRule="auto"/>
        <w:ind w:firstLine="482" w:firstLineChars="200"/>
        <w:rPr>
          <w:rFonts w:ascii="宋体" w:hAnsi="宋体" w:cs="宋体"/>
          <w:b/>
          <w:sz w:val="24"/>
        </w:rPr>
      </w:pPr>
      <w:r>
        <w:rPr>
          <w:rFonts w:ascii="宋体" w:hAnsi="宋体" w:cs="宋体"/>
          <w:b/>
          <w:bCs/>
          <w:sz w:val="24"/>
          <w:szCs w:val="24"/>
        </w:rPr>
        <w:t>八</w:t>
      </w:r>
      <w:r>
        <w:rPr>
          <w:rFonts w:hint="eastAsia" w:ascii="宋体" w:hAnsi="宋体" w:cs="宋体"/>
          <w:b/>
          <w:bCs/>
          <w:sz w:val="24"/>
          <w:szCs w:val="24"/>
        </w:rPr>
        <w:t>、</w:t>
      </w:r>
      <w:r>
        <w:rPr>
          <w:rFonts w:hint="eastAsia" w:ascii="宋体" w:hAnsi="宋体" w:cs="宋体"/>
          <w:b/>
          <w:sz w:val="24"/>
        </w:rPr>
        <w:t>特殊情况的处理</w:t>
      </w:r>
    </w:p>
    <w:p>
      <w:pPr>
        <w:spacing w:before="183" w:line="290" w:lineRule="auto"/>
        <w:ind w:left="41" w:right="29" w:firstLine="494"/>
        <w:rPr>
          <w:rFonts w:ascii="宋体" w:hAnsi="宋体" w:cs="宋体"/>
          <w:sz w:val="24"/>
          <w:szCs w:val="24"/>
        </w:rPr>
      </w:pPr>
      <w:r>
        <w:rPr>
          <w:rFonts w:ascii="宋体" w:hAnsi="宋体" w:cs="宋体"/>
          <w:spacing w:val="-2"/>
          <w:sz w:val="24"/>
          <w:szCs w:val="24"/>
        </w:rPr>
        <w:t>1、基金管理人或基金托管人按估值方法的第</w:t>
      </w:r>
      <w:r>
        <w:rPr>
          <w:rFonts w:ascii="宋体" w:hAnsi="宋体" w:cs="宋体"/>
          <w:spacing w:val="-18"/>
          <w:sz w:val="24"/>
          <w:szCs w:val="24"/>
        </w:rPr>
        <w:t xml:space="preserve"> </w:t>
      </w:r>
      <w:r>
        <w:rPr>
          <w:rFonts w:ascii="宋体" w:hAnsi="宋体" w:cs="宋体"/>
          <w:spacing w:val="-2"/>
          <w:sz w:val="24"/>
          <w:szCs w:val="24"/>
        </w:rPr>
        <w:t>5</w:t>
      </w:r>
      <w:r>
        <w:rPr>
          <w:rFonts w:ascii="宋体" w:hAnsi="宋体" w:cs="宋体"/>
          <w:spacing w:val="-30"/>
          <w:sz w:val="24"/>
          <w:szCs w:val="24"/>
        </w:rPr>
        <w:t xml:space="preserve"> </w:t>
      </w:r>
      <w:r>
        <w:rPr>
          <w:rFonts w:ascii="宋体" w:hAnsi="宋体" w:cs="宋体"/>
          <w:spacing w:val="-2"/>
          <w:sz w:val="24"/>
          <w:szCs w:val="24"/>
        </w:rPr>
        <w:t>项进行估值时，所造成的误</w:t>
      </w:r>
      <w:r>
        <w:rPr>
          <w:rFonts w:ascii="宋体" w:hAnsi="宋体" w:cs="宋体"/>
          <w:sz w:val="24"/>
          <w:szCs w:val="24"/>
        </w:rPr>
        <w:t xml:space="preserve"> </w:t>
      </w:r>
      <w:r>
        <w:rPr>
          <w:rFonts w:ascii="宋体" w:hAnsi="宋体" w:cs="宋体"/>
          <w:spacing w:val="-3"/>
          <w:sz w:val="24"/>
          <w:szCs w:val="24"/>
        </w:rPr>
        <w:t>差不作为基金份额净值错误处理。</w:t>
      </w:r>
    </w:p>
    <w:p>
      <w:pPr>
        <w:spacing w:before="180" w:line="337" w:lineRule="auto"/>
        <w:ind w:left="38" w:right="29" w:firstLine="482"/>
        <w:rPr>
          <w:rFonts w:ascii="宋体" w:hAnsi="宋体" w:cs="宋体"/>
          <w:sz w:val="24"/>
          <w:szCs w:val="24"/>
        </w:rPr>
      </w:pPr>
      <w:r>
        <w:rPr>
          <w:rFonts w:ascii="宋体" w:hAnsi="宋体" w:cs="宋体"/>
          <w:sz w:val="24"/>
          <w:szCs w:val="24"/>
        </w:rPr>
        <w:t>2、由于不可抗力，或证券交易场所、</w:t>
      </w:r>
      <w:r>
        <w:rPr>
          <w:rFonts w:hint="eastAsia" w:ascii="宋体" w:hAnsi="宋体" w:cs="宋体"/>
          <w:sz w:val="24"/>
          <w:szCs w:val="24"/>
        </w:rPr>
        <w:t>证券经纪商、</w:t>
      </w:r>
      <w:r>
        <w:rPr>
          <w:rFonts w:ascii="宋体" w:hAnsi="宋体" w:cs="宋体"/>
          <w:sz w:val="24"/>
          <w:szCs w:val="24"/>
        </w:rPr>
        <w:t>登记结算公司及存款银行等第三方机</w:t>
      </w:r>
      <w:r>
        <w:rPr>
          <w:rFonts w:ascii="宋体" w:hAnsi="宋体" w:cs="宋体"/>
          <w:spacing w:val="-3"/>
          <w:sz w:val="24"/>
          <w:szCs w:val="24"/>
        </w:rPr>
        <w:t>构发送的数据错误，或国家会计政策变更、市场规则变更等非基金管理人与基金托管人原因，基金管理人和基金托管人虽然已经采取必要、适当、合理的措施进行检查，但是未能发现该错误的，由此造成的基金财产估值错误，基金管理人和基金托管人免除赔偿责任。但基金管理人和基金托管人应当积极采取必要的措施</w:t>
      </w:r>
      <w:r>
        <w:rPr>
          <w:rFonts w:ascii="宋体" w:hAnsi="宋体" w:cs="宋体"/>
          <w:spacing w:val="-4"/>
          <w:sz w:val="24"/>
          <w:szCs w:val="24"/>
        </w:rPr>
        <w:t>减轻或消除由此造成的影响。</w:t>
      </w:r>
    </w:p>
    <w:p>
      <w:pPr>
        <w:spacing w:line="360" w:lineRule="auto"/>
        <w:ind w:firstLine="480" w:firstLineChars="200"/>
        <w:rPr>
          <w:rFonts w:ascii="宋体" w:hAnsi="宋体" w:cs="宋体"/>
          <w:bCs/>
          <w:sz w:val="24"/>
        </w:rPr>
      </w:pPr>
    </w:p>
    <w:p>
      <w:pPr>
        <w:spacing w:line="360" w:lineRule="auto"/>
        <w:ind w:firstLine="480" w:firstLineChars="200"/>
        <w:rPr>
          <w:rFonts w:ascii="宋体" w:hAnsi="宋体" w:cs="宋体"/>
          <w:bCs/>
          <w:sz w:val="24"/>
        </w:rPr>
      </w:pPr>
    </w:p>
    <w:p>
      <w:pPr>
        <w:pStyle w:val="2"/>
        <w:spacing w:before="0" w:after="0"/>
        <w:jc w:val="center"/>
        <w:rPr>
          <w:rFonts w:hAnsi="宋体" w:cs="宋体"/>
          <w:color w:val="auto"/>
          <w:sz w:val="30"/>
        </w:rPr>
      </w:pPr>
      <w:r>
        <w:rPr>
          <w:rFonts w:hint="eastAsia" w:hAnsi="宋体" w:cs="宋体"/>
          <w:b w:val="0"/>
          <w:bCs/>
          <w:color w:val="auto"/>
          <w:sz w:val="30"/>
        </w:rPr>
        <w:br w:type="page"/>
      </w:r>
      <w:bookmarkEnd w:id="384"/>
      <w:bookmarkEnd w:id="385"/>
      <w:bookmarkStart w:id="418" w:name="_Toc15779"/>
      <w:bookmarkStart w:id="419" w:name="_Toc3365"/>
      <w:bookmarkStart w:id="420" w:name="_Toc22564"/>
      <w:bookmarkStart w:id="421" w:name="_Toc12105"/>
      <w:bookmarkStart w:id="422" w:name="_Toc19706"/>
      <w:bookmarkStart w:id="423" w:name="_Toc6493"/>
      <w:bookmarkStart w:id="424" w:name="_Toc13987"/>
      <w:bookmarkStart w:id="425" w:name="_Toc32227"/>
      <w:bookmarkStart w:id="426" w:name="_Toc24601"/>
      <w:bookmarkStart w:id="427" w:name="_Toc19752"/>
      <w:bookmarkStart w:id="428" w:name="_Toc32041"/>
      <w:r>
        <w:rPr>
          <w:rFonts w:hint="eastAsia" w:hAnsi="宋体" w:cs="宋体"/>
          <w:color w:val="auto"/>
          <w:sz w:val="30"/>
        </w:rPr>
        <w:t>第十五部分  基金费用与税收</w:t>
      </w:r>
      <w:bookmarkEnd w:id="405"/>
      <w:bookmarkEnd w:id="406"/>
      <w:bookmarkEnd w:id="407"/>
      <w:bookmarkEnd w:id="418"/>
      <w:bookmarkEnd w:id="419"/>
      <w:bookmarkEnd w:id="420"/>
      <w:bookmarkEnd w:id="421"/>
      <w:bookmarkEnd w:id="422"/>
      <w:bookmarkEnd w:id="423"/>
      <w:bookmarkEnd w:id="424"/>
      <w:bookmarkEnd w:id="425"/>
      <w:bookmarkEnd w:id="426"/>
      <w:bookmarkEnd w:id="427"/>
      <w:bookmarkEnd w:id="428"/>
    </w:p>
    <w:p>
      <w:pPr>
        <w:spacing w:line="360" w:lineRule="auto"/>
        <w:ind w:firstLine="480" w:firstLineChars="200"/>
        <w:rPr>
          <w:rFonts w:ascii="宋体" w:hAnsi="宋体" w:cs="宋体"/>
          <w:bCs/>
          <w:sz w:val="24"/>
        </w:rPr>
      </w:pPr>
    </w:p>
    <w:p>
      <w:pPr>
        <w:spacing w:line="360" w:lineRule="auto"/>
        <w:ind w:firstLine="482" w:firstLineChars="200"/>
        <w:rPr>
          <w:rFonts w:ascii="宋体" w:hAnsi="宋体" w:cs="宋体"/>
          <w:b/>
          <w:sz w:val="24"/>
        </w:rPr>
      </w:pPr>
      <w:bookmarkStart w:id="429" w:name="OLE_LINK73"/>
      <w:r>
        <w:rPr>
          <w:rFonts w:hint="eastAsia" w:ascii="宋体" w:hAnsi="宋体" w:cs="宋体"/>
          <w:b/>
          <w:sz w:val="24"/>
        </w:rPr>
        <w:t>一、基金费用的种类</w:t>
      </w:r>
    </w:p>
    <w:p>
      <w:pPr>
        <w:spacing w:before="181" w:line="220" w:lineRule="auto"/>
        <w:ind w:left="535"/>
        <w:rPr>
          <w:rFonts w:ascii="宋体" w:hAnsi="宋体" w:cs="宋体"/>
          <w:sz w:val="24"/>
          <w:szCs w:val="24"/>
        </w:rPr>
      </w:pPr>
      <w:r>
        <w:rPr>
          <w:rFonts w:ascii="宋体" w:hAnsi="宋体" w:cs="宋体"/>
          <w:spacing w:val="-7"/>
          <w:sz w:val="24"/>
          <w:szCs w:val="24"/>
        </w:rPr>
        <w:t>1、基金管理人的管理费；</w:t>
      </w:r>
    </w:p>
    <w:p>
      <w:pPr>
        <w:spacing w:before="182" w:line="220" w:lineRule="auto"/>
        <w:ind w:left="520"/>
        <w:rPr>
          <w:rFonts w:ascii="宋体" w:hAnsi="宋体" w:cs="宋体"/>
          <w:sz w:val="24"/>
          <w:szCs w:val="24"/>
        </w:rPr>
      </w:pPr>
      <w:r>
        <w:rPr>
          <w:rFonts w:ascii="宋体" w:hAnsi="宋体" w:cs="宋体"/>
          <w:spacing w:val="-6"/>
          <w:sz w:val="24"/>
          <w:szCs w:val="24"/>
        </w:rPr>
        <w:t>2、基金托管人的托管费；</w:t>
      </w:r>
    </w:p>
    <w:p>
      <w:pPr>
        <w:spacing w:before="182" w:line="220" w:lineRule="auto"/>
        <w:ind w:left="522"/>
        <w:rPr>
          <w:rFonts w:ascii="宋体" w:hAnsi="宋体" w:cs="宋体"/>
          <w:sz w:val="24"/>
          <w:szCs w:val="24"/>
        </w:rPr>
      </w:pPr>
      <w:r>
        <w:rPr>
          <w:rFonts w:ascii="宋体" w:hAnsi="宋体" w:cs="宋体"/>
          <w:spacing w:val="-8"/>
          <w:sz w:val="24"/>
          <w:szCs w:val="24"/>
        </w:rPr>
        <w:t>3、《基金合同》生效后与基金相关的信息披露费用；</w:t>
      </w:r>
    </w:p>
    <w:p>
      <w:pPr>
        <w:spacing w:before="182" w:line="219" w:lineRule="auto"/>
        <w:jc w:val="center"/>
        <w:rPr>
          <w:rFonts w:ascii="宋体" w:hAnsi="宋体" w:cs="宋体"/>
          <w:sz w:val="24"/>
          <w:szCs w:val="24"/>
        </w:rPr>
      </w:pPr>
      <w:r>
        <w:rPr>
          <w:rFonts w:hint="eastAsia" w:ascii="宋体" w:hAnsi="宋体" w:cs="宋体"/>
          <w:spacing w:val="-5"/>
          <w:sz w:val="24"/>
          <w:szCs w:val="24"/>
        </w:rPr>
        <w:t xml:space="preserve">    </w:t>
      </w:r>
      <w:r>
        <w:rPr>
          <w:rFonts w:ascii="宋体" w:hAnsi="宋体" w:cs="宋体"/>
          <w:spacing w:val="-5"/>
          <w:sz w:val="24"/>
          <w:szCs w:val="24"/>
        </w:rPr>
        <w:t>4、《基金合同》生效后与基金相关的会计师</w:t>
      </w:r>
      <w:r>
        <w:rPr>
          <w:rFonts w:ascii="宋体" w:hAnsi="宋体" w:cs="宋体"/>
          <w:spacing w:val="-6"/>
          <w:sz w:val="24"/>
          <w:szCs w:val="24"/>
        </w:rPr>
        <w:t>费、律师费、诉讼费和仲裁费；</w:t>
      </w:r>
    </w:p>
    <w:p>
      <w:pPr>
        <w:spacing w:before="184" w:line="219" w:lineRule="auto"/>
        <w:ind w:left="522"/>
        <w:rPr>
          <w:rFonts w:ascii="宋体" w:hAnsi="宋体" w:cs="宋体"/>
          <w:sz w:val="24"/>
          <w:szCs w:val="24"/>
        </w:rPr>
      </w:pPr>
      <w:r>
        <w:rPr>
          <w:rFonts w:ascii="宋体" w:hAnsi="宋体" w:cs="宋体"/>
          <w:spacing w:val="-5"/>
          <w:sz w:val="24"/>
          <w:szCs w:val="24"/>
        </w:rPr>
        <w:t>5、基金份额持有人大会费用；</w:t>
      </w:r>
    </w:p>
    <w:p>
      <w:pPr>
        <w:spacing w:before="184" w:line="220" w:lineRule="auto"/>
        <w:ind w:left="520"/>
        <w:rPr>
          <w:rFonts w:ascii="宋体" w:hAnsi="宋体" w:cs="宋体"/>
          <w:sz w:val="24"/>
          <w:szCs w:val="24"/>
        </w:rPr>
      </w:pPr>
      <w:r>
        <w:rPr>
          <w:rFonts w:ascii="宋体" w:hAnsi="宋体" w:cs="宋体"/>
          <w:spacing w:val="-6"/>
          <w:sz w:val="24"/>
          <w:szCs w:val="24"/>
        </w:rPr>
        <w:t>6、基金的证券交易费用；</w:t>
      </w:r>
    </w:p>
    <w:p>
      <w:pPr>
        <w:spacing w:before="182" w:line="220" w:lineRule="auto"/>
        <w:ind w:left="523"/>
        <w:rPr>
          <w:rFonts w:ascii="宋体" w:hAnsi="宋体" w:cs="宋体"/>
          <w:sz w:val="24"/>
          <w:szCs w:val="24"/>
        </w:rPr>
      </w:pPr>
      <w:r>
        <w:rPr>
          <w:rFonts w:ascii="宋体" w:hAnsi="宋体" w:cs="宋体"/>
          <w:spacing w:val="-6"/>
          <w:sz w:val="24"/>
          <w:szCs w:val="24"/>
        </w:rPr>
        <w:t>7、基金的银行汇划费用；</w:t>
      </w:r>
    </w:p>
    <w:p>
      <w:pPr>
        <w:spacing w:before="182" w:line="220" w:lineRule="auto"/>
        <w:ind w:left="519"/>
        <w:rPr>
          <w:rFonts w:ascii="宋体" w:hAnsi="宋体" w:cs="宋体"/>
          <w:sz w:val="24"/>
          <w:szCs w:val="24"/>
        </w:rPr>
      </w:pPr>
      <w:r>
        <w:rPr>
          <w:rFonts w:ascii="宋体" w:hAnsi="宋体" w:cs="宋体"/>
          <w:spacing w:val="-4"/>
          <w:sz w:val="24"/>
          <w:szCs w:val="24"/>
        </w:rPr>
        <w:t>8、基金相关账户开户费用、账户维护费用；</w:t>
      </w:r>
    </w:p>
    <w:p>
      <w:pPr>
        <w:spacing w:before="182" w:line="290" w:lineRule="auto"/>
        <w:ind w:left="51" w:right="39" w:firstLine="467"/>
        <w:rPr>
          <w:rFonts w:ascii="宋体" w:hAnsi="宋体" w:cs="宋体"/>
          <w:sz w:val="24"/>
          <w:szCs w:val="24"/>
        </w:rPr>
      </w:pPr>
      <w:r>
        <w:rPr>
          <w:rFonts w:ascii="宋体" w:hAnsi="宋体" w:cs="宋体"/>
          <w:sz w:val="24"/>
          <w:szCs w:val="24"/>
        </w:rPr>
        <w:t>9、按照国家有关规定和《基金合同》约定，可以在基金财产中列支的其他</w:t>
      </w:r>
      <w:r>
        <w:rPr>
          <w:rFonts w:ascii="宋体" w:hAnsi="宋体" w:cs="宋体"/>
          <w:spacing w:val="18"/>
          <w:sz w:val="24"/>
          <w:szCs w:val="24"/>
        </w:rPr>
        <w:t xml:space="preserve"> </w:t>
      </w:r>
      <w:r>
        <w:rPr>
          <w:rFonts w:ascii="宋体" w:hAnsi="宋体" w:cs="宋体"/>
          <w:spacing w:val="-13"/>
          <w:sz w:val="24"/>
          <w:szCs w:val="24"/>
        </w:rPr>
        <w:t>费用。</w:t>
      </w:r>
    </w:p>
    <w:p>
      <w:pPr>
        <w:numPr>
          <w:ilvl w:val="255"/>
          <w:numId w:val="0"/>
        </w:numPr>
        <w:spacing w:line="360" w:lineRule="auto"/>
        <w:rPr>
          <w:rFonts w:ascii="宋体" w:hAnsi="宋体" w:cs="宋体"/>
          <w:bCs/>
          <w:sz w:val="24"/>
        </w:rPr>
      </w:pPr>
    </w:p>
    <w:p>
      <w:pPr>
        <w:spacing w:line="360" w:lineRule="auto"/>
        <w:ind w:firstLine="482" w:firstLineChars="200"/>
        <w:rPr>
          <w:rFonts w:ascii="宋体" w:hAnsi="宋体" w:cs="宋体"/>
          <w:b/>
          <w:sz w:val="24"/>
        </w:rPr>
      </w:pPr>
      <w:r>
        <w:rPr>
          <w:rFonts w:hint="eastAsia" w:ascii="宋体" w:hAnsi="宋体" w:cs="宋体"/>
          <w:b/>
          <w:sz w:val="24"/>
        </w:rPr>
        <w:t>二、基金费用计提方法、计提标准和支付方式</w:t>
      </w:r>
    </w:p>
    <w:p>
      <w:pPr>
        <w:spacing w:line="360" w:lineRule="auto"/>
        <w:ind w:firstLine="480" w:firstLineChars="200"/>
        <w:rPr>
          <w:rFonts w:ascii="宋体" w:hAnsi="宋体" w:cs="宋体"/>
          <w:bCs/>
          <w:sz w:val="24"/>
        </w:rPr>
      </w:pPr>
      <w:r>
        <w:rPr>
          <w:rFonts w:hint="eastAsia" w:ascii="宋体" w:hAnsi="宋体" w:cs="宋体"/>
          <w:bCs/>
          <w:sz w:val="24"/>
        </w:rPr>
        <w:t xml:space="preserve">1、基金管理人的管理费 </w:t>
      </w:r>
    </w:p>
    <w:p>
      <w:pPr>
        <w:spacing w:line="360" w:lineRule="auto"/>
        <w:ind w:firstLine="480" w:firstLineChars="200"/>
        <w:rPr>
          <w:rFonts w:ascii="宋体" w:hAnsi="宋体" w:cs="宋体"/>
          <w:bCs/>
          <w:sz w:val="24"/>
        </w:rPr>
      </w:pPr>
      <w:bookmarkStart w:id="430" w:name="OLE_LINK304"/>
      <w:bookmarkStart w:id="431" w:name="OLE_LINK303"/>
      <w:r>
        <w:rPr>
          <w:rFonts w:hint="eastAsia" w:ascii="宋体" w:hAnsi="宋体" w:cs="宋体"/>
          <w:bCs/>
          <w:sz w:val="24"/>
        </w:rPr>
        <w:t>本基金的管理费按前一日基金资产净值的0.15%年费率计提。管理费的计算方法如下：</w:t>
      </w:r>
    </w:p>
    <w:p>
      <w:pPr>
        <w:spacing w:line="360" w:lineRule="auto"/>
        <w:ind w:firstLine="480" w:firstLineChars="200"/>
        <w:rPr>
          <w:rFonts w:ascii="宋体" w:hAnsi="宋体" w:cs="宋体"/>
          <w:bCs/>
          <w:sz w:val="24"/>
        </w:rPr>
      </w:pPr>
      <w:r>
        <w:rPr>
          <w:rFonts w:hint="eastAsia" w:ascii="宋体" w:hAnsi="宋体" w:cs="宋体"/>
          <w:bCs/>
          <w:sz w:val="24"/>
        </w:rPr>
        <w:t>H＝E×0.15%÷当年天数</w:t>
      </w:r>
    </w:p>
    <w:p>
      <w:pPr>
        <w:spacing w:line="360" w:lineRule="auto"/>
        <w:ind w:firstLine="480" w:firstLineChars="200"/>
        <w:rPr>
          <w:rFonts w:ascii="宋体" w:hAnsi="宋体" w:cs="宋体"/>
          <w:bCs/>
          <w:sz w:val="24"/>
        </w:rPr>
      </w:pPr>
      <w:r>
        <w:rPr>
          <w:rFonts w:hint="eastAsia" w:ascii="宋体" w:hAnsi="宋体" w:cs="宋体"/>
          <w:bCs/>
          <w:sz w:val="24"/>
        </w:rPr>
        <w:t>H为每日应计提的基金管理费</w:t>
      </w:r>
    </w:p>
    <w:p>
      <w:pPr>
        <w:spacing w:line="360" w:lineRule="auto"/>
        <w:ind w:firstLine="480" w:firstLineChars="200"/>
        <w:rPr>
          <w:rFonts w:ascii="宋体" w:hAnsi="宋体" w:cs="宋体"/>
          <w:bCs/>
          <w:sz w:val="24"/>
        </w:rPr>
      </w:pPr>
      <w:r>
        <w:rPr>
          <w:rFonts w:hint="eastAsia" w:ascii="宋体" w:hAnsi="宋体" w:cs="宋体"/>
          <w:bCs/>
          <w:sz w:val="24"/>
        </w:rPr>
        <w:t>E为前一日的基金资产净值</w:t>
      </w:r>
    </w:p>
    <w:p>
      <w:pPr>
        <w:spacing w:line="360" w:lineRule="auto"/>
        <w:ind w:firstLine="480" w:firstLineChars="200"/>
        <w:rPr>
          <w:rFonts w:ascii="宋体" w:hAnsi="宋体" w:cs="宋体"/>
          <w:bCs/>
          <w:sz w:val="24"/>
        </w:rPr>
      </w:pPr>
      <w:r>
        <w:rPr>
          <w:rFonts w:hint="eastAsia" w:ascii="宋体" w:hAnsi="宋体" w:cs="宋体"/>
          <w:bCs/>
          <w:sz w:val="24"/>
        </w:rPr>
        <w:t>基金管理费每日计提，逐日累计至每月月末，按月支付，经基金管理人与基金托管人双方核对无误后，基金托管人</w:t>
      </w:r>
      <w:r>
        <w:rPr>
          <w:rFonts w:hint="eastAsia" w:ascii="宋体" w:hAnsi="宋体" w:cs="宋体"/>
          <w:bCs/>
          <w:sz w:val="24"/>
          <w:szCs w:val="24"/>
        </w:rPr>
        <w:t>按照</w:t>
      </w:r>
      <w:r>
        <w:rPr>
          <w:rFonts w:hint="eastAsia" w:ascii="宋体" w:hAnsi="宋体" w:cs="宋体"/>
          <w:sz w:val="24"/>
          <w:szCs w:val="24"/>
        </w:rPr>
        <w:t>与基金管理人协商一致的方式</w:t>
      </w:r>
      <w:r>
        <w:rPr>
          <w:rFonts w:hint="eastAsia" w:ascii="宋体" w:hAnsi="宋体" w:cs="宋体"/>
          <w:bCs/>
          <w:sz w:val="24"/>
        </w:rPr>
        <w:t>于次月首日起5个工作日内从基金财产中一次性支付给基金管理人。若遇法定节假日、公休假或不可抗力等，支付日期顺延。</w:t>
      </w:r>
    </w:p>
    <w:bookmarkEnd w:id="430"/>
    <w:bookmarkEnd w:id="431"/>
    <w:p>
      <w:pPr>
        <w:spacing w:line="360" w:lineRule="auto"/>
        <w:ind w:firstLine="480" w:firstLineChars="200"/>
        <w:rPr>
          <w:rFonts w:ascii="宋体" w:hAnsi="宋体" w:cs="宋体"/>
          <w:bCs/>
          <w:sz w:val="24"/>
        </w:rPr>
      </w:pPr>
      <w:r>
        <w:rPr>
          <w:rFonts w:hint="eastAsia" w:ascii="宋体" w:hAnsi="宋体" w:cs="宋体"/>
          <w:bCs/>
          <w:sz w:val="24"/>
        </w:rPr>
        <w:t>2、基金托管人的托管费</w:t>
      </w:r>
    </w:p>
    <w:p>
      <w:pPr>
        <w:spacing w:line="360" w:lineRule="auto"/>
        <w:ind w:firstLine="480" w:firstLineChars="200"/>
        <w:rPr>
          <w:rFonts w:ascii="宋体" w:hAnsi="宋体" w:cs="宋体"/>
          <w:bCs/>
          <w:sz w:val="24"/>
        </w:rPr>
      </w:pPr>
      <w:bookmarkStart w:id="432" w:name="OLE_LINK306"/>
      <w:bookmarkStart w:id="433" w:name="OLE_LINK305"/>
      <w:r>
        <w:rPr>
          <w:rFonts w:hint="eastAsia" w:ascii="宋体" w:hAnsi="宋体" w:cs="宋体"/>
          <w:bCs/>
          <w:sz w:val="24"/>
        </w:rPr>
        <w:t>本基金的托管费按前一日基金资产净值的0.05%的年费率计提。托管费的计算方法如下：</w:t>
      </w:r>
    </w:p>
    <w:p>
      <w:pPr>
        <w:spacing w:line="360" w:lineRule="auto"/>
        <w:ind w:firstLine="480" w:firstLineChars="200"/>
        <w:rPr>
          <w:rFonts w:ascii="宋体" w:hAnsi="宋体" w:cs="宋体"/>
          <w:bCs/>
          <w:sz w:val="24"/>
        </w:rPr>
      </w:pPr>
      <w:r>
        <w:rPr>
          <w:rFonts w:hint="eastAsia" w:ascii="宋体" w:hAnsi="宋体" w:cs="宋体"/>
          <w:bCs/>
          <w:sz w:val="24"/>
        </w:rPr>
        <w:t>H＝E×0.05%÷当年天数</w:t>
      </w:r>
    </w:p>
    <w:p>
      <w:pPr>
        <w:spacing w:line="360" w:lineRule="auto"/>
        <w:ind w:firstLine="480" w:firstLineChars="200"/>
        <w:rPr>
          <w:rFonts w:ascii="宋体" w:hAnsi="宋体" w:cs="宋体"/>
          <w:bCs/>
          <w:sz w:val="24"/>
        </w:rPr>
      </w:pPr>
      <w:r>
        <w:rPr>
          <w:rFonts w:hint="eastAsia" w:ascii="宋体" w:hAnsi="宋体" w:cs="宋体"/>
          <w:bCs/>
          <w:sz w:val="24"/>
        </w:rPr>
        <w:t>H为每日应计提的基金托管费</w:t>
      </w:r>
    </w:p>
    <w:p>
      <w:pPr>
        <w:spacing w:line="360" w:lineRule="auto"/>
        <w:ind w:firstLine="480" w:firstLineChars="200"/>
        <w:rPr>
          <w:rFonts w:ascii="宋体" w:hAnsi="宋体" w:cs="宋体"/>
          <w:bCs/>
          <w:sz w:val="24"/>
        </w:rPr>
      </w:pPr>
      <w:r>
        <w:rPr>
          <w:rFonts w:hint="eastAsia" w:ascii="宋体" w:hAnsi="宋体" w:cs="宋体"/>
          <w:bCs/>
          <w:sz w:val="24"/>
        </w:rPr>
        <w:t>E为前一日的基金资产净值</w:t>
      </w:r>
    </w:p>
    <w:p>
      <w:pPr>
        <w:spacing w:line="360" w:lineRule="auto"/>
        <w:ind w:firstLine="480" w:firstLineChars="200"/>
        <w:rPr>
          <w:rFonts w:ascii="宋体" w:hAnsi="宋体" w:cs="宋体"/>
          <w:bCs/>
          <w:sz w:val="24"/>
        </w:rPr>
      </w:pPr>
      <w:r>
        <w:rPr>
          <w:rFonts w:hint="eastAsia" w:ascii="宋体" w:hAnsi="宋体" w:cs="宋体"/>
          <w:bCs/>
          <w:sz w:val="24"/>
        </w:rPr>
        <w:t>基金托管费每日计提，逐日累计至每月月末，按月支付，经基金管理人与基金托管人双方核对无误后，基金托管人</w:t>
      </w:r>
      <w:r>
        <w:rPr>
          <w:rFonts w:hint="eastAsia" w:ascii="宋体" w:hAnsi="宋体" w:cs="宋体"/>
          <w:bCs/>
          <w:sz w:val="24"/>
          <w:szCs w:val="24"/>
        </w:rPr>
        <w:t>按照</w:t>
      </w:r>
      <w:r>
        <w:rPr>
          <w:rFonts w:hint="eastAsia" w:ascii="宋体" w:hAnsi="宋体" w:cs="宋体"/>
          <w:sz w:val="24"/>
          <w:szCs w:val="24"/>
        </w:rPr>
        <w:t>与基金管理人协商一致的方式</w:t>
      </w:r>
      <w:r>
        <w:rPr>
          <w:rFonts w:hint="eastAsia" w:ascii="宋体" w:hAnsi="宋体" w:cs="宋体"/>
          <w:bCs/>
          <w:sz w:val="24"/>
        </w:rPr>
        <w:t>于次月首日起5个工作日内从基金财产中一次性支取。若遇法定节假日、公休假或不可抗力等，支付日期顺延。</w:t>
      </w:r>
    </w:p>
    <w:bookmarkEnd w:id="432"/>
    <w:bookmarkEnd w:id="433"/>
    <w:p>
      <w:pPr>
        <w:spacing w:line="360" w:lineRule="auto"/>
        <w:ind w:firstLine="480" w:firstLineChars="200"/>
        <w:rPr>
          <w:rFonts w:ascii="宋体" w:hAnsi="宋体" w:cs="宋体"/>
          <w:bCs/>
          <w:sz w:val="24"/>
        </w:rPr>
      </w:pPr>
      <w:r>
        <w:rPr>
          <w:rFonts w:hint="eastAsia" w:ascii="宋体" w:hAnsi="宋体" w:cs="宋体"/>
          <w:bCs/>
          <w:sz w:val="24"/>
        </w:rPr>
        <w:t>上述“一、基金费用的种类”中第3-</w:t>
      </w:r>
      <w:r>
        <w:rPr>
          <w:rFonts w:ascii="宋体" w:hAnsi="宋体" w:cs="宋体"/>
          <w:bCs/>
          <w:sz w:val="24"/>
        </w:rPr>
        <w:t>9</w:t>
      </w:r>
      <w:r>
        <w:rPr>
          <w:rFonts w:hint="eastAsia" w:ascii="宋体" w:hAnsi="宋体" w:cs="宋体"/>
          <w:bCs/>
          <w:sz w:val="24"/>
        </w:rPr>
        <w:t>项费用，根据有关法规及相应协议规定，按费用实际支出金额列入当期费用，由基金托管人从基金财产中支付。</w:t>
      </w:r>
    </w:p>
    <w:p>
      <w:pPr>
        <w:spacing w:line="360" w:lineRule="auto"/>
        <w:ind w:firstLine="480" w:firstLineChars="200"/>
        <w:rPr>
          <w:rFonts w:ascii="宋体" w:hAnsi="宋体" w:cs="宋体"/>
          <w:bCs/>
          <w:sz w:val="24"/>
        </w:rPr>
      </w:pPr>
    </w:p>
    <w:p>
      <w:pPr>
        <w:spacing w:line="360" w:lineRule="auto"/>
        <w:ind w:firstLine="482" w:firstLineChars="200"/>
        <w:rPr>
          <w:rFonts w:ascii="宋体" w:hAnsi="宋体" w:cs="宋体"/>
          <w:b/>
          <w:sz w:val="24"/>
        </w:rPr>
      </w:pPr>
      <w:r>
        <w:rPr>
          <w:rFonts w:hint="eastAsia" w:ascii="宋体" w:hAnsi="宋体" w:cs="宋体"/>
          <w:b/>
          <w:sz w:val="24"/>
        </w:rPr>
        <w:t>三、不列入基金费用的项目</w:t>
      </w:r>
    </w:p>
    <w:p>
      <w:pPr>
        <w:spacing w:line="360" w:lineRule="auto"/>
        <w:ind w:firstLine="480" w:firstLineChars="200"/>
        <w:rPr>
          <w:rFonts w:ascii="宋体" w:hAnsi="宋体" w:cs="宋体"/>
          <w:bCs/>
          <w:sz w:val="24"/>
        </w:rPr>
      </w:pPr>
      <w:r>
        <w:rPr>
          <w:rFonts w:hint="eastAsia" w:ascii="宋体" w:hAnsi="宋体" w:cs="宋体"/>
          <w:bCs/>
          <w:sz w:val="24"/>
        </w:rPr>
        <w:t>下列费用不列入基金费用：</w:t>
      </w:r>
    </w:p>
    <w:p>
      <w:pPr>
        <w:spacing w:line="360" w:lineRule="auto"/>
        <w:ind w:firstLine="480" w:firstLineChars="200"/>
        <w:rPr>
          <w:rFonts w:ascii="宋体" w:hAnsi="宋体" w:cs="宋体"/>
          <w:bCs/>
          <w:sz w:val="24"/>
        </w:rPr>
      </w:pPr>
      <w:r>
        <w:rPr>
          <w:rFonts w:hint="eastAsia" w:ascii="宋体" w:hAnsi="宋体" w:cs="宋体"/>
          <w:bCs/>
          <w:sz w:val="24"/>
        </w:rPr>
        <w:t>1、基金管理人和基金托管人因未履行或未完全履行义务导致的费用支出或基金财产的损失；</w:t>
      </w:r>
    </w:p>
    <w:p>
      <w:pPr>
        <w:spacing w:line="360" w:lineRule="auto"/>
        <w:ind w:firstLine="480" w:firstLineChars="200"/>
        <w:rPr>
          <w:rFonts w:ascii="宋体" w:hAnsi="宋体" w:cs="宋体"/>
          <w:bCs/>
          <w:sz w:val="24"/>
        </w:rPr>
      </w:pPr>
      <w:r>
        <w:rPr>
          <w:rFonts w:hint="eastAsia" w:ascii="宋体" w:hAnsi="宋体" w:cs="宋体"/>
          <w:bCs/>
          <w:sz w:val="24"/>
        </w:rPr>
        <w:t>2、基金管理人和基金托管人处理与基金运作无关的事项发生的费用；</w:t>
      </w:r>
    </w:p>
    <w:p>
      <w:pPr>
        <w:spacing w:line="360" w:lineRule="auto"/>
        <w:ind w:firstLine="480" w:firstLineChars="200"/>
        <w:rPr>
          <w:rFonts w:ascii="宋体" w:hAnsi="宋体" w:cs="宋体"/>
          <w:bCs/>
          <w:sz w:val="24"/>
        </w:rPr>
      </w:pPr>
      <w:r>
        <w:rPr>
          <w:rFonts w:hint="eastAsia" w:ascii="宋体" w:hAnsi="宋体" w:cs="宋体"/>
          <w:bCs/>
          <w:sz w:val="24"/>
        </w:rPr>
        <w:t>3、《基金合同》生效前的相关费用；</w:t>
      </w:r>
    </w:p>
    <w:p>
      <w:pPr>
        <w:spacing w:line="360" w:lineRule="auto"/>
        <w:ind w:firstLine="480" w:firstLineChars="200"/>
        <w:rPr>
          <w:rFonts w:hint="eastAsia" w:ascii="宋体" w:hAnsi="宋体" w:cs="宋体"/>
          <w:bCs/>
          <w:sz w:val="24"/>
        </w:rPr>
      </w:pPr>
      <w:r>
        <w:rPr>
          <w:rFonts w:hint="eastAsia" w:ascii="宋体" w:hAnsi="宋体" w:cs="宋体"/>
          <w:bCs/>
          <w:sz w:val="24"/>
        </w:rPr>
        <w:t>4、其他根据相关法律法规及中国证监会的有关规定不得列入基金费用的项目。</w:t>
      </w:r>
      <w:bookmarkStart w:id="434" w:name="_Hlt88827255"/>
      <w:bookmarkEnd w:id="434"/>
    </w:p>
    <w:p>
      <w:pPr>
        <w:spacing w:line="360" w:lineRule="auto"/>
        <w:ind w:firstLine="480" w:firstLineChars="200"/>
        <w:rPr>
          <w:rFonts w:hint="eastAsia" w:ascii="宋体" w:hAnsi="宋体" w:cs="宋体"/>
          <w:bCs/>
          <w:sz w:val="24"/>
        </w:rPr>
      </w:pPr>
      <w:bookmarkStart w:id="611" w:name="_GoBack"/>
      <w:bookmarkEnd w:id="611"/>
    </w:p>
    <w:p>
      <w:pPr>
        <w:spacing w:line="360" w:lineRule="auto"/>
        <w:ind w:firstLine="482" w:firstLineChars="200"/>
        <w:rPr>
          <w:rFonts w:ascii="宋体" w:hAnsi="宋体" w:cs="宋体"/>
          <w:b/>
          <w:sz w:val="24"/>
        </w:rPr>
      </w:pPr>
      <w:r>
        <w:rPr>
          <w:rFonts w:hint="eastAsia" w:ascii="宋体" w:hAnsi="宋体" w:cs="宋体"/>
          <w:b/>
          <w:sz w:val="24"/>
        </w:rPr>
        <w:t>四、基金综合费用水平</w:t>
      </w:r>
    </w:p>
    <w:p>
      <w:pPr>
        <w:spacing w:line="360" w:lineRule="auto"/>
        <w:ind w:firstLine="480" w:firstLineChars="200"/>
        <w:rPr>
          <w:rFonts w:ascii="宋体" w:hAnsi="宋体" w:cs="宋体"/>
          <w:bCs/>
          <w:sz w:val="24"/>
        </w:rPr>
      </w:pPr>
      <w:r>
        <w:rPr>
          <w:rFonts w:hint="eastAsia" w:ascii="宋体" w:hAnsi="宋体" w:cs="宋体"/>
          <w:bCs/>
          <w:sz w:val="24"/>
        </w:rPr>
        <w:t>本基金综合费用水平在招募说明书及产品资料概要中列示。</w:t>
      </w:r>
    </w:p>
    <w:p>
      <w:pPr>
        <w:spacing w:line="360" w:lineRule="auto"/>
        <w:ind w:firstLine="480" w:firstLineChars="200"/>
        <w:rPr>
          <w:rFonts w:ascii="宋体" w:hAnsi="宋体" w:cs="宋体"/>
          <w:bCs/>
          <w:sz w:val="24"/>
        </w:rPr>
      </w:pPr>
    </w:p>
    <w:p>
      <w:pPr>
        <w:spacing w:line="360" w:lineRule="auto"/>
        <w:ind w:firstLine="482" w:firstLineChars="200"/>
        <w:rPr>
          <w:rFonts w:ascii="宋体" w:hAnsi="宋体" w:cs="宋体"/>
          <w:b/>
          <w:sz w:val="24"/>
        </w:rPr>
      </w:pPr>
      <w:r>
        <w:rPr>
          <w:rFonts w:hint="eastAsia" w:ascii="宋体" w:hAnsi="宋体" w:cs="宋体"/>
          <w:b/>
          <w:sz w:val="24"/>
        </w:rPr>
        <w:t>五、基金税收</w:t>
      </w:r>
    </w:p>
    <w:p>
      <w:pPr>
        <w:spacing w:line="360" w:lineRule="auto"/>
        <w:ind w:firstLine="480" w:firstLineChars="200"/>
        <w:rPr>
          <w:rFonts w:ascii="宋体" w:hAnsi="宋体" w:cs="宋体"/>
          <w:sz w:val="24"/>
        </w:rPr>
      </w:pPr>
      <w:r>
        <w:rPr>
          <w:rFonts w:hint="eastAsia" w:ascii="宋体" w:hAnsi="宋体" w:cs="宋体"/>
          <w:sz w:val="24"/>
        </w:rPr>
        <w:t>本基金运作过程中涉及的各纳税主体，其纳税义务按国家税收法律、法规执行。基金财产投资的相关税收，由基金份额持有人承担，基金管理人或者其他扣缴义务人按照国家有关税收征收的规定代扣代缴。</w:t>
      </w:r>
    </w:p>
    <w:p>
      <w:pPr>
        <w:spacing w:line="360" w:lineRule="auto"/>
        <w:ind w:firstLine="480" w:firstLineChars="200"/>
        <w:rPr>
          <w:rFonts w:ascii="宋体" w:hAnsi="宋体" w:cs="宋体"/>
          <w:bCs/>
          <w:sz w:val="24"/>
        </w:rPr>
      </w:pPr>
    </w:p>
    <w:p>
      <w:pPr>
        <w:pStyle w:val="2"/>
        <w:spacing w:before="0" w:after="0"/>
        <w:jc w:val="center"/>
        <w:rPr>
          <w:rFonts w:hAnsi="宋体" w:cs="宋体"/>
          <w:color w:val="auto"/>
          <w:sz w:val="30"/>
        </w:rPr>
      </w:pPr>
      <w:bookmarkStart w:id="435" w:name="_Toc93226149"/>
      <w:bookmarkStart w:id="436" w:name="_Toc92662707"/>
      <w:bookmarkStart w:id="437" w:name="_Toc139991746"/>
      <w:bookmarkStart w:id="438" w:name="_Toc128310499"/>
      <w:bookmarkStart w:id="439" w:name="_Toc141703896"/>
      <w:bookmarkStart w:id="440" w:name="_Toc22552"/>
      <w:r>
        <w:rPr>
          <w:rFonts w:hint="eastAsia" w:hAnsi="宋体" w:cs="宋体"/>
          <w:b w:val="0"/>
          <w:bCs/>
          <w:color w:val="auto"/>
          <w:sz w:val="30"/>
        </w:rPr>
        <w:br w:type="page"/>
      </w:r>
      <w:bookmarkEnd w:id="429"/>
      <w:bookmarkStart w:id="441" w:name="_Toc21829"/>
      <w:bookmarkStart w:id="442" w:name="_Toc178"/>
      <w:bookmarkStart w:id="443" w:name="_Toc20052"/>
      <w:bookmarkStart w:id="444" w:name="_Toc3656"/>
      <w:bookmarkStart w:id="445" w:name="_Toc15525"/>
      <w:bookmarkStart w:id="446" w:name="_Toc15351"/>
      <w:bookmarkStart w:id="447" w:name="_Toc12761"/>
      <w:bookmarkStart w:id="448" w:name="_Toc1617"/>
      <w:bookmarkStart w:id="449" w:name="_Toc7696"/>
      <w:bookmarkStart w:id="450" w:name="_Toc25883"/>
      <w:bookmarkStart w:id="451" w:name="_Toc19558"/>
      <w:r>
        <w:rPr>
          <w:rFonts w:hint="eastAsia" w:hAnsi="宋体" w:cs="宋体"/>
          <w:color w:val="auto"/>
          <w:sz w:val="30"/>
        </w:rPr>
        <w:t>第十六部分  基金</w:t>
      </w:r>
      <w:bookmarkEnd w:id="435"/>
      <w:bookmarkEnd w:id="436"/>
      <w:r>
        <w:rPr>
          <w:rFonts w:hint="eastAsia" w:hAnsi="宋体" w:cs="宋体"/>
          <w:color w:val="auto"/>
          <w:sz w:val="30"/>
        </w:rPr>
        <w:t>的收益与分配</w:t>
      </w:r>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p>
    <w:p>
      <w:pPr>
        <w:rPr>
          <w:rFonts w:ascii="宋体" w:hAnsi="宋体" w:cs="宋体"/>
          <w:bCs/>
        </w:rPr>
      </w:pPr>
    </w:p>
    <w:p>
      <w:pPr>
        <w:spacing w:line="360" w:lineRule="auto"/>
        <w:ind w:firstLine="542" w:firstLineChars="225"/>
        <w:rPr>
          <w:rFonts w:ascii="宋体" w:hAnsi="宋体" w:cs="宋体"/>
          <w:b/>
          <w:sz w:val="24"/>
        </w:rPr>
      </w:pPr>
      <w:bookmarkStart w:id="452" w:name="OLE_LINK74"/>
      <w:r>
        <w:rPr>
          <w:rFonts w:hint="eastAsia" w:ascii="宋体" w:hAnsi="宋体" w:cs="宋体"/>
          <w:b/>
          <w:sz w:val="24"/>
        </w:rPr>
        <w:t>一、基金利润的构成</w:t>
      </w:r>
    </w:p>
    <w:p>
      <w:pPr>
        <w:spacing w:line="360" w:lineRule="auto"/>
        <w:ind w:firstLine="540" w:firstLineChars="225"/>
        <w:rPr>
          <w:rFonts w:ascii="宋体" w:hAnsi="宋体" w:cs="宋体"/>
          <w:bCs/>
          <w:sz w:val="24"/>
        </w:rPr>
      </w:pPr>
      <w:r>
        <w:rPr>
          <w:rFonts w:hint="eastAsia" w:ascii="宋体" w:hAnsi="宋体" w:cs="宋体"/>
          <w:bCs/>
          <w:sz w:val="24"/>
        </w:rPr>
        <w:t>基金利润指基金利息收入、投资收益、公允价值变动收益和其他收入扣除相关费用后的余额，基金已实现收益指基金利润减去公允价值变动收益后的余额。</w:t>
      </w:r>
    </w:p>
    <w:p>
      <w:pPr>
        <w:spacing w:line="360" w:lineRule="auto"/>
        <w:ind w:firstLine="540" w:firstLineChars="225"/>
        <w:rPr>
          <w:rFonts w:ascii="宋体" w:hAnsi="宋体" w:cs="宋体"/>
          <w:bCs/>
          <w:sz w:val="24"/>
        </w:rPr>
      </w:pPr>
    </w:p>
    <w:p>
      <w:pPr>
        <w:spacing w:line="360" w:lineRule="auto"/>
        <w:ind w:firstLine="542" w:firstLineChars="225"/>
        <w:rPr>
          <w:rFonts w:ascii="宋体" w:hAnsi="宋体" w:cs="宋体"/>
          <w:b/>
          <w:sz w:val="24"/>
        </w:rPr>
      </w:pPr>
      <w:r>
        <w:rPr>
          <w:rFonts w:hint="eastAsia" w:ascii="宋体" w:hAnsi="宋体" w:cs="宋体"/>
          <w:b/>
          <w:sz w:val="24"/>
        </w:rPr>
        <w:t>二、基金可供分配利润</w:t>
      </w:r>
    </w:p>
    <w:p>
      <w:pPr>
        <w:spacing w:line="360" w:lineRule="auto"/>
        <w:ind w:firstLine="540" w:firstLineChars="225"/>
        <w:rPr>
          <w:rFonts w:ascii="宋体" w:hAnsi="宋体" w:cs="宋体"/>
          <w:bCs/>
          <w:sz w:val="24"/>
        </w:rPr>
      </w:pPr>
      <w:r>
        <w:rPr>
          <w:rFonts w:hint="eastAsia" w:ascii="宋体" w:hAnsi="宋体" w:cs="宋体"/>
          <w:bCs/>
          <w:sz w:val="24"/>
        </w:rPr>
        <w:t>基金可供分配利润指截至收益分配基准日基金未分配利润与未分配利润中已实现收益的孰低数。</w:t>
      </w:r>
    </w:p>
    <w:p>
      <w:pPr>
        <w:spacing w:line="360" w:lineRule="auto"/>
        <w:ind w:firstLine="540" w:firstLineChars="225"/>
        <w:rPr>
          <w:rFonts w:ascii="宋体" w:hAnsi="宋体" w:cs="宋体"/>
          <w:bCs/>
          <w:sz w:val="24"/>
        </w:rPr>
      </w:pPr>
    </w:p>
    <w:p>
      <w:pPr>
        <w:spacing w:line="360" w:lineRule="auto"/>
        <w:ind w:firstLine="542" w:firstLineChars="225"/>
        <w:rPr>
          <w:rFonts w:ascii="宋体" w:hAnsi="宋体" w:cs="宋体"/>
          <w:b/>
          <w:sz w:val="24"/>
        </w:rPr>
      </w:pPr>
      <w:r>
        <w:rPr>
          <w:rFonts w:hint="eastAsia" w:ascii="宋体" w:hAnsi="宋体" w:cs="宋体"/>
          <w:b/>
          <w:sz w:val="24"/>
        </w:rPr>
        <w:t>三、基金收益分配原则</w:t>
      </w:r>
    </w:p>
    <w:p>
      <w:pPr>
        <w:spacing w:line="360" w:lineRule="auto"/>
        <w:ind w:firstLine="540" w:firstLineChars="225"/>
        <w:rPr>
          <w:rFonts w:ascii="宋体" w:hAnsi="宋体" w:cs="宋体"/>
          <w:bCs/>
          <w:sz w:val="24"/>
        </w:rPr>
      </w:pPr>
      <w:r>
        <w:rPr>
          <w:rFonts w:hint="eastAsia" w:ascii="宋体" w:hAnsi="宋体" w:cs="宋体"/>
          <w:bCs/>
          <w:sz w:val="24"/>
        </w:rPr>
        <w:t>1、在符合有关基金分红条件的前提下，本基金每年至少进行收益分配1次，每次收益分配的比例应不低于基金年度可供分配金额的90%，具体分配方案以公告为准，若《基金合同》生效不满3个月可不进行收益分配；</w:t>
      </w:r>
    </w:p>
    <w:p>
      <w:pPr>
        <w:spacing w:line="360" w:lineRule="auto"/>
        <w:ind w:firstLine="540" w:firstLineChars="225"/>
        <w:rPr>
          <w:rFonts w:ascii="宋体" w:hAnsi="宋体" w:cs="宋体"/>
          <w:bCs/>
          <w:sz w:val="24"/>
        </w:rPr>
      </w:pPr>
      <w:r>
        <w:rPr>
          <w:rFonts w:hint="eastAsia" w:ascii="宋体" w:hAnsi="宋体" w:cs="宋体"/>
          <w:bCs/>
          <w:sz w:val="24"/>
        </w:rPr>
        <w:t>2、本基金收益分配采取现金分红方式；</w:t>
      </w:r>
    </w:p>
    <w:p>
      <w:pPr>
        <w:spacing w:line="360" w:lineRule="auto"/>
        <w:ind w:firstLine="540" w:firstLineChars="225"/>
        <w:rPr>
          <w:rFonts w:ascii="宋体" w:hAnsi="宋体" w:cs="宋体"/>
          <w:bCs/>
          <w:sz w:val="24"/>
        </w:rPr>
      </w:pPr>
      <w:r>
        <w:rPr>
          <w:rFonts w:hint="eastAsia" w:ascii="宋体" w:hAnsi="宋体" w:cs="宋体"/>
          <w:bCs/>
          <w:sz w:val="24"/>
        </w:rPr>
        <w:t>3、基金收益分配后基金份额净值不能低于面值，即基金收益分配基准日的 基金份额净值减去每单位基金份额收益分配金额后不能低于面值；</w:t>
      </w:r>
    </w:p>
    <w:p>
      <w:pPr>
        <w:spacing w:line="360" w:lineRule="auto"/>
        <w:ind w:firstLine="540" w:firstLineChars="225"/>
        <w:rPr>
          <w:rFonts w:ascii="宋体" w:hAnsi="宋体" w:cs="宋体"/>
          <w:bCs/>
          <w:sz w:val="24"/>
        </w:rPr>
      </w:pPr>
      <w:r>
        <w:rPr>
          <w:rFonts w:hint="eastAsia" w:ascii="宋体" w:hAnsi="宋体" w:cs="宋体"/>
          <w:bCs/>
          <w:sz w:val="24"/>
        </w:rPr>
        <w:t>4、每一基金份额享有同等分配权；</w:t>
      </w:r>
    </w:p>
    <w:p>
      <w:pPr>
        <w:spacing w:line="360" w:lineRule="auto"/>
        <w:ind w:firstLine="540" w:firstLineChars="225"/>
        <w:rPr>
          <w:rFonts w:ascii="宋体" w:hAnsi="宋体" w:cs="宋体"/>
          <w:bCs/>
          <w:sz w:val="24"/>
        </w:rPr>
      </w:pPr>
      <w:r>
        <w:rPr>
          <w:rFonts w:hint="eastAsia" w:ascii="宋体" w:hAnsi="宋体" w:cs="宋体"/>
          <w:bCs/>
          <w:sz w:val="24"/>
        </w:rPr>
        <w:t>5、法律法规或监管机关另有规定的，从其规定。</w:t>
      </w:r>
    </w:p>
    <w:p>
      <w:pPr>
        <w:spacing w:line="360" w:lineRule="auto"/>
        <w:ind w:firstLine="540" w:firstLineChars="225"/>
        <w:rPr>
          <w:rFonts w:ascii="宋体" w:hAnsi="宋体" w:cs="宋体"/>
          <w:bCs/>
          <w:sz w:val="24"/>
        </w:rPr>
      </w:pPr>
      <w:r>
        <w:rPr>
          <w:rFonts w:hint="eastAsia" w:ascii="宋体" w:hAnsi="宋体" w:cs="宋体"/>
          <w:bCs/>
          <w:sz w:val="24"/>
        </w:rPr>
        <w:t>本基金每次收益分配比例详见届时基金管理人发布的公告。在不违反法律法规及基金合同约定，并对基金份额持有人利益无实质不利影响的前提下，</w:t>
      </w:r>
      <w:r>
        <w:rPr>
          <w:rFonts w:hint="eastAsia"/>
          <w:bCs/>
          <w:sz w:val="24"/>
        </w:rPr>
        <w:t>履行适当程序后，</w:t>
      </w:r>
      <w:r>
        <w:rPr>
          <w:rFonts w:hint="eastAsia" w:ascii="宋体" w:hAnsi="宋体" w:cs="宋体"/>
          <w:bCs/>
          <w:sz w:val="24"/>
        </w:rPr>
        <w:t>基金管理人可对基金收益分配原则和支付方式进行调整。</w:t>
      </w:r>
    </w:p>
    <w:p>
      <w:pPr>
        <w:spacing w:line="360" w:lineRule="auto"/>
        <w:ind w:firstLine="540" w:firstLineChars="225"/>
        <w:rPr>
          <w:rFonts w:ascii="宋体" w:hAnsi="宋体" w:cs="宋体"/>
          <w:bCs/>
          <w:sz w:val="24"/>
        </w:rPr>
      </w:pPr>
    </w:p>
    <w:p>
      <w:pPr>
        <w:spacing w:line="360" w:lineRule="auto"/>
        <w:ind w:firstLine="542" w:firstLineChars="225"/>
        <w:rPr>
          <w:rFonts w:ascii="宋体" w:hAnsi="宋体" w:cs="宋体"/>
          <w:b/>
          <w:sz w:val="24"/>
        </w:rPr>
      </w:pPr>
      <w:r>
        <w:rPr>
          <w:rFonts w:hint="eastAsia" w:ascii="宋体" w:hAnsi="宋体" w:cs="宋体"/>
          <w:b/>
          <w:sz w:val="24"/>
        </w:rPr>
        <w:t>四、收益分配方案</w:t>
      </w:r>
    </w:p>
    <w:p>
      <w:pPr>
        <w:spacing w:line="360" w:lineRule="auto"/>
        <w:ind w:firstLine="540" w:firstLineChars="225"/>
        <w:rPr>
          <w:rFonts w:ascii="宋体" w:hAnsi="宋体" w:cs="宋体"/>
          <w:bCs/>
          <w:sz w:val="24"/>
        </w:rPr>
      </w:pPr>
      <w:r>
        <w:rPr>
          <w:rFonts w:hint="eastAsia" w:ascii="宋体" w:hAnsi="宋体" w:cs="宋体"/>
          <w:bCs/>
          <w:sz w:val="24"/>
        </w:rPr>
        <w:t>基金收益分配方案中应载明截止收益分配基准日的可供分配利润、基金收益分配对象、分配时间、分配数额及比例、分配方式等内容。</w:t>
      </w:r>
    </w:p>
    <w:p>
      <w:pPr>
        <w:spacing w:line="360" w:lineRule="auto"/>
        <w:ind w:firstLine="540" w:firstLineChars="225"/>
        <w:rPr>
          <w:rFonts w:ascii="宋体" w:hAnsi="宋体" w:cs="宋体"/>
          <w:bCs/>
          <w:sz w:val="24"/>
        </w:rPr>
      </w:pPr>
    </w:p>
    <w:p>
      <w:pPr>
        <w:spacing w:line="360" w:lineRule="auto"/>
        <w:ind w:firstLine="542" w:firstLineChars="225"/>
        <w:rPr>
          <w:rFonts w:ascii="宋体" w:hAnsi="宋体" w:cs="宋体"/>
          <w:b/>
          <w:sz w:val="24"/>
        </w:rPr>
      </w:pPr>
      <w:r>
        <w:rPr>
          <w:rFonts w:hint="eastAsia" w:ascii="宋体" w:hAnsi="宋体" w:cs="宋体"/>
          <w:b/>
          <w:sz w:val="24"/>
        </w:rPr>
        <w:t>五、收益分配方案的确定、公告与实施</w:t>
      </w:r>
    </w:p>
    <w:p>
      <w:pPr>
        <w:spacing w:line="360" w:lineRule="auto"/>
        <w:ind w:firstLine="540" w:firstLineChars="225"/>
        <w:rPr>
          <w:rFonts w:ascii="宋体" w:hAnsi="宋体" w:cs="宋体"/>
          <w:bCs/>
          <w:sz w:val="24"/>
        </w:rPr>
      </w:pPr>
      <w:r>
        <w:rPr>
          <w:rFonts w:hint="eastAsia" w:ascii="宋体" w:hAnsi="宋体" w:cs="宋体"/>
          <w:bCs/>
          <w:sz w:val="24"/>
        </w:rPr>
        <w:t>本基金收益分配方案由基金管理人拟定，并由基金托管人复核，依照《信息披露办法》的有关规定在规定媒介公告。</w:t>
      </w:r>
    </w:p>
    <w:p>
      <w:pPr>
        <w:spacing w:line="360" w:lineRule="auto"/>
        <w:ind w:firstLine="540" w:firstLineChars="225"/>
        <w:rPr>
          <w:rFonts w:ascii="宋体" w:hAnsi="宋体" w:cs="宋体"/>
          <w:bCs/>
          <w:sz w:val="24"/>
        </w:rPr>
      </w:pPr>
    </w:p>
    <w:p>
      <w:pPr>
        <w:spacing w:line="360" w:lineRule="auto"/>
        <w:ind w:firstLine="542" w:firstLineChars="225"/>
        <w:rPr>
          <w:rFonts w:ascii="宋体" w:hAnsi="宋体" w:cs="宋体"/>
          <w:b/>
          <w:sz w:val="24"/>
        </w:rPr>
      </w:pPr>
      <w:r>
        <w:rPr>
          <w:rFonts w:hint="eastAsia" w:ascii="宋体" w:hAnsi="宋体" w:cs="宋体"/>
          <w:b/>
          <w:sz w:val="24"/>
        </w:rPr>
        <w:t>六、基金收益分配中发生的费用</w:t>
      </w:r>
    </w:p>
    <w:p>
      <w:pPr>
        <w:spacing w:line="360" w:lineRule="auto"/>
        <w:ind w:firstLine="540" w:firstLineChars="225"/>
        <w:rPr>
          <w:rFonts w:ascii="宋体" w:hAnsi="宋体" w:cs="宋体"/>
          <w:bCs/>
          <w:sz w:val="24"/>
        </w:rPr>
      </w:pPr>
      <w:r>
        <w:rPr>
          <w:rFonts w:hint="eastAsia" w:ascii="宋体" w:hAnsi="宋体" w:cs="宋体"/>
          <w:bCs/>
          <w:sz w:val="24"/>
        </w:rPr>
        <w:t>基金收益分</w:t>
      </w:r>
      <w:bookmarkStart w:id="453" w:name="OLE_LINK196"/>
      <w:bookmarkStart w:id="454" w:name="OLE_LINK195"/>
      <w:r>
        <w:rPr>
          <w:rFonts w:hint="eastAsia" w:ascii="宋体" w:hAnsi="宋体" w:cs="宋体"/>
          <w:bCs/>
          <w:sz w:val="24"/>
        </w:rPr>
        <w:t>配时所发生的银行转账或其他手续费用由投</w:t>
      </w:r>
      <w:bookmarkEnd w:id="453"/>
      <w:bookmarkEnd w:id="454"/>
      <w:r>
        <w:rPr>
          <w:rFonts w:hint="eastAsia" w:ascii="宋体" w:hAnsi="宋体" w:cs="宋体"/>
          <w:bCs/>
          <w:sz w:val="24"/>
        </w:rPr>
        <w:t>资者自行承担。</w:t>
      </w:r>
    </w:p>
    <w:p>
      <w:pPr>
        <w:spacing w:line="360" w:lineRule="auto"/>
        <w:ind w:firstLine="540" w:firstLineChars="225"/>
        <w:rPr>
          <w:rFonts w:ascii="宋体" w:hAnsi="宋体" w:cs="宋体"/>
          <w:bCs/>
          <w:sz w:val="24"/>
        </w:rPr>
      </w:pPr>
    </w:p>
    <w:p>
      <w:pPr>
        <w:pStyle w:val="2"/>
        <w:spacing w:before="0" w:after="0"/>
        <w:jc w:val="center"/>
        <w:rPr>
          <w:rFonts w:hAnsi="宋体" w:cs="宋体"/>
          <w:color w:val="auto"/>
          <w:sz w:val="30"/>
        </w:rPr>
      </w:pPr>
      <w:r>
        <w:rPr>
          <w:rFonts w:hint="eastAsia" w:hAnsi="宋体" w:cs="宋体"/>
          <w:b w:val="0"/>
          <w:bCs/>
          <w:color w:val="auto"/>
          <w:kern w:val="44"/>
          <w:sz w:val="21"/>
        </w:rPr>
        <w:br w:type="page"/>
      </w:r>
      <w:bookmarkEnd w:id="452"/>
      <w:bookmarkStart w:id="455" w:name="_Toc93226150"/>
      <w:bookmarkStart w:id="456" w:name="_Toc92662708"/>
      <w:bookmarkStart w:id="457" w:name="_Toc128310500"/>
      <w:bookmarkStart w:id="458" w:name="_Toc18007"/>
      <w:bookmarkStart w:id="459" w:name="_Toc13255"/>
      <w:bookmarkStart w:id="460" w:name="_Toc17499"/>
      <w:bookmarkStart w:id="461" w:name="_Toc28961"/>
      <w:bookmarkStart w:id="462" w:name="_Toc18747"/>
      <w:bookmarkStart w:id="463" w:name="_Toc139991747"/>
      <w:bookmarkStart w:id="464" w:name="_Toc29695"/>
      <w:bookmarkStart w:id="465" w:name="_Toc23859"/>
      <w:bookmarkStart w:id="466" w:name="_Toc1043"/>
      <w:bookmarkStart w:id="467" w:name="_Toc10894"/>
      <w:bookmarkStart w:id="468" w:name="_Toc21206"/>
      <w:bookmarkStart w:id="469" w:name="_Toc17330"/>
      <w:bookmarkStart w:id="470" w:name="_Toc141703897"/>
      <w:bookmarkStart w:id="471" w:name="_Toc31736"/>
      <w:r>
        <w:rPr>
          <w:rFonts w:hint="eastAsia" w:hAnsi="宋体" w:cs="宋体"/>
          <w:color w:val="auto"/>
          <w:sz w:val="30"/>
        </w:rPr>
        <w:t>第十七部分  基金</w:t>
      </w:r>
      <w:bookmarkEnd w:id="455"/>
      <w:bookmarkEnd w:id="456"/>
      <w:r>
        <w:rPr>
          <w:rFonts w:hint="eastAsia" w:hAnsi="宋体" w:cs="宋体"/>
          <w:color w:val="auto"/>
          <w:sz w:val="30"/>
        </w:rPr>
        <w:t>的会计与审计</w:t>
      </w:r>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p>
    <w:p>
      <w:pPr>
        <w:spacing w:line="360" w:lineRule="auto"/>
        <w:ind w:firstLine="480" w:firstLineChars="200"/>
        <w:rPr>
          <w:rFonts w:ascii="宋体" w:hAnsi="宋体" w:cs="宋体"/>
          <w:bCs/>
          <w:sz w:val="24"/>
        </w:rPr>
      </w:pPr>
    </w:p>
    <w:p>
      <w:pPr>
        <w:spacing w:line="360" w:lineRule="auto"/>
        <w:ind w:firstLine="482" w:firstLineChars="200"/>
        <w:rPr>
          <w:rFonts w:ascii="宋体" w:hAnsi="宋体" w:cs="宋体"/>
          <w:b/>
          <w:sz w:val="24"/>
        </w:rPr>
      </w:pPr>
      <w:bookmarkStart w:id="472" w:name="OLE_LINK78"/>
      <w:bookmarkStart w:id="473" w:name="OLE_LINK77"/>
      <w:bookmarkStart w:id="474" w:name="OLE_LINK76"/>
      <w:bookmarkStart w:id="475" w:name="OLE_LINK75"/>
      <w:r>
        <w:rPr>
          <w:rFonts w:hint="eastAsia" w:ascii="宋体" w:hAnsi="宋体" w:cs="宋体"/>
          <w:b/>
          <w:sz w:val="24"/>
        </w:rPr>
        <w:t>一、基金会计政策</w:t>
      </w:r>
    </w:p>
    <w:p>
      <w:pPr>
        <w:spacing w:line="360" w:lineRule="auto"/>
        <w:ind w:firstLine="480" w:firstLineChars="200"/>
        <w:rPr>
          <w:rFonts w:ascii="宋体" w:hAnsi="宋体" w:cs="宋体"/>
          <w:bCs/>
          <w:sz w:val="24"/>
        </w:rPr>
      </w:pPr>
      <w:r>
        <w:rPr>
          <w:rFonts w:hint="eastAsia" w:ascii="宋体" w:hAnsi="宋体" w:cs="宋体"/>
          <w:bCs/>
          <w:sz w:val="24"/>
        </w:rPr>
        <w:t>1、基金管理人为本基金的基金会计责任方；</w:t>
      </w:r>
    </w:p>
    <w:p>
      <w:pPr>
        <w:spacing w:line="360" w:lineRule="auto"/>
        <w:ind w:firstLine="480" w:firstLineChars="200"/>
        <w:rPr>
          <w:rFonts w:ascii="宋体" w:hAnsi="宋体" w:cs="宋体"/>
          <w:bCs/>
          <w:sz w:val="24"/>
        </w:rPr>
      </w:pPr>
      <w:r>
        <w:rPr>
          <w:rFonts w:hint="eastAsia" w:ascii="宋体" w:hAnsi="宋体" w:cs="宋体"/>
          <w:bCs/>
          <w:sz w:val="24"/>
        </w:rPr>
        <w:t>2、基金的会计年度为公历年度的1月1日至12月31日；基金首次募集的会计年度按如下原则：如果《基金合同》生效少于2个月，可以并入下一个会计年度披露；</w:t>
      </w:r>
    </w:p>
    <w:p>
      <w:pPr>
        <w:spacing w:line="360" w:lineRule="auto"/>
        <w:ind w:firstLine="480" w:firstLineChars="200"/>
        <w:rPr>
          <w:rFonts w:ascii="宋体" w:hAnsi="宋体" w:cs="宋体"/>
          <w:bCs/>
          <w:sz w:val="24"/>
        </w:rPr>
      </w:pPr>
      <w:r>
        <w:rPr>
          <w:rFonts w:hint="eastAsia" w:ascii="宋体" w:hAnsi="宋体" w:cs="宋体"/>
          <w:bCs/>
          <w:sz w:val="24"/>
        </w:rPr>
        <w:t>3、基金核算以人民币为记账本位币，以人民币元为记账单位；</w:t>
      </w:r>
    </w:p>
    <w:p>
      <w:pPr>
        <w:spacing w:line="360" w:lineRule="auto"/>
        <w:ind w:firstLine="480" w:firstLineChars="200"/>
        <w:rPr>
          <w:rFonts w:ascii="宋体" w:hAnsi="宋体" w:cs="宋体"/>
          <w:bCs/>
          <w:sz w:val="24"/>
        </w:rPr>
      </w:pPr>
      <w:r>
        <w:rPr>
          <w:rFonts w:hint="eastAsia" w:ascii="宋体" w:hAnsi="宋体" w:cs="宋体"/>
          <w:bCs/>
          <w:sz w:val="24"/>
        </w:rPr>
        <w:t>4、会计制度执行国家有关会计制度；</w:t>
      </w:r>
    </w:p>
    <w:p>
      <w:pPr>
        <w:spacing w:line="360" w:lineRule="auto"/>
        <w:ind w:firstLine="480" w:firstLineChars="200"/>
        <w:rPr>
          <w:rFonts w:ascii="宋体" w:hAnsi="宋体" w:cs="宋体"/>
          <w:bCs/>
          <w:sz w:val="24"/>
        </w:rPr>
      </w:pPr>
      <w:r>
        <w:rPr>
          <w:rFonts w:hint="eastAsia" w:ascii="宋体" w:hAnsi="宋体" w:cs="宋体"/>
          <w:bCs/>
          <w:sz w:val="24"/>
        </w:rPr>
        <w:t>5、本基金独立建账、独立核算；</w:t>
      </w:r>
    </w:p>
    <w:p>
      <w:pPr>
        <w:spacing w:line="360" w:lineRule="auto"/>
        <w:ind w:firstLine="480" w:firstLineChars="200"/>
        <w:rPr>
          <w:rFonts w:ascii="宋体" w:hAnsi="宋体" w:cs="宋体"/>
          <w:bCs/>
          <w:sz w:val="24"/>
        </w:rPr>
      </w:pPr>
      <w:r>
        <w:rPr>
          <w:rFonts w:hint="eastAsia" w:ascii="宋体" w:hAnsi="宋体" w:cs="宋体"/>
          <w:bCs/>
          <w:sz w:val="24"/>
        </w:rPr>
        <w:t>6、基金管理人及基金托管人各自保留完整的会计账目、凭证并进行日常的会计核算，按照有关规定编制基金会计报表；</w:t>
      </w:r>
    </w:p>
    <w:p>
      <w:pPr>
        <w:spacing w:line="360" w:lineRule="auto"/>
        <w:ind w:firstLine="480" w:firstLineChars="200"/>
        <w:rPr>
          <w:rFonts w:ascii="宋体" w:hAnsi="宋体" w:cs="宋体"/>
          <w:bCs/>
          <w:sz w:val="24"/>
        </w:rPr>
      </w:pPr>
      <w:r>
        <w:rPr>
          <w:rFonts w:hint="eastAsia" w:ascii="宋体" w:hAnsi="宋体" w:cs="宋体"/>
          <w:bCs/>
          <w:sz w:val="24"/>
        </w:rPr>
        <w:t>7、基金托管人每月与基金管理人就基金的会计核算、报表编制等进行核对确认。</w:t>
      </w:r>
    </w:p>
    <w:p>
      <w:pPr>
        <w:spacing w:line="360" w:lineRule="auto"/>
        <w:ind w:firstLine="480" w:firstLineChars="200"/>
        <w:rPr>
          <w:rFonts w:ascii="宋体" w:hAnsi="宋体" w:cs="宋体"/>
          <w:bCs/>
          <w:sz w:val="24"/>
        </w:rPr>
      </w:pPr>
    </w:p>
    <w:p>
      <w:pPr>
        <w:spacing w:line="360" w:lineRule="auto"/>
        <w:ind w:firstLine="482" w:firstLineChars="200"/>
        <w:rPr>
          <w:rFonts w:ascii="宋体" w:hAnsi="宋体" w:cs="宋体"/>
          <w:b/>
          <w:sz w:val="24"/>
        </w:rPr>
      </w:pPr>
      <w:r>
        <w:rPr>
          <w:rFonts w:hint="eastAsia" w:ascii="宋体" w:hAnsi="宋体" w:cs="宋体"/>
          <w:b/>
          <w:sz w:val="24"/>
        </w:rPr>
        <w:t>二、基金的年度审计</w:t>
      </w:r>
    </w:p>
    <w:p>
      <w:pPr>
        <w:spacing w:line="360" w:lineRule="auto"/>
        <w:ind w:firstLine="480" w:firstLineChars="200"/>
        <w:rPr>
          <w:rFonts w:ascii="宋体" w:hAnsi="宋体" w:cs="宋体"/>
          <w:bCs/>
          <w:sz w:val="24"/>
        </w:rPr>
      </w:pPr>
      <w:r>
        <w:rPr>
          <w:rFonts w:hint="eastAsia" w:ascii="宋体" w:hAnsi="宋体" w:cs="宋体"/>
          <w:bCs/>
          <w:sz w:val="24"/>
        </w:rPr>
        <w:t>1、基金管理人聘请与基金管理人、基金托管人相互独立的符合《中华人民共和国证券法》规定的会计师事务所及其注册会计师对本基金的年度财务报表进行审计。</w:t>
      </w:r>
    </w:p>
    <w:p>
      <w:pPr>
        <w:spacing w:line="360" w:lineRule="auto"/>
        <w:ind w:firstLine="480" w:firstLineChars="200"/>
        <w:rPr>
          <w:rFonts w:ascii="宋体" w:hAnsi="宋体" w:cs="宋体"/>
          <w:bCs/>
          <w:sz w:val="24"/>
        </w:rPr>
      </w:pPr>
      <w:r>
        <w:rPr>
          <w:rFonts w:hint="eastAsia" w:ascii="宋体" w:hAnsi="宋体" w:cs="宋体"/>
          <w:bCs/>
          <w:sz w:val="24"/>
        </w:rPr>
        <w:t>2、会计师事务所更换经办注册会计师，应事先征得基金管理人同意。</w:t>
      </w:r>
    </w:p>
    <w:p>
      <w:pPr>
        <w:spacing w:line="360" w:lineRule="auto"/>
        <w:ind w:firstLine="480" w:firstLineChars="200"/>
        <w:rPr>
          <w:rFonts w:ascii="宋体" w:hAnsi="宋体" w:cs="宋体"/>
          <w:bCs/>
          <w:sz w:val="24"/>
        </w:rPr>
      </w:pPr>
      <w:r>
        <w:rPr>
          <w:rFonts w:hint="eastAsia" w:ascii="宋体" w:hAnsi="宋体" w:cs="宋体"/>
          <w:bCs/>
          <w:sz w:val="24"/>
        </w:rPr>
        <w:t>3、</w:t>
      </w:r>
      <w:bookmarkStart w:id="476" w:name="_Hlt4221115"/>
      <w:bookmarkEnd w:id="476"/>
      <w:r>
        <w:rPr>
          <w:rFonts w:hint="eastAsia" w:ascii="宋体" w:hAnsi="宋体" w:cs="宋体"/>
          <w:bCs/>
          <w:sz w:val="24"/>
        </w:rPr>
        <w:t>基金管理人认为有充足理由更换会计师事务所，须通报基金托管人。更换会计师事务所需在2日内在规定媒介公告。</w:t>
      </w:r>
    </w:p>
    <w:bookmarkEnd w:id="472"/>
    <w:bookmarkEnd w:id="473"/>
    <w:p>
      <w:pPr>
        <w:pStyle w:val="2"/>
        <w:spacing w:before="0" w:after="0"/>
        <w:jc w:val="center"/>
        <w:rPr>
          <w:rFonts w:hAnsi="宋体" w:cs="宋体"/>
          <w:color w:val="auto"/>
          <w:sz w:val="30"/>
        </w:rPr>
      </w:pPr>
      <w:r>
        <w:rPr>
          <w:rFonts w:hint="eastAsia" w:hAnsi="宋体" w:cs="宋体"/>
          <w:b w:val="0"/>
          <w:bCs/>
          <w:color w:val="auto"/>
        </w:rPr>
        <w:br w:type="page"/>
      </w:r>
      <w:bookmarkEnd w:id="474"/>
      <w:bookmarkEnd w:id="475"/>
      <w:bookmarkStart w:id="477" w:name="_Toc92662709"/>
      <w:bookmarkStart w:id="478" w:name="_Toc93226151"/>
      <w:bookmarkStart w:id="479" w:name="_Toc11802"/>
      <w:bookmarkStart w:id="480" w:name="_Toc31866"/>
      <w:bookmarkStart w:id="481" w:name="_Toc141703898"/>
      <w:bookmarkStart w:id="482" w:name="_Toc1421"/>
      <w:bookmarkStart w:id="483" w:name="_Toc3056"/>
      <w:bookmarkStart w:id="484" w:name="_Toc21351"/>
      <w:bookmarkStart w:id="485" w:name="_Toc8512"/>
      <w:bookmarkStart w:id="486" w:name="_Toc19857"/>
      <w:bookmarkStart w:id="487" w:name="_Toc139991748"/>
      <w:bookmarkStart w:id="488" w:name="_Toc128310501"/>
      <w:bookmarkStart w:id="489" w:name="_Toc1173"/>
      <w:bookmarkStart w:id="490" w:name="_Toc11049"/>
      <w:bookmarkStart w:id="491" w:name="_Toc29289"/>
      <w:bookmarkStart w:id="492" w:name="_Toc193"/>
      <w:bookmarkStart w:id="493" w:name="_Toc12028"/>
      <w:r>
        <w:rPr>
          <w:rFonts w:hint="eastAsia" w:hAnsi="宋体" w:cs="宋体"/>
          <w:color w:val="auto"/>
          <w:sz w:val="30"/>
        </w:rPr>
        <w:t>第十八部分  基金</w:t>
      </w:r>
      <w:bookmarkEnd w:id="477"/>
      <w:bookmarkEnd w:id="478"/>
      <w:r>
        <w:rPr>
          <w:rFonts w:hint="eastAsia" w:hAnsi="宋体" w:cs="宋体"/>
          <w:color w:val="auto"/>
          <w:sz w:val="30"/>
        </w:rPr>
        <w:t>的信息披露</w:t>
      </w:r>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p>
    <w:p>
      <w:pPr>
        <w:spacing w:line="360" w:lineRule="auto"/>
        <w:ind w:firstLine="480" w:firstLineChars="200"/>
        <w:rPr>
          <w:rFonts w:ascii="宋体" w:hAnsi="宋体" w:cs="宋体"/>
          <w:bCs/>
          <w:sz w:val="24"/>
        </w:rPr>
      </w:pPr>
    </w:p>
    <w:p>
      <w:pPr>
        <w:spacing w:line="360" w:lineRule="auto"/>
        <w:ind w:firstLine="482" w:firstLineChars="200"/>
        <w:rPr>
          <w:rFonts w:ascii="宋体" w:hAnsi="宋体" w:cs="宋体"/>
          <w:b/>
          <w:sz w:val="24"/>
        </w:rPr>
      </w:pPr>
      <w:bookmarkStart w:id="494" w:name="OLE_LINK79"/>
      <w:bookmarkStart w:id="495" w:name="OLE_LINK80"/>
      <w:r>
        <w:rPr>
          <w:rFonts w:hint="eastAsia" w:ascii="宋体" w:hAnsi="宋体" w:cs="宋体"/>
          <w:b/>
          <w:sz w:val="24"/>
        </w:rPr>
        <w:t>一、本基金的信息披露应符合《基金法》、《运作办法》、《信息披露办法》、《基金合同》及其他有关规定。</w:t>
      </w:r>
      <w:r>
        <w:rPr>
          <w:rFonts w:hint="eastAsia" w:ascii="宋体" w:hAnsi="宋体" w:cs="宋体"/>
          <w:b/>
          <w:bCs/>
          <w:sz w:val="24"/>
        </w:rPr>
        <w:t>相关法律法规关于信息披露的规定发生变化时，本基金从其最新规定。</w:t>
      </w:r>
    </w:p>
    <w:p>
      <w:pPr>
        <w:numPr>
          <w:ilvl w:val="255"/>
          <w:numId w:val="0"/>
        </w:numPr>
        <w:spacing w:line="360" w:lineRule="auto"/>
        <w:rPr>
          <w:rFonts w:ascii="宋体" w:hAnsi="宋体" w:cs="宋体"/>
          <w:bCs/>
          <w:sz w:val="24"/>
        </w:rPr>
      </w:pPr>
    </w:p>
    <w:p>
      <w:pPr>
        <w:spacing w:line="360" w:lineRule="auto"/>
        <w:ind w:firstLine="482" w:firstLineChars="200"/>
        <w:rPr>
          <w:rFonts w:ascii="宋体" w:hAnsi="宋体" w:cs="宋体"/>
          <w:b/>
          <w:sz w:val="24"/>
        </w:rPr>
      </w:pPr>
      <w:r>
        <w:rPr>
          <w:rFonts w:hint="eastAsia" w:ascii="宋体" w:hAnsi="宋体" w:cs="宋体"/>
          <w:b/>
          <w:sz w:val="24"/>
        </w:rPr>
        <w:t>二、信息披露义务人</w:t>
      </w:r>
    </w:p>
    <w:p>
      <w:pPr>
        <w:spacing w:line="360" w:lineRule="auto"/>
        <w:ind w:firstLine="480" w:firstLineChars="200"/>
        <w:rPr>
          <w:rFonts w:ascii="宋体" w:hAnsi="宋体" w:cs="宋体"/>
          <w:bCs/>
          <w:sz w:val="24"/>
        </w:rPr>
      </w:pPr>
      <w:r>
        <w:rPr>
          <w:rFonts w:hint="eastAsia" w:ascii="宋体" w:hAnsi="宋体" w:cs="宋体"/>
          <w:bCs/>
          <w:sz w:val="24"/>
        </w:rPr>
        <w:t>本基金信息披露义务人包括基金管理人、基金托管人、召集基金份额持有人大会的基金份额持有人等法律法规和中国证监会规定的自然人、法人和非法人组织。</w:t>
      </w:r>
    </w:p>
    <w:p>
      <w:pPr>
        <w:spacing w:line="360" w:lineRule="auto"/>
        <w:ind w:firstLine="480" w:firstLineChars="200"/>
        <w:rPr>
          <w:rFonts w:ascii="宋体" w:hAnsi="宋体" w:cs="宋体"/>
          <w:bCs/>
          <w:sz w:val="24"/>
        </w:rPr>
      </w:pPr>
      <w:r>
        <w:rPr>
          <w:rFonts w:hint="eastAsia" w:ascii="宋体" w:hAnsi="宋体" w:cs="宋体"/>
          <w:bCs/>
          <w:sz w:val="24"/>
        </w:rPr>
        <w:t>本基金信息披露义务人</w:t>
      </w:r>
      <w:r>
        <w:rPr>
          <w:rFonts w:hint="eastAsia" w:ascii="宋体" w:hAnsi="宋体" w:cs="宋体"/>
          <w:sz w:val="24"/>
        </w:rPr>
        <w:t>以保护基金份额持有人利益为根本出发点，</w:t>
      </w:r>
      <w:r>
        <w:rPr>
          <w:rFonts w:hint="eastAsia" w:ascii="宋体" w:hAnsi="宋体" w:cs="宋体"/>
          <w:bCs/>
          <w:sz w:val="24"/>
        </w:rPr>
        <w:t>按照法律法规和中国证监会的规定披露基金信息，并保证所披露信息的真实性、准确性、完整性、及时性、简明性和易得性。</w:t>
      </w:r>
    </w:p>
    <w:p>
      <w:pPr>
        <w:spacing w:line="360" w:lineRule="auto"/>
        <w:ind w:firstLine="480" w:firstLineChars="200"/>
        <w:rPr>
          <w:rFonts w:ascii="宋体" w:hAnsi="宋体" w:cs="宋体"/>
          <w:bCs/>
          <w:sz w:val="24"/>
        </w:rPr>
      </w:pPr>
      <w:r>
        <w:rPr>
          <w:rFonts w:hint="eastAsia" w:ascii="宋体" w:hAnsi="宋体" w:cs="宋体"/>
          <w:bCs/>
          <w:sz w:val="24"/>
        </w:rPr>
        <w:t>本基金信息披露义务人应当在中国证监会规定时间内，将应予披露的基金信息通过符合中国证监会规定条件的</w:t>
      </w:r>
      <w:r>
        <w:rPr>
          <w:rFonts w:hint="eastAsia" w:ascii="宋体" w:hAnsi="宋体" w:cs="宋体"/>
          <w:sz w:val="24"/>
        </w:rPr>
        <w:t>全国性报刊（以下简称“规定报刊”）及《信息披露办法》规定的互联网网站（以下简称“规定网站”）</w:t>
      </w:r>
      <w:r>
        <w:rPr>
          <w:rFonts w:hint="eastAsia" w:ascii="宋体" w:hAnsi="宋体" w:cs="宋体"/>
          <w:bCs/>
          <w:sz w:val="24"/>
        </w:rPr>
        <w:t>等媒介披露，并保证基金投资者能够按照《基金合同》约定的时间和方式查阅或者复制公开披露的信息资料。规定网站包括基金管理人网站、基金托管人网站、中国证监会基金电子披露网站。规定网站应当无偿向投资者提供基金信息披露服务。</w:t>
      </w:r>
    </w:p>
    <w:p>
      <w:pPr>
        <w:spacing w:line="360" w:lineRule="auto"/>
        <w:ind w:firstLine="480" w:firstLineChars="200"/>
        <w:rPr>
          <w:rFonts w:ascii="宋体" w:hAnsi="宋体" w:cs="宋体"/>
          <w:bCs/>
          <w:sz w:val="24"/>
        </w:rPr>
      </w:pPr>
    </w:p>
    <w:p>
      <w:pPr>
        <w:spacing w:line="360" w:lineRule="auto"/>
        <w:ind w:firstLine="482" w:firstLineChars="200"/>
        <w:rPr>
          <w:rFonts w:ascii="宋体" w:hAnsi="宋体" w:cs="宋体"/>
          <w:b/>
          <w:sz w:val="24"/>
        </w:rPr>
      </w:pPr>
      <w:r>
        <w:rPr>
          <w:rFonts w:hint="eastAsia" w:ascii="宋体" w:hAnsi="宋体" w:cs="宋体"/>
          <w:b/>
          <w:sz w:val="24"/>
        </w:rPr>
        <w:t>三、本基金信息披露义务人承诺公开披露的基金信息，不得有下列行为：</w:t>
      </w:r>
    </w:p>
    <w:p>
      <w:pPr>
        <w:spacing w:line="360" w:lineRule="auto"/>
        <w:ind w:firstLine="480" w:firstLineChars="200"/>
        <w:rPr>
          <w:rFonts w:ascii="宋体" w:hAnsi="宋体" w:cs="宋体"/>
          <w:bCs/>
          <w:sz w:val="24"/>
        </w:rPr>
      </w:pPr>
      <w:r>
        <w:rPr>
          <w:rFonts w:hint="eastAsia" w:ascii="宋体" w:hAnsi="宋体" w:cs="宋体"/>
          <w:bCs/>
          <w:sz w:val="24"/>
        </w:rPr>
        <w:t>1、虚假记载、误导性陈述或者重大遗漏；</w:t>
      </w:r>
    </w:p>
    <w:p>
      <w:pPr>
        <w:spacing w:line="360" w:lineRule="auto"/>
        <w:ind w:firstLine="480" w:firstLineChars="200"/>
        <w:rPr>
          <w:rFonts w:ascii="宋体" w:hAnsi="宋体" w:cs="宋体"/>
          <w:bCs/>
          <w:sz w:val="24"/>
        </w:rPr>
      </w:pPr>
      <w:r>
        <w:rPr>
          <w:rFonts w:hint="eastAsia" w:ascii="宋体" w:hAnsi="宋体" w:cs="宋体"/>
          <w:bCs/>
          <w:sz w:val="24"/>
        </w:rPr>
        <w:t>2、对证券投资业绩进行预测；</w:t>
      </w:r>
    </w:p>
    <w:p>
      <w:pPr>
        <w:spacing w:line="360" w:lineRule="auto"/>
        <w:ind w:firstLine="480" w:firstLineChars="200"/>
        <w:rPr>
          <w:rFonts w:ascii="宋体" w:hAnsi="宋体" w:cs="宋体"/>
          <w:bCs/>
          <w:sz w:val="24"/>
        </w:rPr>
      </w:pPr>
      <w:r>
        <w:rPr>
          <w:rFonts w:hint="eastAsia" w:ascii="宋体" w:hAnsi="宋体" w:cs="宋体"/>
          <w:bCs/>
          <w:sz w:val="24"/>
        </w:rPr>
        <w:t>3、违规承诺收益或者承担损失；</w:t>
      </w:r>
    </w:p>
    <w:p>
      <w:pPr>
        <w:spacing w:line="360" w:lineRule="auto"/>
        <w:ind w:firstLine="480" w:firstLineChars="200"/>
        <w:rPr>
          <w:rFonts w:ascii="宋体" w:hAnsi="宋体" w:cs="宋体"/>
          <w:bCs/>
          <w:sz w:val="24"/>
        </w:rPr>
      </w:pPr>
      <w:r>
        <w:rPr>
          <w:rFonts w:hint="eastAsia" w:ascii="宋体" w:hAnsi="宋体" w:cs="宋体"/>
          <w:bCs/>
          <w:sz w:val="24"/>
        </w:rPr>
        <w:t>4、诋毁其他基金管理人、基金托管人或者基金销售机构；</w:t>
      </w:r>
    </w:p>
    <w:p>
      <w:pPr>
        <w:spacing w:line="360" w:lineRule="auto"/>
        <w:ind w:firstLine="480" w:firstLineChars="200"/>
        <w:rPr>
          <w:rFonts w:ascii="宋体" w:hAnsi="宋体" w:cs="宋体"/>
          <w:bCs/>
          <w:sz w:val="24"/>
        </w:rPr>
      </w:pPr>
      <w:r>
        <w:rPr>
          <w:rFonts w:hint="eastAsia" w:ascii="宋体" w:hAnsi="宋体" w:cs="宋体"/>
          <w:bCs/>
          <w:sz w:val="24"/>
        </w:rPr>
        <w:t>5、登载任何自然人、法人和非法人组织的祝贺性、恭维性或推荐性的文字；</w:t>
      </w:r>
    </w:p>
    <w:p>
      <w:pPr>
        <w:spacing w:line="360" w:lineRule="auto"/>
        <w:ind w:firstLine="480" w:firstLineChars="200"/>
        <w:rPr>
          <w:rFonts w:ascii="宋体" w:hAnsi="宋体" w:cs="宋体"/>
          <w:bCs/>
          <w:sz w:val="24"/>
        </w:rPr>
      </w:pPr>
      <w:r>
        <w:rPr>
          <w:rFonts w:hint="eastAsia" w:ascii="宋体" w:hAnsi="宋体" w:cs="宋体"/>
          <w:bCs/>
          <w:sz w:val="24"/>
        </w:rPr>
        <w:t>6、中国证监会禁止的其他行为。</w:t>
      </w:r>
    </w:p>
    <w:p>
      <w:pPr>
        <w:spacing w:line="360" w:lineRule="auto"/>
        <w:ind w:firstLine="480" w:firstLineChars="200"/>
        <w:rPr>
          <w:rFonts w:ascii="宋体" w:hAnsi="宋体" w:cs="宋体"/>
          <w:bCs/>
          <w:sz w:val="24"/>
        </w:rPr>
      </w:pPr>
    </w:p>
    <w:p>
      <w:pPr>
        <w:spacing w:line="360" w:lineRule="auto"/>
        <w:ind w:firstLine="482" w:firstLineChars="200"/>
        <w:rPr>
          <w:rFonts w:ascii="宋体" w:hAnsi="宋体" w:cs="宋体"/>
          <w:b/>
          <w:sz w:val="24"/>
        </w:rPr>
      </w:pPr>
      <w:r>
        <w:rPr>
          <w:rFonts w:hint="eastAsia" w:ascii="宋体" w:hAnsi="宋体" w:cs="宋体"/>
          <w:b/>
          <w:sz w:val="24"/>
        </w:rPr>
        <w:t>四、本基金公开披露的信息应采用中文文本。如同时采用外文文本的，基金信息披露义务人应保证不同文本的内容一致。不同文本之间发生歧义的，以中文文本为准。</w:t>
      </w:r>
    </w:p>
    <w:p>
      <w:pPr>
        <w:spacing w:line="360" w:lineRule="auto"/>
        <w:ind w:firstLine="480" w:firstLineChars="200"/>
        <w:rPr>
          <w:rFonts w:ascii="宋体" w:hAnsi="宋体" w:cs="宋体"/>
          <w:bCs/>
          <w:sz w:val="24"/>
        </w:rPr>
      </w:pPr>
      <w:r>
        <w:rPr>
          <w:rFonts w:hint="eastAsia" w:ascii="宋体" w:hAnsi="宋体" w:cs="宋体"/>
          <w:bCs/>
          <w:sz w:val="24"/>
        </w:rPr>
        <w:t>本基金公开披露的信息采用阿拉伯数字；除特别说明外，货币单位为人民币元。</w:t>
      </w:r>
    </w:p>
    <w:p>
      <w:pPr>
        <w:spacing w:line="360" w:lineRule="auto"/>
        <w:ind w:firstLine="480" w:firstLineChars="200"/>
        <w:rPr>
          <w:rFonts w:ascii="宋体" w:hAnsi="宋体" w:cs="宋体"/>
          <w:bCs/>
          <w:sz w:val="24"/>
        </w:rPr>
      </w:pPr>
    </w:p>
    <w:p>
      <w:pPr>
        <w:spacing w:line="360" w:lineRule="auto"/>
        <w:ind w:firstLine="482" w:firstLineChars="200"/>
        <w:rPr>
          <w:rFonts w:ascii="宋体" w:hAnsi="宋体" w:cs="宋体"/>
          <w:b/>
          <w:sz w:val="24"/>
        </w:rPr>
      </w:pPr>
      <w:r>
        <w:rPr>
          <w:rFonts w:hint="eastAsia" w:ascii="宋体" w:hAnsi="宋体" w:cs="宋体"/>
          <w:b/>
          <w:sz w:val="24"/>
        </w:rPr>
        <w:t>五、公开披露的基金信息</w:t>
      </w:r>
    </w:p>
    <w:p>
      <w:pPr>
        <w:spacing w:line="360" w:lineRule="auto"/>
        <w:ind w:firstLine="480" w:firstLineChars="200"/>
        <w:rPr>
          <w:rFonts w:ascii="宋体" w:hAnsi="宋体" w:cs="宋体"/>
          <w:bCs/>
          <w:sz w:val="24"/>
        </w:rPr>
      </w:pPr>
      <w:r>
        <w:rPr>
          <w:rFonts w:hint="eastAsia" w:ascii="宋体" w:hAnsi="宋体" w:cs="宋体"/>
          <w:bCs/>
          <w:sz w:val="24"/>
        </w:rPr>
        <w:t>公开披露的基金信息包括：</w:t>
      </w:r>
    </w:p>
    <w:p>
      <w:pPr>
        <w:spacing w:line="360" w:lineRule="auto"/>
        <w:ind w:firstLine="480" w:firstLineChars="200"/>
        <w:rPr>
          <w:rFonts w:ascii="宋体" w:hAnsi="宋体" w:cs="宋体"/>
          <w:bCs/>
          <w:sz w:val="24"/>
        </w:rPr>
      </w:pPr>
      <w:r>
        <w:rPr>
          <w:rFonts w:hint="eastAsia" w:ascii="宋体" w:hAnsi="宋体" w:cs="宋体"/>
          <w:bCs/>
          <w:sz w:val="24"/>
        </w:rPr>
        <w:t>（一）基金招募说明书、《基金合同》、基金托管协议、</w:t>
      </w:r>
      <w:r>
        <w:rPr>
          <w:rFonts w:hint="eastAsia" w:ascii="宋体" w:hAnsi="宋体" w:cs="宋体"/>
          <w:sz w:val="24"/>
        </w:rPr>
        <w:t>基金产品资料概要</w:t>
      </w:r>
    </w:p>
    <w:p>
      <w:pPr>
        <w:spacing w:line="360" w:lineRule="auto"/>
        <w:ind w:firstLine="480" w:firstLineChars="200"/>
        <w:rPr>
          <w:rFonts w:ascii="宋体" w:hAnsi="宋体" w:cs="宋体"/>
          <w:bCs/>
          <w:sz w:val="24"/>
        </w:rPr>
      </w:pPr>
      <w:r>
        <w:rPr>
          <w:rFonts w:hint="eastAsia" w:ascii="宋体" w:hAnsi="宋体" w:cs="宋体"/>
          <w:bCs/>
          <w:sz w:val="24"/>
        </w:rPr>
        <w:t>1、《基金合同》是界定《基金合同》当事人的各项权利、义务关系，明确基金份额持有人大会召开的规则及具体程序，说明基金产品的特性等涉及基金投资者重大利益的事项的法律文件。</w:t>
      </w:r>
    </w:p>
    <w:p>
      <w:pPr>
        <w:spacing w:line="360" w:lineRule="auto"/>
        <w:ind w:firstLine="480" w:firstLineChars="200"/>
        <w:rPr>
          <w:rFonts w:ascii="宋体" w:hAnsi="宋体" w:cs="宋体"/>
          <w:bCs/>
          <w:sz w:val="24"/>
        </w:rPr>
      </w:pPr>
      <w:r>
        <w:rPr>
          <w:rFonts w:hint="eastAsia" w:ascii="宋体" w:hAnsi="宋体" w:cs="宋体"/>
          <w:bCs/>
          <w:sz w:val="24"/>
        </w:rPr>
        <w:t>2、基金招募说明书应当最大限度地披露影响基金投资者决策的全部事项，说明基金认购安排、基金投资、基金产品特性、风险揭示、信息披露及基金份额持有人服务等内容。《基金合同》生效后，</w:t>
      </w:r>
      <w:r>
        <w:rPr>
          <w:rFonts w:hint="eastAsia" w:ascii="宋体" w:hAnsi="宋体" w:cs="宋体"/>
          <w:sz w:val="24"/>
        </w:rPr>
        <w:t>基金招募说明书的信息发生重大变更的，基金管理人应当在三个工作日内，更新基金招募说明书并登载在规定网站上；基金招募说明书其他信息发生变更的，基金管理人至少每年更新一次。基金终止运作的，基金管理人不再更新基金招募说明书。</w:t>
      </w:r>
    </w:p>
    <w:p>
      <w:pPr>
        <w:spacing w:line="360" w:lineRule="auto"/>
        <w:ind w:firstLine="480" w:firstLineChars="200"/>
        <w:rPr>
          <w:rFonts w:ascii="宋体" w:hAnsi="宋体" w:cs="宋体"/>
          <w:bCs/>
          <w:sz w:val="24"/>
        </w:rPr>
      </w:pPr>
      <w:r>
        <w:rPr>
          <w:rFonts w:hint="eastAsia" w:ascii="宋体" w:hAnsi="宋体" w:cs="宋体"/>
          <w:bCs/>
          <w:sz w:val="24"/>
        </w:rPr>
        <w:t>3、基金托管协议是界定基金托管人和基金管理人在基金财产保管及基金运作监督等活动中的权利、义务关系的法律文件。</w:t>
      </w:r>
    </w:p>
    <w:p>
      <w:pPr>
        <w:spacing w:line="360" w:lineRule="auto"/>
        <w:ind w:firstLine="480" w:firstLineChars="200"/>
        <w:rPr>
          <w:rFonts w:ascii="宋体" w:hAnsi="宋体" w:cs="宋体"/>
          <w:sz w:val="24"/>
        </w:rPr>
      </w:pPr>
      <w:r>
        <w:rPr>
          <w:rFonts w:hint="eastAsia" w:ascii="宋体" w:hAnsi="宋体" w:cs="宋体"/>
          <w:bCs/>
          <w:sz w:val="24"/>
        </w:rPr>
        <w:t>4、</w:t>
      </w:r>
      <w:r>
        <w:rPr>
          <w:rFonts w:hint="eastAsia" w:ascii="宋体" w:hAnsi="宋体" w:cs="宋体"/>
          <w:sz w:val="24"/>
        </w:rPr>
        <w:t>基金产品资料概要是基金招募说明书的摘要文件，用于向投资者提供简明的基金概要信息。《基金合同》生效后，基金产品资料概要的信息发生重大变更的，基金管理人应当在三个工作日内，更新基金产品资料概要，并登载在规定网站及基金销售机构网站或营业网点；基金产品资料概要其他信息发生变更的，基金管理人至少每年更新一次。基金终止运作的，基金管理人不再更新基金产品资料概要。</w:t>
      </w:r>
    </w:p>
    <w:p>
      <w:pPr>
        <w:spacing w:line="360" w:lineRule="auto"/>
        <w:ind w:firstLine="480" w:firstLineChars="200"/>
        <w:rPr>
          <w:rFonts w:ascii="宋体" w:hAnsi="宋体" w:cs="宋体"/>
          <w:sz w:val="24"/>
        </w:rPr>
      </w:pPr>
      <w:r>
        <w:rPr>
          <w:rFonts w:hint="eastAsia" w:ascii="宋体" w:hAnsi="宋体" w:cs="宋体"/>
          <w:bCs/>
          <w:sz w:val="24"/>
        </w:rPr>
        <w:t>基金募集申请经中国证监会注册后，基金管理人在基金份额发售的3日前，将</w:t>
      </w:r>
      <w:r>
        <w:rPr>
          <w:rFonts w:hint="eastAsia" w:ascii="宋体" w:hAnsi="宋体" w:cs="宋体"/>
          <w:bCs/>
          <w:sz w:val="24"/>
          <w:szCs w:val="24"/>
        </w:rPr>
        <w:t>基金份额发售公告、</w:t>
      </w:r>
      <w:r>
        <w:rPr>
          <w:rFonts w:hint="eastAsia" w:ascii="宋体" w:hAnsi="宋体" w:cs="宋体"/>
          <w:bCs/>
          <w:sz w:val="24"/>
        </w:rPr>
        <w:t>基金招募说明书提示性公告和《基金合同》提示性公告登载在</w:t>
      </w:r>
      <w:r>
        <w:rPr>
          <w:rFonts w:hint="eastAsia" w:ascii="宋体" w:hAnsi="宋体" w:cs="宋体"/>
          <w:sz w:val="24"/>
        </w:rPr>
        <w:t>规定</w:t>
      </w:r>
      <w:r>
        <w:rPr>
          <w:rFonts w:hint="eastAsia" w:ascii="宋体" w:hAnsi="宋体" w:cs="宋体"/>
          <w:bCs/>
          <w:sz w:val="24"/>
        </w:rPr>
        <w:t>报刊上，</w:t>
      </w:r>
      <w:r>
        <w:rPr>
          <w:rFonts w:hint="eastAsia" w:ascii="宋体" w:hAnsi="宋体" w:cs="宋体"/>
          <w:bCs/>
          <w:sz w:val="24"/>
          <w:szCs w:val="24"/>
        </w:rPr>
        <w:t>将基金份额发售公告、基金招募说明书、基金产品资料概要、《基金合同》和基金托管协议登载在规定网站上，并将基金产品资料概要登载在基金销售机构网站或营业网点上</w:t>
      </w:r>
      <w:r>
        <w:rPr>
          <w:rFonts w:hint="eastAsia" w:ascii="宋体" w:hAnsi="宋体" w:cs="宋体"/>
          <w:bCs/>
          <w:sz w:val="24"/>
        </w:rPr>
        <w:t>；基金托管人应当</w:t>
      </w:r>
      <w:r>
        <w:rPr>
          <w:rFonts w:hint="eastAsia" w:ascii="宋体" w:hAnsi="宋体" w:cs="宋体"/>
          <w:bCs/>
          <w:sz w:val="24"/>
          <w:szCs w:val="24"/>
        </w:rPr>
        <w:t>同时</w:t>
      </w:r>
      <w:r>
        <w:rPr>
          <w:rFonts w:hint="eastAsia" w:ascii="宋体" w:hAnsi="宋体" w:cs="宋体"/>
          <w:bCs/>
          <w:sz w:val="24"/>
        </w:rPr>
        <w:t>将《基金合同》、基金托管协议登载在规定网站上。</w:t>
      </w:r>
    </w:p>
    <w:p>
      <w:pPr>
        <w:spacing w:line="360" w:lineRule="auto"/>
        <w:ind w:firstLine="480" w:firstLineChars="200"/>
        <w:rPr>
          <w:rFonts w:ascii="宋体" w:hAnsi="宋体" w:cs="宋体"/>
          <w:bCs/>
          <w:sz w:val="24"/>
        </w:rPr>
      </w:pPr>
      <w:r>
        <w:rPr>
          <w:rFonts w:hint="eastAsia" w:ascii="宋体" w:hAnsi="宋体" w:cs="宋体"/>
          <w:bCs/>
          <w:sz w:val="24"/>
        </w:rPr>
        <w:t>（二）基金份额发售公告</w:t>
      </w:r>
    </w:p>
    <w:p>
      <w:pPr>
        <w:spacing w:line="360" w:lineRule="auto"/>
        <w:ind w:firstLine="480" w:firstLineChars="200"/>
        <w:rPr>
          <w:rFonts w:ascii="宋体" w:hAnsi="宋体" w:cs="宋体"/>
          <w:bCs/>
          <w:sz w:val="24"/>
        </w:rPr>
      </w:pPr>
      <w:r>
        <w:rPr>
          <w:rFonts w:hint="eastAsia" w:ascii="宋体" w:hAnsi="宋体" w:cs="宋体"/>
          <w:bCs/>
          <w:sz w:val="24"/>
        </w:rPr>
        <w:t>基金管理人应当就基金份额发售的具体事宜编制基金份额发售公告。</w:t>
      </w:r>
    </w:p>
    <w:p>
      <w:pPr>
        <w:spacing w:line="360" w:lineRule="auto"/>
        <w:ind w:firstLine="480" w:firstLineChars="200"/>
        <w:rPr>
          <w:rFonts w:ascii="宋体" w:hAnsi="宋体" w:cs="宋体"/>
          <w:bCs/>
          <w:sz w:val="24"/>
        </w:rPr>
      </w:pPr>
      <w:r>
        <w:rPr>
          <w:rFonts w:hint="eastAsia" w:ascii="宋体" w:hAnsi="宋体" w:cs="宋体"/>
          <w:bCs/>
          <w:sz w:val="24"/>
        </w:rPr>
        <w:t>（三）《基金合同》生效公告</w:t>
      </w:r>
    </w:p>
    <w:p>
      <w:pPr>
        <w:spacing w:line="360" w:lineRule="auto"/>
        <w:ind w:firstLine="480" w:firstLineChars="200"/>
        <w:rPr>
          <w:rFonts w:ascii="宋体" w:hAnsi="宋体" w:cs="宋体"/>
          <w:bCs/>
          <w:sz w:val="24"/>
        </w:rPr>
      </w:pPr>
      <w:r>
        <w:rPr>
          <w:rFonts w:hint="eastAsia" w:ascii="宋体" w:hAnsi="宋体" w:cs="宋体"/>
          <w:bCs/>
          <w:sz w:val="24"/>
        </w:rPr>
        <w:t>基金管理人应当在收到中国证监会确认文件的次日在</w:t>
      </w:r>
      <w:r>
        <w:rPr>
          <w:rFonts w:hint="eastAsia" w:ascii="宋体" w:hAnsi="宋体" w:cs="宋体"/>
          <w:sz w:val="24"/>
        </w:rPr>
        <w:t>规定</w:t>
      </w:r>
      <w:r>
        <w:rPr>
          <w:rFonts w:hint="eastAsia" w:ascii="宋体" w:hAnsi="宋体" w:cs="宋体"/>
          <w:bCs/>
          <w:sz w:val="24"/>
        </w:rPr>
        <w:t>媒介上登载《基金合同》生效公告。</w:t>
      </w:r>
    </w:p>
    <w:p>
      <w:pPr>
        <w:spacing w:line="360" w:lineRule="auto"/>
        <w:ind w:firstLine="480" w:firstLineChars="200"/>
        <w:rPr>
          <w:rFonts w:ascii="宋体" w:hAnsi="宋体" w:cs="宋体"/>
          <w:bCs/>
          <w:sz w:val="24"/>
        </w:rPr>
      </w:pPr>
      <w:r>
        <w:rPr>
          <w:rFonts w:hint="eastAsia" w:ascii="宋体" w:hAnsi="宋体" w:cs="宋体"/>
          <w:bCs/>
          <w:sz w:val="24"/>
        </w:rPr>
        <w:t>（四）基金净值信息</w:t>
      </w:r>
    </w:p>
    <w:p>
      <w:pPr>
        <w:spacing w:line="360" w:lineRule="auto"/>
        <w:ind w:firstLine="480" w:firstLineChars="200"/>
        <w:rPr>
          <w:rFonts w:ascii="宋体" w:hAnsi="宋体" w:cs="宋体"/>
          <w:sz w:val="24"/>
        </w:rPr>
      </w:pPr>
      <w:r>
        <w:rPr>
          <w:rFonts w:hint="eastAsia" w:ascii="宋体" w:hAnsi="宋体" w:cs="宋体"/>
          <w:sz w:val="24"/>
        </w:rPr>
        <w:t>《基金合同》生效后，基金管理人应当至少每周在规定网站披露一次基金份额净值和基金份额累计净值。</w:t>
      </w:r>
    </w:p>
    <w:p>
      <w:pPr>
        <w:spacing w:line="360" w:lineRule="auto"/>
        <w:ind w:firstLine="480" w:firstLineChars="200"/>
        <w:rPr>
          <w:rFonts w:ascii="宋体" w:hAnsi="宋体" w:cs="宋体"/>
          <w:sz w:val="24"/>
        </w:rPr>
      </w:pPr>
      <w:r>
        <w:rPr>
          <w:rFonts w:hint="eastAsia" w:ascii="宋体" w:hAnsi="宋体" w:cs="宋体"/>
          <w:sz w:val="24"/>
        </w:rPr>
        <w:t>基金管理人应当在不晚于半年度和年度最后一日的次日，在规定网站披露半年度和年度最后一日的基金份额净值和基金份额累计净值。</w:t>
      </w:r>
    </w:p>
    <w:p>
      <w:pPr>
        <w:spacing w:line="360" w:lineRule="auto"/>
        <w:ind w:firstLine="480" w:firstLineChars="200"/>
        <w:rPr>
          <w:rFonts w:ascii="宋体" w:hAnsi="宋体" w:cs="宋体"/>
          <w:bCs/>
          <w:sz w:val="24"/>
        </w:rPr>
      </w:pPr>
      <w:r>
        <w:rPr>
          <w:rFonts w:hint="eastAsia" w:ascii="宋体" w:hAnsi="宋体" w:cs="宋体"/>
          <w:bCs/>
          <w:sz w:val="24"/>
        </w:rPr>
        <w:t>（五）基金定期报告，包括基金年度报告、基金中期报告和基金季度报告</w:t>
      </w:r>
    </w:p>
    <w:p>
      <w:pPr>
        <w:spacing w:line="360" w:lineRule="auto"/>
        <w:ind w:firstLine="480" w:firstLineChars="200"/>
        <w:rPr>
          <w:rFonts w:ascii="宋体" w:hAnsi="宋体" w:cs="宋体"/>
          <w:bCs/>
          <w:sz w:val="24"/>
        </w:rPr>
      </w:pPr>
      <w:r>
        <w:rPr>
          <w:rFonts w:hint="eastAsia" w:ascii="宋体" w:hAnsi="宋体" w:cs="宋体"/>
          <w:bCs/>
          <w:sz w:val="24"/>
        </w:rPr>
        <w:t>基金管理人应当在每年结束之日起三个月内，编制完成基金年度报告，并将年度报告登载于规定网站上，将年度报告提示性公告登载在规定报刊上。基金年度报告的财务会计报告应当经过</w:t>
      </w:r>
      <w:r>
        <w:rPr>
          <w:rFonts w:hint="eastAsia" w:ascii="宋体" w:hAnsi="宋体" w:cs="宋体"/>
          <w:sz w:val="24"/>
        </w:rPr>
        <w:t>符合《中华人民共和国证券法》规定</w:t>
      </w:r>
      <w:r>
        <w:rPr>
          <w:rFonts w:hint="eastAsia" w:ascii="宋体" w:hAnsi="宋体" w:cs="宋体"/>
          <w:bCs/>
          <w:sz w:val="24"/>
        </w:rPr>
        <w:t>的会计师事务所审计。</w:t>
      </w:r>
    </w:p>
    <w:p>
      <w:pPr>
        <w:spacing w:line="360" w:lineRule="auto"/>
        <w:ind w:firstLine="480" w:firstLineChars="200"/>
        <w:rPr>
          <w:rFonts w:ascii="宋体" w:hAnsi="宋体" w:cs="宋体"/>
          <w:bCs/>
          <w:sz w:val="24"/>
        </w:rPr>
      </w:pPr>
      <w:r>
        <w:rPr>
          <w:rFonts w:hint="eastAsia" w:ascii="宋体" w:hAnsi="宋体" w:cs="宋体"/>
          <w:bCs/>
          <w:sz w:val="24"/>
        </w:rPr>
        <w:t>基金管理人应当在上半年结束之日起两个月内，编制完成基金中期报告，并将中期报告登载在规定网站上，将中期报告提示性公告登载在规定报刊上。</w:t>
      </w:r>
    </w:p>
    <w:p>
      <w:pPr>
        <w:spacing w:line="360" w:lineRule="auto"/>
        <w:ind w:firstLine="480" w:firstLineChars="200"/>
        <w:rPr>
          <w:rFonts w:ascii="宋体" w:hAnsi="宋体" w:cs="宋体"/>
          <w:bCs/>
          <w:sz w:val="24"/>
        </w:rPr>
      </w:pPr>
      <w:r>
        <w:rPr>
          <w:rFonts w:hint="eastAsia" w:ascii="宋体" w:hAnsi="宋体" w:cs="宋体"/>
          <w:bCs/>
          <w:sz w:val="24"/>
        </w:rPr>
        <w:t>基金管理人应当在每个季度结束之日起15个工作日内，编制完成基金季度报告，并将季度报告登载在规定网站上，将季度报告提示性公告登载在规定报刊上。</w:t>
      </w:r>
    </w:p>
    <w:p>
      <w:pPr>
        <w:spacing w:line="360" w:lineRule="auto"/>
        <w:ind w:firstLine="480" w:firstLineChars="200"/>
        <w:rPr>
          <w:rFonts w:ascii="宋体" w:hAnsi="宋体" w:cs="宋体"/>
          <w:bCs/>
          <w:sz w:val="24"/>
        </w:rPr>
      </w:pPr>
      <w:r>
        <w:rPr>
          <w:rFonts w:hint="eastAsia" w:ascii="宋体" w:hAnsi="宋体" w:cs="宋体"/>
          <w:bCs/>
          <w:sz w:val="24"/>
        </w:rPr>
        <w:t>《基金合同》生效不足2个月的，基金管理人可以不编制当期季度报告、中期报告或者年度报告。</w:t>
      </w:r>
    </w:p>
    <w:p>
      <w:pPr>
        <w:spacing w:line="360" w:lineRule="auto"/>
        <w:ind w:firstLine="480" w:firstLineChars="200"/>
        <w:rPr>
          <w:rFonts w:ascii="宋体" w:hAnsi="宋体" w:cs="宋体"/>
          <w:bCs/>
          <w:sz w:val="24"/>
        </w:rPr>
      </w:pPr>
      <w:r>
        <w:rPr>
          <w:rFonts w:hint="eastAsia" w:ascii="宋体" w:hAnsi="宋体" w:cs="宋体"/>
          <w:bCs/>
          <w:sz w:val="24"/>
        </w:rPr>
        <w:t>基金管理人应当在基金中期报告和年度报告中披露从基金财产中计提的管理费、托管费的金额，以及支付给基金销售机构的客户维护费总额、基金管理人实际收</w:t>
      </w:r>
      <w:bookmarkStart w:id="496" w:name="OLE_LINK197"/>
      <w:bookmarkStart w:id="497" w:name="OLE_LINK198"/>
      <w:r>
        <w:rPr>
          <w:rFonts w:hint="eastAsia" w:ascii="宋体" w:hAnsi="宋体" w:cs="宋体"/>
          <w:bCs/>
          <w:sz w:val="24"/>
        </w:rPr>
        <w:t>取的管理费净额。</w:t>
      </w:r>
    </w:p>
    <w:p>
      <w:pPr>
        <w:spacing w:line="360" w:lineRule="auto"/>
        <w:ind w:firstLine="480" w:firstLineChars="200"/>
        <w:rPr>
          <w:rFonts w:ascii="宋体" w:hAnsi="宋体" w:cs="宋体"/>
          <w:bCs/>
          <w:sz w:val="24"/>
        </w:rPr>
      </w:pPr>
      <w:r>
        <w:rPr>
          <w:rFonts w:hint="eastAsia" w:ascii="宋体" w:hAnsi="宋体" w:cs="宋体"/>
          <w:bCs/>
          <w:sz w:val="24"/>
        </w:rPr>
        <w:t>基金管理人在封闭期内采取处置</w:t>
      </w:r>
      <w:bookmarkStart w:id="498" w:name="OLE_LINK220"/>
      <w:bookmarkStart w:id="499" w:name="OLE_LINK219"/>
      <w:r>
        <w:rPr>
          <w:rFonts w:hint="eastAsia" w:ascii="宋体" w:hAnsi="宋体" w:cs="宋体"/>
          <w:bCs/>
          <w:sz w:val="24"/>
        </w:rPr>
        <w:t>信用风险显著增加</w:t>
      </w:r>
      <w:bookmarkEnd w:id="498"/>
      <w:bookmarkEnd w:id="499"/>
      <w:r>
        <w:rPr>
          <w:rFonts w:hint="eastAsia" w:ascii="宋体" w:hAnsi="宋体" w:cs="宋体"/>
          <w:bCs/>
          <w:sz w:val="24"/>
        </w:rPr>
        <w:t>的固定收益品种或计提资产减值准备等风险应对措施的，应当在定期报告中披露。</w:t>
      </w:r>
    </w:p>
    <w:bookmarkEnd w:id="496"/>
    <w:bookmarkEnd w:id="497"/>
    <w:p>
      <w:pPr>
        <w:spacing w:line="360" w:lineRule="auto"/>
        <w:ind w:firstLine="480" w:firstLineChars="200"/>
        <w:rPr>
          <w:rFonts w:ascii="宋体" w:hAnsi="宋体" w:cs="宋体"/>
          <w:bCs/>
          <w:sz w:val="24"/>
        </w:rPr>
      </w:pPr>
      <w:r>
        <w:rPr>
          <w:rFonts w:hint="eastAsia" w:ascii="宋体" w:hAnsi="宋体" w:cs="宋体"/>
          <w:bCs/>
          <w:sz w:val="24"/>
        </w:rPr>
        <w:t>（六）临时报告</w:t>
      </w:r>
    </w:p>
    <w:p>
      <w:pPr>
        <w:spacing w:line="360" w:lineRule="auto"/>
        <w:ind w:firstLine="480" w:firstLineChars="200"/>
        <w:rPr>
          <w:rFonts w:ascii="宋体" w:hAnsi="宋体" w:cs="宋体"/>
          <w:bCs/>
          <w:sz w:val="24"/>
        </w:rPr>
      </w:pPr>
      <w:r>
        <w:rPr>
          <w:rFonts w:hint="eastAsia" w:ascii="宋体" w:hAnsi="宋体" w:cs="宋体"/>
          <w:bCs/>
          <w:sz w:val="24"/>
        </w:rPr>
        <w:t>本基金发生重大事件，有关信息披露义务人应当在2日内编制临时报告书， 并登载在规定报刊和规定网站上。</w:t>
      </w:r>
    </w:p>
    <w:p>
      <w:pPr>
        <w:spacing w:line="360" w:lineRule="auto"/>
        <w:ind w:firstLine="480" w:firstLineChars="200"/>
        <w:rPr>
          <w:rFonts w:ascii="宋体" w:hAnsi="宋体" w:cs="宋体"/>
          <w:bCs/>
          <w:sz w:val="24"/>
        </w:rPr>
      </w:pPr>
      <w:r>
        <w:rPr>
          <w:rFonts w:hint="eastAsia" w:ascii="宋体" w:hAnsi="宋体" w:cs="宋体"/>
          <w:bCs/>
          <w:sz w:val="24"/>
        </w:rPr>
        <w:t>前款所称重大事件，是指可能对基金份额持有人权益或者基金份额的价格产 生重大影响的下列事件：</w:t>
      </w:r>
    </w:p>
    <w:p>
      <w:pPr>
        <w:spacing w:line="360" w:lineRule="auto"/>
        <w:ind w:firstLine="480" w:firstLineChars="200"/>
        <w:rPr>
          <w:rFonts w:ascii="宋体" w:hAnsi="宋体" w:cs="宋体"/>
          <w:bCs/>
          <w:sz w:val="24"/>
        </w:rPr>
      </w:pPr>
      <w:r>
        <w:rPr>
          <w:rFonts w:hint="eastAsia" w:ascii="宋体" w:hAnsi="宋体" w:cs="宋体"/>
          <w:bCs/>
          <w:sz w:val="24"/>
        </w:rPr>
        <w:t>1、基金份额持有人大会的召开及决定的事项；</w:t>
      </w:r>
    </w:p>
    <w:p>
      <w:pPr>
        <w:spacing w:line="360" w:lineRule="auto"/>
        <w:ind w:firstLine="480" w:firstLineChars="200"/>
        <w:rPr>
          <w:rFonts w:ascii="宋体" w:hAnsi="宋体" w:cs="宋体"/>
          <w:bCs/>
          <w:sz w:val="24"/>
        </w:rPr>
      </w:pPr>
      <w:r>
        <w:rPr>
          <w:rFonts w:hint="eastAsia" w:ascii="宋体" w:hAnsi="宋体" w:cs="宋体"/>
          <w:bCs/>
          <w:sz w:val="24"/>
        </w:rPr>
        <w:t>2、《基金合同》终止、基金清算；</w:t>
      </w:r>
    </w:p>
    <w:p>
      <w:pPr>
        <w:spacing w:line="360" w:lineRule="auto"/>
        <w:ind w:firstLine="480" w:firstLineChars="200"/>
        <w:rPr>
          <w:rFonts w:ascii="宋体" w:hAnsi="宋体" w:cs="宋体"/>
          <w:bCs/>
          <w:sz w:val="24"/>
        </w:rPr>
      </w:pPr>
      <w:r>
        <w:rPr>
          <w:rFonts w:hint="eastAsia" w:ascii="宋体" w:hAnsi="宋体" w:cs="宋体"/>
          <w:bCs/>
          <w:sz w:val="24"/>
        </w:rPr>
        <w:t>3、转换基金运作方式、基金合并；</w:t>
      </w:r>
    </w:p>
    <w:p>
      <w:pPr>
        <w:spacing w:line="360" w:lineRule="auto"/>
        <w:ind w:firstLine="480" w:firstLineChars="200"/>
        <w:rPr>
          <w:rFonts w:ascii="宋体" w:hAnsi="宋体" w:cs="宋体"/>
          <w:bCs/>
          <w:sz w:val="24"/>
        </w:rPr>
      </w:pPr>
      <w:r>
        <w:rPr>
          <w:rFonts w:hint="eastAsia" w:ascii="宋体" w:hAnsi="宋体" w:cs="宋体"/>
          <w:bCs/>
          <w:sz w:val="24"/>
        </w:rPr>
        <w:t>4、更换基金管理人、基金托管人、基金份额登记机构，基金改聘会计师事务所；</w:t>
      </w:r>
    </w:p>
    <w:p>
      <w:pPr>
        <w:spacing w:line="360" w:lineRule="auto"/>
        <w:ind w:firstLine="480" w:firstLineChars="200"/>
        <w:rPr>
          <w:rFonts w:ascii="宋体" w:hAnsi="宋体" w:cs="宋体"/>
          <w:bCs/>
          <w:sz w:val="24"/>
        </w:rPr>
      </w:pPr>
      <w:r>
        <w:rPr>
          <w:rFonts w:hint="eastAsia" w:ascii="宋体" w:hAnsi="宋体" w:cs="宋体"/>
          <w:bCs/>
          <w:sz w:val="24"/>
        </w:rPr>
        <w:t>5、基金管理人委托基金服务机构代为办理基金的份额登记、核算、估值等事项，基金托管人委托基金服务机构代为办理基金的核算、估值、复核等事项；</w:t>
      </w:r>
    </w:p>
    <w:p>
      <w:pPr>
        <w:spacing w:line="360" w:lineRule="auto"/>
        <w:ind w:firstLine="480" w:firstLineChars="200"/>
        <w:rPr>
          <w:rFonts w:ascii="宋体" w:hAnsi="宋体" w:cs="宋体"/>
          <w:bCs/>
          <w:sz w:val="24"/>
        </w:rPr>
      </w:pPr>
      <w:r>
        <w:rPr>
          <w:rFonts w:hint="eastAsia" w:ascii="宋体" w:hAnsi="宋体" w:cs="宋体"/>
          <w:bCs/>
          <w:sz w:val="24"/>
        </w:rPr>
        <w:t>6、基金管理人、基金托管人的法定名称、住所发生变更；</w:t>
      </w:r>
    </w:p>
    <w:p>
      <w:pPr>
        <w:spacing w:line="360" w:lineRule="auto"/>
        <w:ind w:firstLine="480" w:firstLineChars="200"/>
        <w:rPr>
          <w:rFonts w:ascii="宋体" w:hAnsi="宋体" w:cs="宋体"/>
          <w:bCs/>
          <w:sz w:val="24"/>
        </w:rPr>
      </w:pPr>
      <w:r>
        <w:rPr>
          <w:rFonts w:hint="eastAsia" w:ascii="宋体" w:hAnsi="宋体" w:cs="宋体"/>
          <w:bCs/>
          <w:sz w:val="24"/>
        </w:rPr>
        <w:t>7、基金管理人变更持有百分之五以上股权的股东、基金管理人的实际控制 人变更；</w:t>
      </w:r>
    </w:p>
    <w:p>
      <w:pPr>
        <w:spacing w:line="360" w:lineRule="auto"/>
        <w:ind w:firstLine="480" w:firstLineChars="200"/>
        <w:rPr>
          <w:rFonts w:ascii="宋体" w:hAnsi="宋体" w:cs="宋体"/>
          <w:bCs/>
          <w:sz w:val="24"/>
        </w:rPr>
      </w:pPr>
      <w:r>
        <w:rPr>
          <w:rFonts w:hint="eastAsia" w:ascii="宋体" w:hAnsi="宋体" w:cs="宋体"/>
          <w:bCs/>
          <w:sz w:val="24"/>
        </w:rPr>
        <w:t>8、基金募集期延长或提前结束募集；</w:t>
      </w:r>
    </w:p>
    <w:p>
      <w:pPr>
        <w:spacing w:line="360" w:lineRule="auto"/>
        <w:ind w:firstLine="480" w:firstLineChars="200"/>
        <w:rPr>
          <w:rFonts w:ascii="宋体" w:hAnsi="宋体" w:cs="宋体"/>
          <w:bCs/>
          <w:sz w:val="24"/>
        </w:rPr>
      </w:pPr>
      <w:r>
        <w:rPr>
          <w:rFonts w:hint="eastAsia" w:ascii="宋体" w:hAnsi="宋体" w:cs="宋体"/>
          <w:bCs/>
          <w:sz w:val="24"/>
        </w:rPr>
        <w:t>9、基金管理人的高级管理人员、基金经理和基金托管人专门基金托管部门 负责人发生变动；</w:t>
      </w:r>
    </w:p>
    <w:p>
      <w:pPr>
        <w:spacing w:line="360" w:lineRule="auto"/>
        <w:ind w:firstLine="480" w:firstLineChars="200"/>
        <w:rPr>
          <w:rFonts w:ascii="宋体" w:hAnsi="宋体" w:cs="宋体"/>
          <w:bCs/>
          <w:sz w:val="24"/>
        </w:rPr>
      </w:pPr>
      <w:r>
        <w:rPr>
          <w:rFonts w:hint="eastAsia" w:ascii="宋体" w:hAnsi="宋体" w:cs="宋体"/>
          <w:bCs/>
          <w:sz w:val="24"/>
        </w:rPr>
        <w:t>10、基金管理人的董事在最近12个月内变更超过百分之五十，基金管理人、基金托管人专门基金托管部门的主要业务人员在最近12个月内变动超过百分之 三十；</w:t>
      </w:r>
    </w:p>
    <w:p>
      <w:pPr>
        <w:spacing w:line="360" w:lineRule="auto"/>
        <w:ind w:firstLine="480" w:firstLineChars="200"/>
        <w:rPr>
          <w:rFonts w:ascii="宋体" w:hAnsi="宋体" w:cs="宋体"/>
          <w:bCs/>
          <w:sz w:val="24"/>
        </w:rPr>
      </w:pPr>
      <w:r>
        <w:rPr>
          <w:rFonts w:hint="eastAsia" w:ascii="宋体" w:hAnsi="宋体" w:cs="宋体"/>
          <w:bCs/>
          <w:sz w:val="24"/>
        </w:rPr>
        <w:t>11、涉及基金财产、基金管理业务、基金托管业务的诉讼或仲裁；</w:t>
      </w:r>
    </w:p>
    <w:p>
      <w:pPr>
        <w:spacing w:line="360" w:lineRule="auto"/>
        <w:ind w:firstLine="480" w:firstLineChars="200"/>
        <w:rPr>
          <w:rFonts w:ascii="宋体" w:hAnsi="宋体" w:cs="宋体"/>
          <w:bCs/>
          <w:sz w:val="24"/>
        </w:rPr>
      </w:pPr>
      <w:r>
        <w:rPr>
          <w:rFonts w:hint="eastAsia" w:ascii="宋体" w:hAnsi="宋体" w:cs="宋体"/>
          <w:bCs/>
          <w:sz w:val="24"/>
        </w:rPr>
        <w:t>12、基金管理人或其高级管理人员、基金经理因基金管理业务相关行为受到 重大行政处罚、刑事处罚，基金托管人或其专门基金托管部门负责人因基金托管 业务相关行为受到重大行政处罚、刑事处罚；</w:t>
      </w:r>
    </w:p>
    <w:p>
      <w:pPr>
        <w:spacing w:line="360" w:lineRule="auto"/>
        <w:ind w:firstLine="480" w:firstLineChars="200"/>
        <w:rPr>
          <w:rFonts w:ascii="宋体" w:hAnsi="宋体" w:cs="宋体"/>
          <w:bCs/>
          <w:sz w:val="24"/>
        </w:rPr>
      </w:pPr>
      <w:r>
        <w:rPr>
          <w:rFonts w:hint="eastAsia" w:ascii="宋体" w:hAnsi="宋体" w:cs="宋体"/>
          <w:bCs/>
          <w:sz w:val="24"/>
        </w:rPr>
        <w:t>13、基金管理人运用基金财产买卖基金管理人、基金托管人及其控股股东、 实际控制人或者与其有重大利害关系的公司发行的证券或者承销期内承销的证 券，或者从事其他重大关联交易事项，但中国证监会另有规定的除外；</w:t>
      </w:r>
    </w:p>
    <w:p>
      <w:pPr>
        <w:spacing w:line="360" w:lineRule="auto"/>
        <w:ind w:firstLine="480" w:firstLineChars="200"/>
        <w:rPr>
          <w:rFonts w:ascii="宋体" w:hAnsi="宋体" w:cs="宋体"/>
          <w:bCs/>
          <w:sz w:val="24"/>
        </w:rPr>
      </w:pPr>
      <w:r>
        <w:rPr>
          <w:rFonts w:hint="eastAsia" w:ascii="宋体" w:hAnsi="宋体" w:cs="宋体"/>
          <w:bCs/>
          <w:sz w:val="24"/>
        </w:rPr>
        <w:t>14、基金收益分配事项；</w:t>
      </w:r>
    </w:p>
    <w:p>
      <w:pPr>
        <w:spacing w:line="360" w:lineRule="auto"/>
        <w:ind w:firstLine="480" w:firstLineChars="200"/>
        <w:rPr>
          <w:rFonts w:ascii="宋体" w:hAnsi="宋体" w:cs="宋体"/>
          <w:bCs/>
          <w:sz w:val="24"/>
        </w:rPr>
      </w:pPr>
      <w:r>
        <w:rPr>
          <w:rFonts w:hint="eastAsia" w:ascii="宋体" w:hAnsi="宋体" w:cs="宋体"/>
          <w:bCs/>
          <w:sz w:val="24"/>
        </w:rPr>
        <w:t>15、管理费、托管费等费用计提标准、计提方式和费率发生变更；</w:t>
      </w:r>
    </w:p>
    <w:p>
      <w:pPr>
        <w:spacing w:line="360" w:lineRule="auto"/>
        <w:ind w:firstLine="480" w:firstLineChars="200"/>
        <w:rPr>
          <w:rFonts w:ascii="宋体" w:hAnsi="宋体" w:cs="宋体"/>
          <w:bCs/>
          <w:sz w:val="24"/>
        </w:rPr>
      </w:pPr>
      <w:r>
        <w:rPr>
          <w:rFonts w:hint="eastAsia" w:ascii="宋体" w:hAnsi="宋体" w:cs="宋体"/>
          <w:bCs/>
          <w:sz w:val="24"/>
        </w:rPr>
        <w:t>16、基金份额净值计价错误达基金份额净值百分之零点五；</w:t>
      </w:r>
    </w:p>
    <w:p>
      <w:pPr>
        <w:spacing w:line="360" w:lineRule="auto"/>
        <w:ind w:firstLine="480" w:firstLineChars="200"/>
        <w:rPr>
          <w:rFonts w:ascii="宋体" w:hAnsi="宋体" w:cs="宋体"/>
          <w:bCs/>
          <w:sz w:val="24"/>
        </w:rPr>
      </w:pPr>
      <w:r>
        <w:rPr>
          <w:rFonts w:hint="eastAsia" w:ascii="宋体" w:hAnsi="宋体" w:cs="宋体"/>
          <w:bCs/>
          <w:sz w:val="24"/>
        </w:rPr>
        <w:t>17、调整基金份额类别的设置；</w:t>
      </w:r>
    </w:p>
    <w:p>
      <w:pPr>
        <w:spacing w:line="360" w:lineRule="auto"/>
        <w:ind w:firstLine="480" w:firstLineChars="200"/>
        <w:rPr>
          <w:rFonts w:ascii="宋体" w:hAnsi="宋体" w:cs="宋体"/>
          <w:bCs/>
          <w:sz w:val="24"/>
        </w:rPr>
      </w:pPr>
      <w:r>
        <w:rPr>
          <w:rFonts w:hint="eastAsia" w:ascii="宋体" w:hAnsi="宋体" w:cs="宋体"/>
          <w:bCs/>
          <w:sz w:val="24"/>
        </w:rPr>
        <w:t>18、封闭期到期时持有尚未处置完毕的违约债券的情形；</w:t>
      </w:r>
    </w:p>
    <w:p>
      <w:pPr>
        <w:spacing w:line="360" w:lineRule="auto"/>
        <w:ind w:firstLine="480" w:firstLineChars="200"/>
        <w:rPr>
          <w:rFonts w:ascii="宋体" w:hAnsi="宋体" w:cs="宋体"/>
          <w:sz w:val="24"/>
        </w:rPr>
      </w:pPr>
      <w:r>
        <w:rPr>
          <w:rFonts w:hint="eastAsia" w:ascii="宋体" w:hAnsi="宋体" w:cs="宋体"/>
          <w:bCs/>
          <w:sz w:val="24"/>
        </w:rPr>
        <w:t>19、基金信息披露义务人认为可能对基金份额持有人权益或者基金份额的价 格产生重大影响的其他事项或中国证监会规定的其他事项。</w:t>
      </w:r>
    </w:p>
    <w:p>
      <w:pPr>
        <w:spacing w:line="360" w:lineRule="auto"/>
        <w:ind w:firstLine="480" w:firstLineChars="200"/>
        <w:rPr>
          <w:rFonts w:ascii="宋体" w:hAnsi="宋体" w:cs="宋体"/>
          <w:bCs/>
          <w:sz w:val="24"/>
        </w:rPr>
      </w:pPr>
      <w:r>
        <w:rPr>
          <w:rFonts w:hint="eastAsia" w:ascii="宋体" w:hAnsi="宋体" w:cs="宋体"/>
          <w:bCs/>
          <w:sz w:val="24"/>
        </w:rPr>
        <w:t>（七）澄清公告</w:t>
      </w:r>
    </w:p>
    <w:p>
      <w:pPr>
        <w:spacing w:line="360" w:lineRule="auto"/>
        <w:ind w:firstLine="480" w:firstLineChars="200"/>
        <w:rPr>
          <w:rFonts w:ascii="宋体" w:hAnsi="宋体" w:cs="宋体"/>
          <w:bCs/>
          <w:sz w:val="24"/>
        </w:rPr>
      </w:pPr>
      <w:r>
        <w:rPr>
          <w:rFonts w:hint="eastAsia" w:ascii="宋体" w:hAnsi="宋体" w:cs="宋体"/>
          <w:bCs/>
          <w:sz w:val="24"/>
        </w:rPr>
        <w:t>在《基金合同》存续期限内，任何公共媒介中出现的或者在市场上流传的消息可能对基金份额价格产生误导性影响或者引起较大波动的，以及可能损害基金份额持有人权益的，相关信息披露义务人知悉后应当立即对该消息进行公开澄清。</w:t>
      </w:r>
    </w:p>
    <w:p>
      <w:pPr>
        <w:spacing w:line="360" w:lineRule="auto"/>
        <w:ind w:firstLine="480" w:firstLineChars="200"/>
        <w:rPr>
          <w:rFonts w:ascii="宋体" w:hAnsi="宋体" w:cs="宋体"/>
          <w:bCs/>
          <w:sz w:val="24"/>
        </w:rPr>
      </w:pPr>
      <w:r>
        <w:rPr>
          <w:rFonts w:hint="eastAsia" w:ascii="宋体" w:hAnsi="宋体" w:cs="宋体"/>
          <w:bCs/>
          <w:sz w:val="24"/>
        </w:rPr>
        <w:t>（八）基金份额持有人大会决议</w:t>
      </w:r>
    </w:p>
    <w:p>
      <w:pPr>
        <w:spacing w:line="360" w:lineRule="auto"/>
        <w:ind w:firstLine="480" w:firstLineChars="200"/>
        <w:rPr>
          <w:rFonts w:ascii="宋体" w:hAnsi="宋体" w:cs="宋体"/>
          <w:bCs/>
          <w:sz w:val="24"/>
        </w:rPr>
      </w:pPr>
      <w:r>
        <w:rPr>
          <w:rFonts w:hint="eastAsia" w:ascii="宋体" w:hAnsi="宋体" w:cs="宋体"/>
          <w:bCs/>
          <w:sz w:val="24"/>
        </w:rPr>
        <w:t>基金份额持有人大会决定的事项，应当依法报中国证监会备案，并予以公告。</w:t>
      </w:r>
    </w:p>
    <w:p>
      <w:pPr>
        <w:spacing w:line="360" w:lineRule="auto"/>
        <w:ind w:firstLine="480" w:firstLineChars="200"/>
        <w:rPr>
          <w:rFonts w:ascii="宋体" w:hAnsi="宋体" w:cs="宋体"/>
          <w:bCs/>
          <w:sz w:val="24"/>
        </w:rPr>
      </w:pPr>
      <w:r>
        <w:rPr>
          <w:rFonts w:hint="eastAsia" w:ascii="宋体" w:hAnsi="宋体" w:cs="宋体"/>
          <w:bCs/>
          <w:sz w:val="24"/>
        </w:rPr>
        <w:t>（九）清算报告</w:t>
      </w:r>
    </w:p>
    <w:p>
      <w:pPr>
        <w:spacing w:line="360" w:lineRule="auto"/>
        <w:ind w:firstLine="480" w:firstLineChars="200"/>
        <w:rPr>
          <w:rFonts w:ascii="宋体" w:hAnsi="宋体" w:cs="宋体"/>
          <w:bCs/>
          <w:sz w:val="24"/>
        </w:rPr>
      </w:pPr>
      <w:r>
        <w:rPr>
          <w:rFonts w:hint="eastAsia" w:ascii="宋体" w:hAnsi="宋体" w:cs="宋体"/>
          <w:bCs/>
          <w:sz w:val="24"/>
        </w:rPr>
        <w:t>基金合同终止的，基金管理人应当依法组织基金财产清算小组对基金财产进 行清算并作出清算报告。基金财产清算小组应当将清算报告登载在规定网站上， 并将清算报告提示性公告登载在规定报刊上。</w:t>
      </w:r>
    </w:p>
    <w:p>
      <w:pPr>
        <w:spacing w:line="360" w:lineRule="auto"/>
        <w:ind w:firstLine="480" w:firstLineChars="200"/>
        <w:rPr>
          <w:rFonts w:ascii="宋体" w:hAnsi="宋体" w:cs="宋体"/>
          <w:bCs/>
          <w:sz w:val="24"/>
        </w:rPr>
      </w:pPr>
      <w:r>
        <w:rPr>
          <w:rFonts w:hint="eastAsia" w:ascii="宋体" w:hAnsi="宋体" w:cs="宋体"/>
          <w:bCs/>
          <w:sz w:val="24"/>
        </w:rPr>
        <w:t>（十）投资资产支持证券的信息披露</w:t>
      </w:r>
    </w:p>
    <w:p>
      <w:pPr>
        <w:spacing w:line="360" w:lineRule="auto"/>
        <w:ind w:firstLine="480" w:firstLineChars="200"/>
        <w:rPr>
          <w:rFonts w:ascii="宋体" w:hAnsi="宋体" w:cs="宋体"/>
          <w:bCs/>
          <w:sz w:val="24"/>
        </w:rPr>
      </w:pPr>
      <w:bookmarkStart w:id="500" w:name="OLE_LINK285"/>
      <w:bookmarkStart w:id="501" w:name="OLE_LINK284"/>
      <w:r>
        <w:rPr>
          <w:rFonts w:hint="eastAsia" w:ascii="宋体" w:hAnsi="宋体" w:cs="宋体"/>
          <w:bCs/>
          <w:sz w:val="24"/>
        </w:rPr>
        <w:t>基金管理人应在基金年度报告、中期报告中披露其持有的资产支持证券总 额、资产支持证券市值占基金净资产的比例和报告期内所有的资产支持证券明 细。</w:t>
      </w:r>
    </w:p>
    <w:bookmarkEnd w:id="500"/>
    <w:bookmarkEnd w:id="501"/>
    <w:p>
      <w:pPr>
        <w:spacing w:line="360" w:lineRule="auto"/>
        <w:ind w:firstLine="480" w:firstLineChars="200"/>
        <w:rPr>
          <w:rFonts w:ascii="宋体" w:hAnsi="宋体" w:cs="宋体"/>
          <w:bCs/>
          <w:sz w:val="24"/>
        </w:rPr>
      </w:pPr>
      <w:bookmarkStart w:id="502" w:name="OLE_LINK287"/>
      <w:bookmarkStart w:id="503" w:name="OLE_LINK286"/>
      <w:r>
        <w:rPr>
          <w:rFonts w:hint="eastAsia" w:ascii="宋体" w:hAnsi="宋体" w:cs="宋体"/>
          <w:bCs/>
          <w:sz w:val="24"/>
        </w:rPr>
        <w:t>基金管理人应在基金季度报告中披露其持有的资产支持证券总额、资产支持 证券市值占基金净资产的比例和报告期末按市值占基金净资产比例大小排序的 前10名资产支持证券明细。</w:t>
      </w:r>
    </w:p>
    <w:bookmarkEnd w:id="502"/>
    <w:bookmarkEnd w:id="503"/>
    <w:p>
      <w:pPr>
        <w:spacing w:line="360" w:lineRule="auto"/>
        <w:ind w:firstLine="480" w:firstLineChars="200"/>
        <w:rPr>
          <w:rFonts w:ascii="宋体" w:hAnsi="宋体" w:cs="宋体"/>
          <w:bCs/>
          <w:sz w:val="24"/>
        </w:rPr>
      </w:pPr>
      <w:r>
        <w:rPr>
          <w:rFonts w:hint="eastAsia" w:ascii="宋体" w:hAnsi="宋体" w:cs="宋体"/>
          <w:bCs/>
          <w:sz w:val="24"/>
        </w:rPr>
        <w:t>（十一）中国证监会规定的其他信息。</w:t>
      </w:r>
    </w:p>
    <w:p>
      <w:pPr>
        <w:spacing w:line="360" w:lineRule="auto"/>
        <w:ind w:firstLine="480" w:firstLineChars="200"/>
        <w:rPr>
          <w:rFonts w:ascii="宋体" w:hAnsi="宋体" w:cs="宋体"/>
          <w:bCs/>
          <w:sz w:val="24"/>
        </w:rPr>
      </w:pPr>
    </w:p>
    <w:p>
      <w:pPr>
        <w:spacing w:line="360" w:lineRule="auto"/>
        <w:ind w:firstLine="482" w:firstLineChars="200"/>
        <w:rPr>
          <w:rFonts w:ascii="宋体" w:hAnsi="宋体" w:cs="宋体"/>
          <w:b/>
          <w:sz w:val="24"/>
        </w:rPr>
      </w:pPr>
      <w:r>
        <w:rPr>
          <w:rFonts w:hint="eastAsia" w:ascii="宋体" w:hAnsi="宋体" w:cs="宋体"/>
          <w:b/>
          <w:sz w:val="24"/>
        </w:rPr>
        <w:t>六、信息披露事务管理</w:t>
      </w:r>
    </w:p>
    <w:p>
      <w:pPr>
        <w:spacing w:line="360" w:lineRule="auto"/>
        <w:ind w:firstLine="480" w:firstLineChars="200"/>
        <w:rPr>
          <w:rFonts w:ascii="宋体" w:hAnsi="宋体" w:cs="宋体"/>
          <w:bCs/>
          <w:sz w:val="24"/>
        </w:rPr>
      </w:pPr>
      <w:r>
        <w:rPr>
          <w:rFonts w:hint="eastAsia" w:ascii="宋体" w:hAnsi="宋体" w:cs="宋体"/>
          <w:bCs/>
          <w:sz w:val="24"/>
        </w:rPr>
        <w:t>基金管理人、基金托管人应当建立健全信息披露管理制度，指定专门部门及 高级管理人员负责管理信息披露事务。</w:t>
      </w:r>
    </w:p>
    <w:p>
      <w:pPr>
        <w:spacing w:line="360" w:lineRule="auto"/>
        <w:ind w:firstLine="480" w:firstLineChars="200"/>
        <w:rPr>
          <w:rFonts w:ascii="宋体" w:hAnsi="宋体" w:cs="宋体"/>
          <w:bCs/>
          <w:sz w:val="24"/>
        </w:rPr>
      </w:pPr>
      <w:r>
        <w:rPr>
          <w:rFonts w:hint="eastAsia" w:ascii="宋体" w:hAnsi="宋体" w:cs="宋体"/>
          <w:bCs/>
          <w:sz w:val="24"/>
        </w:rPr>
        <w:t>基金信息披露义务人公开披露基金信息，应当符合中国证监会相关基金信息 披露内容与格式准则等法规的规定。</w:t>
      </w:r>
    </w:p>
    <w:p>
      <w:pPr>
        <w:spacing w:line="360" w:lineRule="auto"/>
        <w:ind w:firstLine="480" w:firstLineChars="200"/>
        <w:rPr>
          <w:rFonts w:ascii="宋体" w:hAnsi="宋体" w:cs="宋体"/>
          <w:bCs/>
          <w:sz w:val="24"/>
        </w:rPr>
      </w:pPr>
      <w:r>
        <w:rPr>
          <w:rFonts w:hint="eastAsia" w:ascii="宋体" w:hAnsi="宋体" w:cs="宋体"/>
          <w:bCs/>
          <w:sz w:val="24"/>
        </w:rPr>
        <w:t>基金托管人应当按照相关法律法规、中国证监会的规定和《基金合同》的约 定，对基金管理人编制的基金资产净值、基金份额净值、基金定期报告、更新的招募说明书、基金产品资料概要、基金清算报告等相关基金信息进行复核、审查，并向基金管理人进行书面或电子确认。</w:t>
      </w:r>
    </w:p>
    <w:p>
      <w:pPr>
        <w:spacing w:line="360" w:lineRule="auto"/>
        <w:rPr>
          <w:rFonts w:ascii="宋体" w:hAnsi="宋体" w:cs="宋体"/>
          <w:bCs/>
          <w:sz w:val="24"/>
        </w:rPr>
      </w:pPr>
      <w:r>
        <w:rPr>
          <w:rFonts w:hint="eastAsia" w:ascii="宋体" w:hAnsi="宋体" w:cs="宋体"/>
          <w:bCs/>
          <w:sz w:val="24"/>
        </w:rPr>
        <w:t>基金管理人、基金托管人应当在规定报刊中选择一家报刊披露本基金信息。 基金管理人、基金托管人应当向中国证监会基金电子披露网站报送拟披露的基金信息，并保证相关报送信息的真实、准确、完整、及时。</w:t>
      </w:r>
    </w:p>
    <w:p>
      <w:pPr>
        <w:spacing w:line="360" w:lineRule="auto"/>
        <w:ind w:firstLine="480" w:firstLineChars="200"/>
        <w:rPr>
          <w:rFonts w:ascii="宋体" w:hAnsi="宋体" w:cs="宋体"/>
          <w:bCs/>
          <w:sz w:val="24"/>
        </w:rPr>
      </w:pPr>
      <w:r>
        <w:rPr>
          <w:rFonts w:hint="eastAsia" w:ascii="宋体" w:hAnsi="宋体" w:cs="宋体"/>
          <w:bCs/>
          <w:sz w:val="24"/>
        </w:rPr>
        <w:t>为强化投资者保护，提升信息披露服务质量，基金管理人应当自中国证监会规定之日起，按照中国证监会规定向投资者及时提供对其投资决策有重大影响的信息。</w:t>
      </w:r>
    </w:p>
    <w:p>
      <w:pPr>
        <w:spacing w:line="360" w:lineRule="auto"/>
        <w:ind w:firstLine="480" w:firstLineChars="200"/>
        <w:rPr>
          <w:rFonts w:ascii="宋体" w:hAnsi="宋体" w:cs="宋体"/>
          <w:bCs/>
          <w:sz w:val="24"/>
        </w:rPr>
      </w:pPr>
      <w:r>
        <w:rPr>
          <w:rFonts w:hint="eastAsia" w:ascii="宋体" w:hAnsi="宋体" w:cs="宋体"/>
          <w:bCs/>
          <w:sz w:val="24"/>
        </w:rPr>
        <w:t>基金管理人、基金托管人除依法在规定媒介上披露信息外，还可以根据需要 在其他公共媒介披露信息，但是其他公共媒介不得早于规定媒介披露信息，并且 在不同媒介上披露同一信息的内容应当一致。</w:t>
      </w:r>
    </w:p>
    <w:p>
      <w:pPr>
        <w:spacing w:line="360" w:lineRule="auto"/>
        <w:ind w:firstLine="480" w:firstLineChars="200"/>
        <w:rPr>
          <w:rFonts w:ascii="宋体" w:hAnsi="宋体" w:cs="宋体"/>
          <w:bCs/>
          <w:sz w:val="24"/>
        </w:rPr>
      </w:pPr>
      <w:r>
        <w:rPr>
          <w:rFonts w:hint="eastAsia" w:ascii="宋体" w:hAnsi="宋体" w:cs="宋体"/>
          <w:bCs/>
          <w:sz w:val="24"/>
        </w:rPr>
        <w:t>基金管理人、基金托管人除按法律法规要求披露信息外，也可着眼于为投资 者决策提供有用信息的角度，在保证公平对待投资者、不误导投资者、不影响基 金正常投资操作的前提下，自主提升信息披露服务的质量。具体要求应当符合中 国证监会及自律规则的相关规定。前述自主披露如产生信息披露费用，该费用不得从基金财产中列支。</w:t>
      </w:r>
    </w:p>
    <w:p>
      <w:pPr>
        <w:spacing w:line="360" w:lineRule="auto"/>
        <w:ind w:firstLine="480" w:firstLineChars="200"/>
        <w:rPr>
          <w:rFonts w:ascii="宋体" w:hAnsi="宋体" w:cs="宋体"/>
          <w:bCs/>
          <w:sz w:val="24"/>
        </w:rPr>
      </w:pPr>
      <w:r>
        <w:rPr>
          <w:rFonts w:hint="eastAsia" w:ascii="宋体" w:hAnsi="宋体" w:cs="宋体"/>
          <w:bCs/>
          <w:sz w:val="24"/>
        </w:rPr>
        <w:t>为基金信息披露义务人公开披露的基金信息出具审计报告、法律意见书的专 业机构，应当制作工作底稿，并将相关档案至少保存到《基金合同》终止后10年。</w:t>
      </w:r>
    </w:p>
    <w:p>
      <w:pPr>
        <w:spacing w:line="360" w:lineRule="auto"/>
        <w:ind w:firstLine="480" w:firstLineChars="200"/>
        <w:rPr>
          <w:rFonts w:ascii="宋体" w:hAnsi="宋体" w:cs="宋体"/>
          <w:bCs/>
          <w:sz w:val="24"/>
        </w:rPr>
      </w:pPr>
    </w:p>
    <w:p>
      <w:pPr>
        <w:spacing w:line="360" w:lineRule="auto"/>
        <w:ind w:firstLine="482" w:firstLineChars="200"/>
        <w:rPr>
          <w:rFonts w:ascii="宋体" w:hAnsi="宋体" w:cs="宋体"/>
          <w:b/>
          <w:sz w:val="24"/>
        </w:rPr>
      </w:pPr>
      <w:r>
        <w:rPr>
          <w:rFonts w:hint="eastAsia" w:ascii="宋体" w:hAnsi="宋体" w:cs="宋体"/>
          <w:b/>
          <w:sz w:val="24"/>
        </w:rPr>
        <w:t>七、信息披露文件的存放与查阅</w:t>
      </w:r>
    </w:p>
    <w:p>
      <w:pPr>
        <w:spacing w:line="360" w:lineRule="auto"/>
        <w:ind w:firstLine="480" w:firstLineChars="200"/>
        <w:rPr>
          <w:rFonts w:ascii="宋体" w:hAnsi="宋体" w:cs="宋体"/>
          <w:bCs/>
          <w:sz w:val="24"/>
        </w:rPr>
      </w:pPr>
      <w:r>
        <w:rPr>
          <w:rFonts w:hint="eastAsia" w:ascii="宋体" w:hAnsi="宋体" w:cs="宋体"/>
          <w:bCs/>
          <w:sz w:val="24"/>
        </w:rPr>
        <w:t>依法必须披露的信息发布后，基金管理人、基金托管人应当按照相关法律法 规规定将信息置备于各自住所，供社会公众查阅、复制。</w:t>
      </w:r>
    </w:p>
    <w:p>
      <w:pPr>
        <w:spacing w:line="360" w:lineRule="auto"/>
        <w:ind w:firstLine="480" w:firstLineChars="200"/>
        <w:rPr>
          <w:rFonts w:ascii="宋体" w:hAnsi="宋体" w:cs="宋体"/>
          <w:bCs/>
          <w:sz w:val="24"/>
        </w:rPr>
      </w:pPr>
    </w:p>
    <w:p>
      <w:pPr>
        <w:spacing w:line="360" w:lineRule="auto"/>
        <w:ind w:firstLine="482" w:firstLineChars="200"/>
        <w:rPr>
          <w:rFonts w:ascii="宋体" w:hAnsi="宋体" w:cs="宋体"/>
          <w:b/>
          <w:sz w:val="24"/>
        </w:rPr>
      </w:pPr>
      <w:r>
        <w:rPr>
          <w:rFonts w:hint="eastAsia" w:ascii="宋体" w:hAnsi="宋体" w:cs="宋体"/>
          <w:b/>
          <w:sz w:val="24"/>
        </w:rPr>
        <w:t>八、暂停或延迟信息披露的情形</w:t>
      </w:r>
    </w:p>
    <w:p>
      <w:pPr>
        <w:spacing w:line="360" w:lineRule="auto"/>
        <w:ind w:firstLine="480" w:firstLineChars="200"/>
        <w:rPr>
          <w:rFonts w:ascii="宋体" w:hAnsi="宋体" w:cs="宋体"/>
          <w:bCs/>
          <w:sz w:val="24"/>
        </w:rPr>
      </w:pPr>
      <w:bookmarkStart w:id="504" w:name="OLE_LINK288"/>
      <w:bookmarkStart w:id="505" w:name="OLE_LINK289"/>
      <w:r>
        <w:rPr>
          <w:rFonts w:hint="eastAsia" w:ascii="宋体" w:hAnsi="宋体" w:cs="宋体"/>
          <w:bCs/>
          <w:sz w:val="24"/>
        </w:rPr>
        <w:t>当出现下述情况时，基金管理人和基金托管人可暂停或延迟披露基金相关信 息：</w:t>
      </w:r>
    </w:p>
    <w:p>
      <w:pPr>
        <w:spacing w:line="360" w:lineRule="auto"/>
        <w:ind w:firstLine="480" w:firstLineChars="200"/>
        <w:rPr>
          <w:rFonts w:ascii="宋体" w:hAnsi="宋体" w:cs="宋体"/>
          <w:bCs/>
          <w:sz w:val="24"/>
        </w:rPr>
      </w:pPr>
      <w:bookmarkStart w:id="506" w:name="OLE_LINK300"/>
      <w:bookmarkStart w:id="507" w:name="OLE_LINK299"/>
      <w:r>
        <w:rPr>
          <w:rFonts w:hint="eastAsia" w:ascii="宋体" w:hAnsi="宋体" w:cs="宋体"/>
          <w:bCs/>
          <w:sz w:val="24"/>
        </w:rPr>
        <w:t>1、</w:t>
      </w:r>
      <w:bookmarkStart w:id="508" w:name="OLE_LINK290"/>
      <w:bookmarkStart w:id="509" w:name="OLE_LINK291"/>
      <w:r>
        <w:rPr>
          <w:rFonts w:hint="eastAsia" w:ascii="宋体" w:hAnsi="宋体" w:cs="宋体"/>
          <w:bCs/>
          <w:sz w:val="24"/>
        </w:rPr>
        <w:t>因不可抗力致使基金管理人、基金托管人无法准确评估基金资产价值时</w:t>
      </w:r>
      <w:bookmarkEnd w:id="508"/>
      <w:bookmarkEnd w:id="509"/>
      <w:r>
        <w:rPr>
          <w:rFonts w:hint="eastAsia" w:ascii="宋体" w:hAnsi="宋体" w:cs="宋体"/>
          <w:bCs/>
          <w:sz w:val="24"/>
        </w:rPr>
        <w:t>；</w:t>
      </w:r>
    </w:p>
    <w:p>
      <w:pPr>
        <w:spacing w:line="360" w:lineRule="auto"/>
        <w:ind w:firstLine="480" w:firstLineChars="200"/>
        <w:rPr>
          <w:rFonts w:ascii="宋体" w:hAnsi="宋体" w:cs="宋体"/>
          <w:bCs/>
          <w:sz w:val="24"/>
        </w:rPr>
      </w:pPr>
      <w:r>
        <w:rPr>
          <w:rFonts w:hint="eastAsia" w:ascii="宋体" w:hAnsi="宋体" w:cs="宋体"/>
          <w:bCs/>
          <w:sz w:val="24"/>
        </w:rPr>
        <w:t>2、基金投资所涉及的证券交易市场遇法定节假日或因其他原因暂停营业时；</w:t>
      </w:r>
    </w:p>
    <w:p>
      <w:pPr>
        <w:spacing w:line="360" w:lineRule="auto"/>
        <w:ind w:firstLine="480" w:firstLineChars="200"/>
        <w:rPr>
          <w:rFonts w:ascii="宋体" w:hAnsi="宋体" w:cs="宋体"/>
          <w:bCs/>
          <w:sz w:val="24"/>
        </w:rPr>
      </w:pPr>
      <w:r>
        <w:rPr>
          <w:rFonts w:hint="eastAsia" w:ascii="宋体" w:hAnsi="宋体" w:cs="宋体"/>
          <w:bCs/>
          <w:sz w:val="24"/>
        </w:rPr>
        <w:t>3、基金合同约定的暂停估值的情形；</w:t>
      </w:r>
    </w:p>
    <w:p>
      <w:pPr>
        <w:spacing w:line="360" w:lineRule="auto"/>
        <w:ind w:firstLine="480" w:firstLineChars="200"/>
        <w:rPr>
          <w:rFonts w:ascii="宋体" w:hAnsi="宋体" w:cs="宋体"/>
          <w:bCs/>
          <w:sz w:val="24"/>
        </w:rPr>
      </w:pPr>
      <w:r>
        <w:rPr>
          <w:rFonts w:ascii="宋体" w:hAnsi="宋体" w:cs="宋体"/>
          <w:bCs/>
          <w:sz w:val="24"/>
        </w:rPr>
        <w:t>4</w:t>
      </w:r>
      <w:r>
        <w:rPr>
          <w:rFonts w:hint="eastAsia" w:ascii="宋体" w:hAnsi="宋体" w:cs="宋体"/>
          <w:bCs/>
          <w:sz w:val="24"/>
        </w:rPr>
        <w:t>、</w:t>
      </w:r>
      <w:bookmarkStart w:id="510" w:name="OLE_LINK295"/>
      <w:bookmarkStart w:id="511" w:name="OLE_LINK294"/>
      <w:r>
        <w:rPr>
          <w:rFonts w:hint="eastAsia" w:ascii="宋体" w:hAnsi="宋体" w:cs="宋体"/>
          <w:bCs/>
          <w:sz w:val="24"/>
        </w:rPr>
        <w:t>法律法规规定、中国证监会或基金合同认定的其他情形</w:t>
      </w:r>
      <w:bookmarkEnd w:id="510"/>
      <w:bookmarkEnd w:id="511"/>
      <w:r>
        <w:rPr>
          <w:rFonts w:hint="eastAsia" w:ascii="宋体" w:hAnsi="宋体" w:cs="宋体"/>
          <w:bCs/>
          <w:sz w:val="24"/>
        </w:rPr>
        <w:t>。</w:t>
      </w:r>
    </w:p>
    <w:bookmarkEnd w:id="506"/>
    <w:bookmarkEnd w:id="507"/>
    <w:p>
      <w:pPr>
        <w:pStyle w:val="2"/>
        <w:spacing w:before="0" w:after="0"/>
        <w:jc w:val="center"/>
        <w:rPr>
          <w:rFonts w:hAnsi="宋体" w:cs="宋体"/>
          <w:color w:val="auto"/>
          <w:sz w:val="30"/>
        </w:rPr>
      </w:pPr>
      <w:r>
        <w:rPr>
          <w:rFonts w:hint="eastAsia" w:hAnsi="宋体" w:cs="宋体"/>
          <w:b w:val="0"/>
          <w:bCs/>
          <w:color w:val="auto"/>
          <w:kern w:val="44"/>
          <w:sz w:val="21"/>
        </w:rPr>
        <w:br w:type="page"/>
      </w:r>
      <w:bookmarkEnd w:id="494"/>
      <w:bookmarkEnd w:id="495"/>
      <w:bookmarkEnd w:id="504"/>
      <w:bookmarkEnd w:id="505"/>
      <w:bookmarkStart w:id="512" w:name="_Toc11113"/>
      <w:bookmarkStart w:id="513" w:name="_Toc123112247"/>
      <w:bookmarkStart w:id="514" w:name="_Toc8059"/>
      <w:bookmarkStart w:id="515" w:name="_Toc10006"/>
      <w:bookmarkStart w:id="516" w:name="_Toc22978"/>
      <w:bookmarkStart w:id="517" w:name="_Toc6237"/>
      <w:bookmarkStart w:id="518" w:name="_Toc23762"/>
      <w:bookmarkStart w:id="519" w:name="_Toc123102466"/>
      <w:bookmarkStart w:id="520" w:name="_Toc141703899"/>
      <w:bookmarkStart w:id="521" w:name="_Toc7170"/>
      <w:bookmarkStart w:id="522" w:name="_Toc98560364"/>
      <w:bookmarkStart w:id="523" w:name="_Toc27464"/>
      <w:bookmarkStart w:id="524" w:name="_Toc8049"/>
      <w:bookmarkStart w:id="525" w:name="_Toc29891"/>
      <w:bookmarkStart w:id="526" w:name="_Toc139991749"/>
      <w:bookmarkStart w:id="527" w:name="_Toc25647"/>
      <w:bookmarkStart w:id="528" w:name="_Toc123051465"/>
      <w:bookmarkStart w:id="529" w:name="_Toc9005"/>
      <w:r>
        <w:rPr>
          <w:rFonts w:hint="eastAsia" w:hAnsi="宋体" w:cs="宋体"/>
          <w:color w:val="auto"/>
          <w:sz w:val="30"/>
        </w:rPr>
        <w:t xml:space="preserve">第十九部分  </w:t>
      </w:r>
      <w:bookmarkStart w:id="530" w:name="_Hlt88828593"/>
      <w:r>
        <w:rPr>
          <w:rFonts w:hint="eastAsia" w:hAnsi="宋体" w:cs="宋体"/>
          <w:color w:val="auto"/>
          <w:sz w:val="30"/>
        </w:rPr>
        <w:t>基金合同</w:t>
      </w:r>
      <w:bookmarkEnd w:id="530"/>
      <w:r>
        <w:rPr>
          <w:rFonts w:hint="eastAsia" w:hAnsi="宋体" w:cs="宋体"/>
          <w:color w:val="auto"/>
          <w:sz w:val="30"/>
        </w:rPr>
        <w:t>的变更、终止与基金财产的清算</w:t>
      </w:r>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p>
    <w:p>
      <w:pPr>
        <w:spacing w:line="360" w:lineRule="auto"/>
        <w:ind w:firstLine="480" w:firstLineChars="200"/>
        <w:rPr>
          <w:rFonts w:ascii="宋体" w:hAnsi="宋体" w:cs="宋体"/>
          <w:bCs/>
          <w:sz w:val="24"/>
        </w:rPr>
      </w:pPr>
    </w:p>
    <w:p>
      <w:pPr>
        <w:spacing w:line="360" w:lineRule="auto"/>
        <w:ind w:firstLine="482" w:firstLineChars="200"/>
        <w:rPr>
          <w:rFonts w:ascii="宋体" w:hAnsi="宋体" w:cs="宋体"/>
          <w:b/>
          <w:sz w:val="24"/>
        </w:rPr>
      </w:pPr>
      <w:bookmarkStart w:id="531" w:name="_Toc79392639"/>
      <w:bookmarkStart w:id="532" w:name="OLE_LINK84"/>
      <w:bookmarkStart w:id="533" w:name="OLE_LINK85"/>
      <w:r>
        <w:rPr>
          <w:rFonts w:hint="eastAsia" w:ascii="宋体" w:hAnsi="宋体" w:cs="宋体"/>
          <w:b/>
          <w:sz w:val="24"/>
        </w:rPr>
        <w:t>一、《基金合同》的变更</w:t>
      </w:r>
      <w:bookmarkEnd w:id="531"/>
    </w:p>
    <w:p>
      <w:pPr>
        <w:autoSpaceDE w:val="0"/>
        <w:autoSpaceDN w:val="0"/>
        <w:adjustRightInd w:val="0"/>
        <w:spacing w:line="360" w:lineRule="auto"/>
        <w:ind w:firstLine="720" w:firstLineChars="300"/>
        <w:jc w:val="left"/>
        <w:rPr>
          <w:rFonts w:ascii="宋体" w:hAnsi="宋体" w:cs="宋体"/>
          <w:bCs/>
          <w:sz w:val="24"/>
        </w:rPr>
      </w:pPr>
      <w:r>
        <w:rPr>
          <w:rFonts w:hint="eastAsia" w:ascii="宋体" w:hAnsi="宋体" w:cs="宋体"/>
          <w:bCs/>
          <w:sz w:val="24"/>
        </w:rPr>
        <w:t>1、变更基金合同涉及法律法规规定或本合同约定应经基金份额持有人大会决议通过的事项的，应召开基金份额持有人大会决议通过。对于法律法规规定和基金合同约定可不经基金份额持有人大会决议通过的事项，由基金管理人和基金托管人同意后变更并公告。</w:t>
      </w:r>
    </w:p>
    <w:p>
      <w:pPr>
        <w:spacing w:line="360" w:lineRule="auto"/>
        <w:ind w:firstLine="480" w:firstLineChars="200"/>
        <w:rPr>
          <w:rFonts w:ascii="宋体" w:hAnsi="宋体" w:cs="宋体"/>
          <w:bCs/>
          <w:sz w:val="24"/>
        </w:rPr>
      </w:pPr>
      <w:r>
        <w:rPr>
          <w:rFonts w:hint="eastAsia" w:ascii="宋体" w:hAnsi="宋体" w:cs="宋体"/>
          <w:bCs/>
          <w:sz w:val="24"/>
        </w:rPr>
        <w:t xml:space="preserve"> 2、关于《基金合同》变更的基金份额持有人大会决议自表决通过之日起生效，并自生效后方可执行，自决议生效后两日内在规定媒介公告。</w:t>
      </w:r>
    </w:p>
    <w:p>
      <w:pPr>
        <w:spacing w:line="360" w:lineRule="auto"/>
        <w:ind w:firstLine="480" w:firstLineChars="200"/>
        <w:rPr>
          <w:rFonts w:ascii="宋体" w:hAnsi="宋体" w:cs="宋体"/>
          <w:bCs/>
          <w:sz w:val="24"/>
        </w:rPr>
      </w:pPr>
    </w:p>
    <w:p>
      <w:pPr>
        <w:spacing w:line="360" w:lineRule="auto"/>
        <w:ind w:firstLine="482" w:firstLineChars="200"/>
        <w:rPr>
          <w:rFonts w:ascii="宋体" w:hAnsi="宋体" w:cs="宋体"/>
          <w:b/>
          <w:sz w:val="24"/>
        </w:rPr>
      </w:pPr>
      <w:r>
        <w:rPr>
          <w:rFonts w:hint="eastAsia" w:ascii="宋体" w:hAnsi="宋体" w:cs="宋体"/>
          <w:b/>
          <w:sz w:val="24"/>
        </w:rPr>
        <w:t>二、《基金合同》的终止事由</w:t>
      </w:r>
    </w:p>
    <w:p>
      <w:pPr>
        <w:spacing w:line="360" w:lineRule="auto"/>
        <w:ind w:firstLine="480" w:firstLineChars="200"/>
        <w:rPr>
          <w:rFonts w:ascii="宋体" w:hAnsi="宋体" w:cs="宋体"/>
          <w:bCs/>
          <w:sz w:val="24"/>
        </w:rPr>
      </w:pPr>
      <w:r>
        <w:rPr>
          <w:rFonts w:hint="eastAsia" w:ascii="宋体" w:hAnsi="宋体" w:cs="宋体"/>
          <w:bCs/>
          <w:sz w:val="24"/>
        </w:rPr>
        <w:t>有下列情形之一的，经履行相关程序后，《基金合同》应当终止：</w:t>
      </w:r>
    </w:p>
    <w:p>
      <w:pPr>
        <w:pStyle w:val="49"/>
        <w:numPr>
          <w:ilvl w:val="0"/>
          <w:numId w:val="6"/>
        </w:numPr>
        <w:spacing w:line="360" w:lineRule="auto"/>
        <w:ind w:firstLine="420" w:firstLineChars="0"/>
        <w:rPr>
          <w:rFonts w:ascii="宋体" w:hAnsi="宋体" w:cs="宋体"/>
          <w:bCs/>
          <w:sz w:val="24"/>
        </w:rPr>
      </w:pPr>
      <w:r>
        <w:rPr>
          <w:rFonts w:hint="eastAsia" w:ascii="宋体" w:hAnsi="宋体" w:cs="宋体"/>
          <w:bCs/>
          <w:sz w:val="24"/>
        </w:rPr>
        <w:t>本基金封闭期届满；</w:t>
      </w:r>
    </w:p>
    <w:p>
      <w:pPr>
        <w:pStyle w:val="49"/>
        <w:numPr>
          <w:ilvl w:val="0"/>
          <w:numId w:val="6"/>
        </w:numPr>
        <w:spacing w:line="360" w:lineRule="auto"/>
        <w:ind w:firstLine="420" w:firstLineChars="0"/>
        <w:rPr>
          <w:rFonts w:ascii="宋体" w:hAnsi="宋体" w:cs="宋体"/>
          <w:bCs/>
          <w:sz w:val="24"/>
        </w:rPr>
      </w:pPr>
      <w:r>
        <w:rPr>
          <w:rFonts w:hint="eastAsia" w:ascii="宋体" w:hAnsi="宋体" w:cs="宋体"/>
          <w:bCs/>
          <w:sz w:val="24"/>
        </w:rPr>
        <w:t>基金份额持有人大会决定终止的；</w:t>
      </w:r>
    </w:p>
    <w:p>
      <w:pPr>
        <w:pStyle w:val="49"/>
        <w:numPr>
          <w:ilvl w:val="0"/>
          <w:numId w:val="6"/>
        </w:numPr>
        <w:spacing w:line="360" w:lineRule="auto"/>
        <w:ind w:firstLine="420" w:firstLineChars="0"/>
        <w:rPr>
          <w:rFonts w:ascii="宋体" w:hAnsi="宋体" w:cs="宋体"/>
          <w:bCs/>
          <w:sz w:val="24"/>
        </w:rPr>
      </w:pPr>
      <w:r>
        <w:rPr>
          <w:rFonts w:hint="eastAsia" w:ascii="宋体" w:hAnsi="宋体" w:cs="宋体"/>
          <w:bCs/>
          <w:sz w:val="24"/>
        </w:rPr>
        <w:t>基金管理人、基金托管人职责终止，在6个月内没有新基金管理人、新基金托管人承接的；</w:t>
      </w:r>
    </w:p>
    <w:p>
      <w:pPr>
        <w:pStyle w:val="49"/>
        <w:numPr>
          <w:ilvl w:val="0"/>
          <w:numId w:val="6"/>
        </w:numPr>
        <w:spacing w:line="360" w:lineRule="auto"/>
        <w:ind w:firstLine="420" w:firstLineChars="0"/>
        <w:rPr>
          <w:rFonts w:ascii="宋体" w:hAnsi="宋体" w:cs="宋体"/>
          <w:bCs/>
          <w:sz w:val="24"/>
        </w:rPr>
      </w:pPr>
      <w:r>
        <w:rPr>
          <w:rFonts w:hint="eastAsia" w:ascii="宋体" w:hAnsi="宋体" w:cs="宋体"/>
          <w:bCs/>
          <w:sz w:val="24"/>
        </w:rPr>
        <w:t>《基金合同》约定的其他情形；</w:t>
      </w:r>
    </w:p>
    <w:p>
      <w:pPr>
        <w:pStyle w:val="49"/>
        <w:numPr>
          <w:ilvl w:val="0"/>
          <w:numId w:val="6"/>
        </w:numPr>
        <w:spacing w:line="360" w:lineRule="auto"/>
        <w:ind w:firstLine="420" w:firstLineChars="0"/>
        <w:rPr>
          <w:rFonts w:ascii="宋体" w:hAnsi="宋体" w:cs="宋体"/>
          <w:bCs/>
          <w:sz w:val="24"/>
        </w:rPr>
      </w:pPr>
      <w:r>
        <w:rPr>
          <w:rFonts w:hint="eastAsia" w:ascii="宋体" w:hAnsi="宋体" w:cs="宋体"/>
          <w:bCs/>
          <w:sz w:val="24"/>
        </w:rPr>
        <w:t>相关法律法规和中国证监会规定的其他情况。</w:t>
      </w:r>
    </w:p>
    <w:p>
      <w:pPr>
        <w:spacing w:line="360" w:lineRule="auto"/>
        <w:ind w:firstLine="480" w:firstLineChars="200"/>
        <w:rPr>
          <w:rFonts w:ascii="宋体" w:hAnsi="宋体" w:cs="宋体"/>
          <w:bCs/>
          <w:sz w:val="24"/>
        </w:rPr>
      </w:pPr>
    </w:p>
    <w:p>
      <w:pPr>
        <w:spacing w:line="360" w:lineRule="auto"/>
        <w:ind w:firstLine="482" w:firstLineChars="200"/>
        <w:rPr>
          <w:rFonts w:ascii="宋体" w:hAnsi="宋体" w:cs="宋体"/>
          <w:b/>
          <w:sz w:val="24"/>
        </w:rPr>
      </w:pPr>
      <w:r>
        <w:rPr>
          <w:rFonts w:hint="eastAsia" w:ascii="宋体" w:hAnsi="宋体" w:cs="宋体"/>
          <w:b/>
          <w:sz w:val="24"/>
        </w:rPr>
        <w:t>三、基金财产的清算</w:t>
      </w:r>
    </w:p>
    <w:p>
      <w:pPr>
        <w:spacing w:line="360" w:lineRule="auto"/>
        <w:ind w:firstLine="480" w:firstLineChars="200"/>
        <w:rPr>
          <w:rFonts w:ascii="宋体" w:hAnsi="宋体" w:cs="宋体"/>
          <w:bCs/>
          <w:sz w:val="24"/>
        </w:rPr>
      </w:pPr>
      <w:r>
        <w:rPr>
          <w:rFonts w:hint="eastAsia" w:ascii="宋体" w:hAnsi="宋体" w:cs="宋体"/>
          <w:bCs/>
          <w:sz w:val="24"/>
        </w:rPr>
        <w:t>1、基金财产清算小组：自出现《基金合同》终止事由之日起30个工作日内成立清算小组，基金管理人或临时基金管理人组织基金财产清算小组并在中国证监会的监督下进行基金清算。</w:t>
      </w:r>
    </w:p>
    <w:p>
      <w:pPr>
        <w:spacing w:line="360" w:lineRule="auto"/>
        <w:ind w:firstLine="480" w:firstLineChars="200"/>
        <w:rPr>
          <w:rFonts w:ascii="宋体" w:hAnsi="宋体" w:cs="宋体"/>
          <w:bCs/>
          <w:sz w:val="24"/>
        </w:rPr>
      </w:pPr>
      <w:r>
        <w:rPr>
          <w:rFonts w:hint="eastAsia" w:ascii="宋体" w:hAnsi="宋体" w:cs="宋体"/>
          <w:bCs/>
          <w:sz w:val="24"/>
        </w:rPr>
        <w:t>2、基金财产清算小组组成：基金财产清算小组成员由基金管理人或临时基金管理人、基金托管人、</w:t>
      </w:r>
      <w:r>
        <w:rPr>
          <w:rFonts w:hint="eastAsia" w:ascii="宋体" w:hAnsi="宋体" w:cs="宋体"/>
          <w:sz w:val="24"/>
        </w:rPr>
        <w:t>符合《中华人民共和国证券法》规定</w:t>
      </w:r>
      <w:r>
        <w:rPr>
          <w:rFonts w:hint="eastAsia" w:ascii="宋体" w:hAnsi="宋体" w:cs="宋体"/>
          <w:bCs/>
          <w:sz w:val="24"/>
        </w:rPr>
        <w:t>的注册会计师、律师以及中国证监会指定的人员组成。基金财产清算小组可以聘用必要的工作人员。</w:t>
      </w:r>
    </w:p>
    <w:p>
      <w:pPr>
        <w:spacing w:line="360" w:lineRule="auto"/>
        <w:ind w:firstLine="480" w:firstLineChars="200"/>
        <w:rPr>
          <w:rFonts w:ascii="宋体" w:hAnsi="宋体" w:cs="宋体"/>
          <w:bCs/>
          <w:sz w:val="24"/>
        </w:rPr>
      </w:pPr>
      <w:r>
        <w:rPr>
          <w:rFonts w:hint="eastAsia" w:ascii="宋体" w:hAnsi="宋体" w:cs="宋体"/>
          <w:bCs/>
          <w:sz w:val="24"/>
        </w:rPr>
        <w:t>3、基金财产清算小组职责：基金财产清算小组负责基金财产的保管、清理、估价、变现和分配。基金财产清算小组可以依法进行必要的民事活动。</w:t>
      </w:r>
    </w:p>
    <w:p>
      <w:pPr>
        <w:spacing w:line="360" w:lineRule="auto"/>
        <w:ind w:firstLine="480" w:firstLineChars="200"/>
        <w:rPr>
          <w:rFonts w:ascii="宋体" w:hAnsi="宋体" w:cs="宋体"/>
          <w:bCs/>
          <w:sz w:val="24"/>
        </w:rPr>
      </w:pPr>
      <w:r>
        <w:rPr>
          <w:rFonts w:hint="eastAsia" w:ascii="宋体" w:hAnsi="宋体" w:cs="宋体"/>
          <w:bCs/>
          <w:sz w:val="24"/>
        </w:rPr>
        <w:t>4、基金财产清算程序：</w:t>
      </w:r>
    </w:p>
    <w:p>
      <w:pPr>
        <w:spacing w:line="360" w:lineRule="auto"/>
        <w:ind w:firstLine="480" w:firstLineChars="200"/>
        <w:rPr>
          <w:rFonts w:ascii="宋体" w:hAnsi="宋体" w:cs="宋体"/>
          <w:bCs/>
          <w:sz w:val="24"/>
        </w:rPr>
      </w:pPr>
      <w:r>
        <w:rPr>
          <w:rFonts w:hint="eastAsia" w:ascii="宋体" w:hAnsi="宋体" w:cs="宋体"/>
          <w:bCs/>
          <w:sz w:val="24"/>
        </w:rPr>
        <w:t>（1）《基金合同》终止情形出现时，由基金财产清算小组统一接管基金；</w:t>
      </w:r>
    </w:p>
    <w:p>
      <w:pPr>
        <w:spacing w:line="360" w:lineRule="auto"/>
        <w:ind w:firstLine="480" w:firstLineChars="200"/>
        <w:rPr>
          <w:rFonts w:ascii="宋体" w:hAnsi="宋体" w:cs="宋体"/>
          <w:bCs/>
          <w:sz w:val="24"/>
        </w:rPr>
      </w:pPr>
      <w:r>
        <w:rPr>
          <w:rFonts w:hint="eastAsia" w:ascii="宋体" w:hAnsi="宋体" w:cs="宋体"/>
          <w:bCs/>
          <w:sz w:val="24"/>
        </w:rPr>
        <w:t>（2）对基金财产和债权债务进行清理和确认；</w:t>
      </w:r>
    </w:p>
    <w:p>
      <w:pPr>
        <w:spacing w:line="360" w:lineRule="auto"/>
        <w:ind w:firstLine="480" w:firstLineChars="200"/>
        <w:rPr>
          <w:rFonts w:ascii="宋体" w:hAnsi="宋体" w:cs="宋体"/>
          <w:bCs/>
          <w:sz w:val="24"/>
        </w:rPr>
      </w:pPr>
      <w:r>
        <w:rPr>
          <w:rFonts w:hint="eastAsia" w:ascii="宋体" w:hAnsi="宋体" w:cs="宋体"/>
          <w:bCs/>
          <w:sz w:val="24"/>
        </w:rPr>
        <w:t>（3）对基金财产进行估值和变现；</w:t>
      </w:r>
    </w:p>
    <w:p>
      <w:pPr>
        <w:spacing w:line="360" w:lineRule="auto"/>
        <w:ind w:firstLine="480" w:firstLineChars="200"/>
        <w:rPr>
          <w:rFonts w:ascii="宋体" w:hAnsi="宋体" w:cs="宋体"/>
          <w:bCs/>
          <w:sz w:val="24"/>
        </w:rPr>
      </w:pPr>
      <w:r>
        <w:rPr>
          <w:rFonts w:hint="eastAsia" w:ascii="宋体" w:hAnsi="宋体" w:cs="宋体"/>
          <w:bCs/>
          <w:sz w:val="24"/>
        </w:rPr>
        <w:t>（4）制作清算报告；</w:t>
      </w:r>
    </w:p>
    <w:p>
      <w:pPr>
        <w:spacing w:line="360" w:lineRule="auto"/>
        <w:ind w:firstLine="480" w:firstLineChars="200"/>
        <w:rPr>
          <w:rFonts w:ascii="宋体" w:hAnsi="宋体" w:cs="宋体"/>
          <w:bCs/>
          <w:sz w:val="24"/>
        </w:rPr>
      </w:pPr>
      <w:r>
        <w:rPr>
          <w:rFonts w:hint="eastAsia" w:ascii="宋体" w:hAnsi="宋体" w:cs="宋体"/>
          <w:bCs/>
          <w:sz w:val="24"/>
        </w:rPr>
        <w:t>（5）聘请会计师事务所对清算报告进行外部审计，聘请律师事务所对清算报告出具法律意见书；</w:t>
      </w:r>
    </w:p>
    <w:p>
      <w:pPr>
        <w:spacing w:line="360" w:lineRule="auto"/>
        <w:ind w:firstLine="480" w:firstLineChars="200"/>
        <w:rPr>
          <w:rFonts w:ascii="宋体" w:hAnsi="宋体" w:cs="宋体"/>
          <w:bCs/>
          <w:sz w:val="24"/>
        </w:rPr>
      </w:pPr>
      <w:r>
        <w:rPr>
          <w:rFonts w:hint="eastAsia" w:ascii="宋体" w:hAnsi="宋体" w:cs="宋体"/>
          <w:bCs/>
          <w:sz w:val="24"/>
        </w:rPr>
        <w:t>（6）将清算报告报中国证监会备案并公告；</w:t>
      </w:r>
    </w:p>
    <w:p>
      <w:pPr>
        <w:spacing w:line="360" w:lineRule="auto"/>
        <w:ind w:firstLine="480" w:firstLineChars="200"/>
        <w:rPr>
          <w:rFonts w:ascii="宋体" w:hAnsi="宋体" w:cs="宋体"/>
          <w:bCs/>
          <w:sz w:val="24"/>
        </w:rPr>
      </w:pPr>
      <w:r>
        <w:rPr>
          <w:rFonts w:hint="eastAsia" w:ascii="宋体" w:hAnsi="宋体" w:cs="宋体"/>
          <w:bCs/>
          <w:sz w:val="24"/>
        </w:rPr>
        <w:t>（7）对基金剩余财产进行分配。</w:t>
      </w:r>
    </w:p>
    <w:p>
      <w:pPr>
        <w:spacing w:line="360" w:lineRule="auto"/>
        <w:ind w:firstLine="480" w:firstLineChars="200"/>
        <w:rPr>
          <w:rFonts w:ascii="宋体" w:hAnsi="宋体" w:cs="宋体"/>
          <w:bCs/>
          <w:sz w:val="24"/>
        </w:rPr>
      </w:pPr>
      <w:r>
        <w:rPr>
          <w:rFonts w:hint="eastAsia" w:ascii="宋体" w:hAnsi="宋体" w:cs="宋体"/>
          <w:bCs/>
          <w:sz w:val="24"/>
        </w:rPr>
        <w:t>5、基金财产清算的期限为6个月，但因本基金所持证券的流动性受到限制而不能及时变现的，清算期限相应顺延。</w:t>
      </w:r>
    </w:p>
    <w:p>
      <w:pPr>
        <w:spacing w:line="360" w:lineRule="auto"/>
        <w:ind w:firstLine="480" w:firstLineChars="200"/>
        <w:rPr>
          <w:rFonts w:ascii="宋体" w:hAnsi="宋体" w:cs="宋体"/>
          <w:bCs/>
          <w:sz w:val="24"/>
        </w:rPr>
      </w:pPr>
    </w:p>
    <w:p>
      <w:pPr>
        <w:spacing w:line="360" w:lineRule="auto"/>
        <w:ind w:firstLine="482" w:firstLineChars="200"/>
        <w:rPr>
          <w:rFonts w:ascii="宋体" w:hAnsi="宋体" w:cs="宋体"/>
          <w:b/>
          <w:sz w:val="24"/>
        </w:rPr>
      </w:pPr>
      <w:r>
        <w:rPr>
          <w:rFonts w:hint="eastAsia" w:ascii="宋体" w:hAnsi="宋体" w:cs="宋体"/>
          <w:b/>
          <w:sz w:val="24"/>
        </w:rPr>
        <w:t>四、清算费用</w:t>
      </w:r>
    </w:p>
    <w:p>
      <w:pPr>
        <w:spacing w:line="360" w:lineRule="auto"/>
        <w:ind w:firstLine="480" w:firstLineChars="200"/>
        <w:rPr>
          <w:rFonts w:ascii="宋体" w:hAnsi="宋体" w:cs="宋体"/>
          <w:bCs/>
          <w:sz w:val="24"/>
        </w:rPr>
      </w:pPr>
      <w:r>
        <w:rPr>
          <w:rFonts w:hint="eastAsia" w:ascii="宋体" w:hAnsi="宋体" w:cs="宋体"/>
          <w:bCs/>
          <w:sz w:val="24"/>
        </w:rPr>
        <w:t>清算费用是指基金财产清算小组在进行基金清算过程中发生的所有合理费用，清算费用由基金财产清算小组优先从基金财产中支付。</w:t>
      </w:r>
    </w:p>
    <w:p>
      <w:pPr>
        <w:spacing w:line="360" w:lineRule="auto"/>
        <w:ind w:firstLine="480" w:firstLineChars="200"/>
        <w:rPr>
          <w:rFonts w:ascii="宋体" w:hAnsi="宋体" w:cs="宋体"/>
          <w:bCs/>
          <w:sz w:val="24"/>
        </w:rPr>
      </w:pPr>
    </w:p>
    <w:p>
      <w:pPr>
        <w:spacing w:line="360" w:lineRule="auto"/>
        <w:ind w:firstLine="482" w:firstLineChars="200"/>
        <w:rPr>
          <w:rFonts w:ascii="宋体" w:hAnsi="宋体" w:cs="宋体"/>
          <w:b/>
          <w:sz w:val="24"/>
        </w:rPr>
      </w:pPr>
      <w:r>
        <w:rPr>
          <w:rFonts w:hint="eastAsia" w:ascii="宋体" w:hAnsi="宋体" w:cs="宋体"/>
          <w:b/>
          <w:sz w:val="24"/>
        </w:rPr>
        <w:t>五、基金财产清算剩余资产的分配</w:t>
      </w:r>
    </w:p>
    <w:p>
      <w:pPr>
        <w:spacing w:line="360" w:lineRule="auto"/>
        <w:ind w:firstLine="480" w:firstLineChars="200"/>
        <w:rPr>
          <w:rFonts w:ascii="宋体" w:hAnsi="宋体" w:cs="宋体"/>
          <w:bCs/>
          <w:sz w:val="24"/>
        </w:rPr>
      </w:pPr>
      <w:r>
        <w:rPr>
          <w:rFonts w:hint="eastAsia" w:ascii="宋体" w:hAnsi="宋体" w:cs="宋体"/>
          <w:bCs/>
          <w:sz w:val="24"/>
        </w:rPr>
        <w:t>依据基金财产清算的分配方案，将基金财产清算后的全部剩余资产扣除基金财产清算费用、交纳所欠税款并清偿基金债务后，按基金份额持有人持有的基金份额比例进行分配。</w:t>
      </w:r>
    </w:p>
    <w:p>
      <w:pPr>
        <w:spacing w:line="360" w:lineRule="auto"/>
        <w:ind w:firstLine="480" w:firstLineChars="200"/>
        <w:rPr>
          <w:rFonts w:ascii="宋体" w:hAnsi="宋体" w:cs="宋体"/>
          <w:bCs/>
          <w:sz w:val="24"/>
        </w:rPr>
      </w:pPr>
    </w:p>
    <w:p>
      <w:pPr>
        <w:spacing w:line="360" w:lineRule="auto"/>
        <w:ind w:firstLine="482" w:firstLineChars="200"/>
        <w:rPr>
          <w:rFonts w:ascii="宋体" w:hAnsi="宋体" w:cs="宋体"/>
          <w:b/>
          <w:sz w:val="24"/>
        </w:rPr>
      </w:pPr>
      <w:r>
        <w:rPr>
          <w:rFonts w:hint="eastAsia" w:ascii="宋体" w:hAnsi="宋体" w:cs="宋体"/>
          <w:b/>
          <w:sz w:val="24"/>
        </w:rPr>
        <w:t>六、基金财产清算的公告</w:t>
      </w:r>
    </w:p>
    <w:p>
      <w:pPr>
        <w:spacing w:line="360" w:lineRule="auto"/>
        <w:ind w:firstLine="480" w:firstLineChars="200"/>
        <w:rPr>
          <w:rFonts w:ascii="宋体" w:hAnsi="宋体" w:cs="宋体"/>
          <w:bCs/>
          <w:sz w:val="24"/>
        </w:rPr>
      </w:pPr>
      <w:r>
        <w:rPr>
          <w:rFonts w:hint="eastAsia" w:ascii="宋体" w:hAnsi="宋体" w:cs="宋体"/>
          <w:bCs/>
          <w:sz w:val="24"/>
        </w:rPr>
        <w:t>清算过程中的有关重大事项须及时公告；基金财产清算报告经</w:t>
      </w:r>
      <w:r>
        <w:rPr>
          <w:rFonts w:hint="eastAsia" w:ascii="宋体" w:hAnsi="宋体" w:cs="宋体"/>
          <w:sz w:val="24"/>
        </w:rPr>
        <w:t>符合《中华人民共和国证券法》规定</w:t>
      </w:r>
      <w:r>
        <w:rPr>
          <w:rFonts w:hint="eastAsia" w:ascii="宋体" w:hAnsi="宋体" w:cs="宋体"/>
          <w:bCs/>
          <w:sz w:val="24"/>
        </w:rPr>
        <w:t>的会计师事务所审计并由律师事务所出具法律意见书后报中国证监会备案并公告。基金财产清算公告于基金财产清算报告报中国证监会备案后5个工作日内由基金财产清算小组进行公告。基金财产清算小组应当将清算报告登载在规定网站上，并将清算报告提示性公告登载在规定报刊上。</w:t>
      </w:r>
    </w:p>
    <w:p>
      <w:pPr>
        <w:ind w:firstLine="480" w:firstLineChars="200"/>
        <w:rPr>
          <w:rFonts w:ascii="宋体" w:hAnsi="宋体" w:cs="宋体"/>
          <w:bCs/>
          <w:sz w:val="24"/>
        </w:rPr>
      </w:pPr>
    </w:p>
    <w:p>
      <w:pPr>
        <w:ind w:firstLine="482" w:firstLineChars="200"/>
        <w:rPr>
          <w:rFonts w:ascii="宋体" w:hAnsi="宋体" w:cs="宋体"/>
          <w:b/>
          <w:sz w:val="24"/>
        </w:rPr>
      </w:pPr>
      <w:r>
        <w:rPr>
          <w:rFonts w:hint="eastAsia" w:ascii="宋体" w:hAnsi="宋体" w:cs="宋体"/>
          <w:b/>
          <w:sz w:val="24"/>
        </w:rPr>
        <w:t>七、基金财产清算账册及文件的保存</w:t>
      </w:r>
    </w:p>
    <w:p>
      <w:pPr>
        <w:ind w:firstLine="480" w:firstLineChars="200"/>
        <w:rPr>
          <w:rFonts w:ascii="宋体" w:hAnsi="宋体" w:cs="宋体"/>
          <w:sz w:val="24"/>
        </w:rPr>
      </w:pPr>
      <w:r>
        <w:rPr>
          <w:rFonts w:hint="eastAsia" w:ascii="宋体" w:hAnsi="宋体" w:cs="宋体"/>
          <w:sz w:val="24"/>
        </w:rPr>
        <w:t>基金财产清算账册及有关文件由基金托管人保存，保存年限不低于法律法规规定的最低期限。</w:t>
      </w:r>
    </w:p>
    <w:p>
      <w:pPr>
        <w:pStyle w:val="2"/>
        <w:spacing w:before="0" w:after="0"/>
        <w:jc w:val="center"/>
        <w:rPr>
          <w:rFonts w:hAnsi="宋体" w:cs="宋体"/>
          <w:color w:val="auto"/>
          <w:sz w:val="30"/>
        </w:rPr>
      </w:pPr>
      <w:bookmarkStart w:id="534" w:name="_Toc123102467"/>
      <w:bookmarkStart w:id="535" w:name="_Toc98560365"/>
      <w:bookmarkStart w:id="536" w:name="_Toc123112248"/>
      <w:bookmarkStart w:id="537" w:name="_Toc79392641"/>
      <w:bookmarkStart w:id="538" w:name="_Toc123051466"/>
      <w:bookmarkStart w:id="539" w:name="_Toc48649720"/>
      <w:r>
        <w:rPr>
          <w:rFonts w:hint="eastAsia" w:hAnsi="宋体" w:cs="宋体"/>
          <w:b w:val="0"/>
          <w:bCs/>
          <w:color w:val="auto"/>
        </w:rPr>
        <w:br w:type="page"/>
      </w:r>
      <w:bookmarkEnd w:id="532"/>
      <w:bookmarkEnd w:id="533"/>
      <w:bookmarkStart w:id="540" w:name="_Toc7367"/>
      <w:bookmarkStart w:id="541" w:name="_Toc13398"/>
      <w:bookmarkStart w:id="542" w:name="_Toc141703901"/>
      <w:bookmarkStart w:id="543" w:name="_Toc4322"/>
      <w:bookmarkStart w:id="544" w:name="_Toc27058"/>
      <w:bookmarkStart w:id="545" w:name="_Toc12191"/>
      <w:bookmarkStart w:id="546" w:name="_Toc8710"/>
      <w:bookmarkStart w:id="547" w:name="_Toc28549"/>
      <w:bookmarkStart w:id="548" w:name="_Toc139991750"/>
      <w:bookmarkStart w:id="549" w:name="_Toc9708"/>
      <w:bookmarkStart w:id="550" w:name="_Toc23022"/>
      <w:bookmarkStart w:id="551" w:name="_Toc21240"/>
      <w:bookmarkStart w:id="552" w:name="_Toc30645"/>
      <w:bookmarkStart w:id="553" w:name="_Toc23166"/>
      <w:r>
        <w:rPr>
          <w:rFonts w:hint="eastAsia" w:hAnsi="宋体" w:cs="宋体"/>
          <w:color w:val="auto"/>
          <w:sz w:val="30"/>
        </w:rPr>
        <w:t>第二十部分  违约责任</w:t>
      </w:r>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p>
    <w:p>
      <w:pPr>
        <w:spacing w:line="360" w:lineRule="auto"/>
        <w:ind w:firstLine="480" w:firstLineChars="200"/>
        <w:rPr>
          <w:rFonts w:ascii="宋体" w:hAnsi="宋体" w:cs="宋体"/>
          <w:bCs/>
          <w:sz w:val="24"/>
        </w:rPr>
      </w:pPr>
    </w:p>
    <w:p>
      <w:pPr>
        <w:spacing w:line="360" w:lineRule="auto"/>
        <w:ind w:firstLine="480" w:firstLineChars="200"/>
        <w:rPr>
          <w:rFonts w:ascii="宋体" w:hAnsi="宋体" w:cs="宋体"/>
          <w:b/>
          <w:bCs/>
          <w:sz w:val="24"/>
        </w:rPr>
      </w:pPr>
      <w:r>
        <w:rPr>
          <w:rFonts w:hint="eastAsia" w:ascii="宋体" w:hAnsi="宋体" w:cs="宋体"/>
          <w:bCs/>
          <w:sz w:val="24"/>
        </w:rPr>
        <w:t>一、基金管理人、基金托管人在履行各自职责的过程中，违反《基金法》等法律法规的规定或者《基金合同》约定，给基金财产或者基金份额持有人造成损害的，应当分别对各自的行为依法承担赔偿责任；因共同行为给基金财产或者基金份额持有人造成损害的，应当承担连带赔偿责任，对损失的赔偿，仅限于直接损失。</w:t>
      </w:r>
      <w:r>
        <w:rPr>
          <w:rFonts w:hint="eastAsia" w:ascii="宋体" w:hAnsi="宋体" w:cs="宋体"/>
          <w:b/>
          <w:bCs/>
          <w:sz w:val="24"/>
        </w:rPr>
        <w:t>但是如发生下列情况，当事人免责：</w:t>
      </w:r>
    </w:p>
    <w:p>
      <w:pPr>
        <w:spacing w:line="360" w:lineRule="auto"/>
        <w:ind w:firstLine="482" w:firstLineChars="200"/>
        <w:rPr>
          <w:rFonts w:ascii="宋体" w:hAnsi="宋体" w:cs="宋体"/>
          <w:b/>
          <w:bCs/>
          <w:sz w:val="24"/>
        </w:rPr>
      </w:pPr>
      <w:r>
        <w:rPr>
          <w:rFonts w:hint="eastAsia" w:ascii="宋体" w:hAnsi="宋体" w:cs="宋体"/>
          <w:b/>
          <w:bCs/>
          <w:sz w:val="24"/>
        </w:rPr>
        <w:t>1、不可抗力；</w:t>
      </w:r>
    </w:p>
    <w:p>
      <w:pPr>
        <w:spacing w:line="360" w:lineRule="auto"/>
        <w:ind w:firstLine="482" w:firstLineChars="200"/>
        <w:rPr>
          <w:rFonts w:ascii="宋体" w:hAnsi="宋体" w:cs="宋体"/>
          <w:b/>
          <w:bCs/>
          <w:sz w:val="24"/>
        </w:rPr>
      </w:pPr>
      <w:r>
        <w:rPr>
          <w:rFonts w:hint="eastAsia" w:ascii="宋体" w:hAnsi="宋体" w:cs="宋体"/>
          <w:b/>
          <w:bCs/>
          <w:sz w:val="24"/>
        </w:rPr>
        <w:t>2、基金管理人和/或基金托管人按照届时有效的法律法规或中国证监会的规定作为或不作为而造成的损失等；</w:t>
      </w:r>
    </w:p>
    <w:p>
      <w:pPr>
        <w:spacing w:line="360" w:lineRule="auto"/>
        <w:ind w:firstLine="482" w:firstLineChars="200"/>
        <w:rPr>
          <w:rStyle w:val="26"/>
          <w:rFonts w:ascii="宋体" w:hAnsi="宋体" w:cs="宋体"/>
          <w:lang w:val="zh-CN"/>
        </w:rPr>
      </w:pPr>
      <w:r>
        <w:rPr>
          <w:rFonts w:hint="eastAsia" w:ascii="宋体" w:hAnsi="宋体" w:cs="宋体"/>
          <w:b/>
          <w:bCs/>
          <w:sz w:val="24"/>
        </w:rPr>
        <w:t>3、基金管理人由于按照基金合同规定的投资原则投资或不投资造成的损失等。</w:t>
      </w:r>
    </w:p>
    <w:p>
      <w:pPr>
        <w:spacing w:line="360" w:lineRule="auto"/>
        <w:ind w:firstLine="420" w:firstLineChars="200"/>
        <w:rPr>
          <w:rStyle w:val="26"/>
          <w:rFonts w:ascii="宋体" w:hAnsi="宋体" w:cs="宋体"/>
          <w:lang w:val="zh-CN"/>
        </w:rPr>
      </w:pPr>
    </w:p>
    <w:p>
      <w:pPr>
        <w:numPr>
          <w:ilvl w:val="255"/>
          <w:numId w:val="0"/>
        </w:numPr>
        <w:spacing w:line="360" w:lineRule="auto"/>
        <w:ind w:firstLine="480" w:firstLineChars="200"/>
        <w:rPr>
          <w:rFonts w:ascii="宋体" w:hAnsi="宋体" w:cs="宋体"/>
          <w:bCs/>
          <w:sz w:val="24"/>
        </w:rPr>
      </w:pPr>
      <w:r>
        <w:rPr>
          <w:rFonts w:hint="eastAsia" w:ascii="宋体" w:hAnsi="宋体" w:cs="宋体"/>
          <w:bCs/>
          <w:sz w:val="24"/>
        </w:rPr>
        <w:t xml:space="preserve">二、在发生一方或多方违约的情况下，在最大限度地保护基金份额持有人利益的前提下，《基金合同》能够继续履行的应当继续履行。非违约方当事人在职责范围内有义务及时采取必要的措施，防止损失的扩大。没有采取适当措施致使损失进一步扩大的，不得就扩大的损失要求赔偿。非违约方因防止损失扩大而支出的合理费用由违约方承担。 </w:t>
      </w:r>
    </w:p>
    <w:p>
      <w:pPr>
        <w:numPr>
          <w:ilvl w:val="255"/>
          <w:numId w:val="0"/>
        </w:numPr>
        <w:spacing w:line="360" w:lineRule="auto"/>
        <w:rPr>
          <w:rFonts w:ascii="宋体" w:hAnsi="宋体" w:cs="宋体"/>
          <w:bCs/>
          <w:sz w:val="24"/>
        </w:rPr>
      </w:pPr>
    </w:p>
    <w:p>
      <w:pPr>
        <w:spacing w:line="360" w:lineRule="auto"/>
        <w:ind w:firstLine="480" w:firstLineChars="200"/>
        <w:rPr>
          <w:rFonts w:ascii="宋体" w:hAnsi="宋体" w:cs="宋体"/>
          <w:bCs/>
          <w:sz w:val="24"/>
        </w:rPr>
      </w:pPr>
      <w:r>
        <w:rPr>
          <w:rFonts w:hint="eastAsia" w:ascii="宋体" w:hAnsi="宋体" w:cs="宋体"/>
          <w:bCs/>
          <w:sz w:val="24"/>
        </w:rPr>
        <w:t>三、</w:t>
      </w:r>
      <w:bookmarkStart w:id="554" w:name="OLE_LINK309"/>
      <w:bookmarkStart w:id="555" w:name="OLE_LINK310"/>
      <w:r>
        <w:rPr>
          <w:rFonts w:hint="eastAsia" w:ascii="宋体" w:hAnsi="宋体" w:cs="宋体"/>
          <w:bCs/>
          <w:sz w:val="24"/>
        </w:rPr>
        <w:t>由于基金管理人、基金托管人不可控制的因素导致业务出现差错，基金管理人和基金托管人虽然已经采取必要、适当、合理的措施进行检查，但是未能发现错误或未能避免错误发生或虽发现错误但因前述原因无法及时更正的，由此造成基金财产或投资人损失，基金管理人和基金托管人免除赔偿责任。但是基金管理人和基金托管人应积极采取必要的措施消除或减轻由此造成的影响。</w:t>
      </w:r>
    </w:p>
    <w:bookmarkEnd w:id="554"/>
    <w:bookmarkEnd w:id="555"/>
    <w:p>
      <w:pPr>
        <w:spacing w:line="360" w:lineRule="auto"/>
        <w:ind w:firstLine="480" w:firstLineChars="200"/>
        <w:rPr>
          <w:rFonts w:ascii="宋体" w:hAnsi="宋体" w:cs="宋体"/>
          <w:bCs/>
          <w:sz w:val="24"/>
        </w:rPr>
      </w:pPr>
    </w:p>
    <w:p>
      <w:pPr>
        <w:spacing w:line="360" w:lineRule="auto"/>
        <w:ind w:firstLine="480" w:firstLineChars="200"/>
        <w:rPr>
          <w:rFonts w:ascii="宋体" w:hAnsi="宋体" w:cs="宋体"/>
          <w:bCs/>
          <w:sz w:val="24"/>
        </w:rPr>
      </w:pPr>
    </w:p>
    <w:p>
      <w:pPr>
        <w:spacing w:line="360" w:lineRule="auto"/>
        <w:ind w:firstLine="480" w:firstLineChars="200"/>
        <w:rPr>
          <w:rFonts w:ascii="宋体" w:hAnsi="宋体" w:cs="宋体"/>
          <w:bCs/>
          <w:sz w:val="24"/>
        </w:rPr>
      </w:pPr>
    </w:p>
    <w:p>
      <w:pPr>
        <w:spacing w:line="360" w:lineRule="auto"/>
        <w:ind w:firstLine="480" w:firstLineChars="200"/>
        <w:rPr>
          <w:rFonts w:ascii="宋体" w:hAnsi="宋体" w:cs="宋体"/>
          <w:bCs/>
          <w:sz w:val="24"/>
        </w:rPr>
      </w:pPr>
    </w:p>
    <w:p>
      <w:pPr>
        <w:pStyle w:val="2"/>
        <w:spacing w:before="0" w:after="0"/>
        <w:jc w:val="center"/>
        <w:rPr>
          <w:rFonts w:hAnsi="宋体" w:cs="宋体"/>
          <w:color w:val="auto"/>
          <w:sz w:val="30"/>
        </w:rPr>
      </w:pPr>
      <w:r>
        <w:rPr>
          <w:rFonts w:hint="eastAsia" w:hAnsi="宋体" w:cs="宋体"/>
          <w:b w:val="0"/>
          <w:bCs/>
          <w:color w:val="auto"/>
        </w:rPr>
        <w:br w:type="page"/>
      </w:r>
      <w:bookmarkStart w:id="556" w:name="_Toc30350"/>
      <w:bookmarkStart w:id="557" w:name="_Toc6202"/>
      <w:bookmarkStart w:id="558" w:name="_Toc8636"/>
      <w:bookmarkStart w:id="559" w:name="_Toc25651"/>
      <w:bookmarkStart w:id="560" w:name="_Toc21996"/>
      <w:bookmarkStart w:id="561" w:name="_Toc6110"/>
      <w:bookmarkStart w:id="562" w:name="_Toc139991751"/>
      <w:bookmarkStart w:id="563" w:name="_Toc123051467"/>
      <w:bookmarkStart w:id="564" w:name="_Toc141703902"/>
      <w:bookmarkStart w:id="565" w:name="_Toc24923"/>
      <w:bookmarkStart w:id="566" w:name="_Toc98560366"/>
      <w:bookmarkStart w:id="567" w:name="_Toc23999"/>
      <w:bookmarkStart w:id="568" w:name="_Toc21983"/>
      <w:bookmarkStart w:id="569" w:name="_Toc7288"/>
      <w:bookmarkStart w:id="570" w:name="_Toc1790"/>
      <w:bookmarkStart w:id="571" w:name="_Toc3319"/>
      <w:bookmarkStart w:id="572" w:name="_Toc123102468"/>
      <w:bookmarkStart w:id="573" w:name="_Toc123112249"/>
      <w:r>
        <w:rPr>
          <w:rFonts w:hint="eastAsia" w:hAnsi="宋体" w:cs="宋体"/>
          <w:color w:val="auto"/>
          <w:sz w:val="30"/>
        </w:rPr>
        <w:t>第二十一部分  争议的处理和适用的法律</w:t>
      </w:r>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p>
    <w:p>
      <w:pPr>
        <w:spacing w:line="360" w:lineRule="auto"/>
        <w:ind w:firstLine="480" w:firstLineChars="200"/>
        <w:rPr>
          <w:rFonts w:ascii="宋体" w:hAnsi="宋体" w:cs="宋体"/>
          <w:bCs/>
          <w:sz w:val="24"/>
        </w:rPr>
      </w:pPr>
    </w:p>
    <w:p>
      <w:pPr>
        <w:adjustRightInd w:val="0"/>
        <w:snapToGrid w:val="0"/>
        <w:spacing w:line="360" w:lineRule="auto"/>
        <w:ind w:firstLine="480" w:firstLineChars="200"/>
        <w:rPr>
          <w:rFonts w:ascii="宋体" w:hAnsi="宋体" w:cs="宋体"/>
          <w:bCs/>
          <w:sz w:val="24"/>
        </w:rPr>
      </w:pPr>
      <w:bookmarkStart w:id="574" w:name="OLE_LINK312"/>
      <w:bookmarkStart w:id="575" w:name="OLE_LINK311"/>
      <w:r>
        <w:rPr>
          <w:rFonts w:hint="eastAsia" w:ascii="宋体" w:hAnsi="宋体" w:cs="宋体"/>
          <w:bCs/>
          <w:sz w:val="24"/>
        </w:rPr>
        <w:t>各方当事人同意，因《基金合同》而产生的或与《基金合同》有关的一切争议，如经友好协商未能解决的，任何一方应当将争议提交深圳国际仲裁院，按照深圳国际仲裁院届时有效的仲裁规则进行仲裁。仲裁地点为深圳市。仲裁裁决是终局的，对当事人均有约束力。除非仲裁裁决另有决定，仲裁费用由败诉方承担。</w:t>
      </w:r>
    </w:p>
    <w:p>
      <w:pPr>
        <w:adjustRightInd w:val="0"/>
        <w:snapToGrid w:val="0"/>
        <w:spacing w:line="360" w:lineRule="auto"/>
        <w:ind w:firstLine="480" w:firstLineChars="200"/>
        <w:rPr>
          <w:rFonts w:ascii="宋体" w:hAnsi="宋体" w:cs="宋体"/>
          <w:bCs/>
          <w:sz w:val="24"/>
        </w:rPr>
      </w:pPr>
      <w:r>
        <w:rPr>
          <w:rFonts w:hint="eastAsia" w:ascii="宋体" w:hAnsi="宋体" w:cs="宋体"/>
          <w:bCs/>
          <w:sz w:val="24"/>
        </w:rPr>
        <w:t>争议处理期间，基金合同当事人应恪守各自的职责，继续忠实、勤勉、尽责地履行基金合同规定的义务，维护基金份额持有人的合法权益。</w:t>
      </w:r>
    </w:p>
    <w:p>
      <w:pPr>
        <w:spacing w:line="360" w:lineRule="auto"/>
        <w:ind w:firstLine="480" w:firstLineChars="200"/>
        <w:rPr>
          <w:rFonts w:ascii="宋体" w:hAnsi="宋体" w:cs="宋体"/>
          <w:bCs/>
          <w:sz w:val="24"/>
        </w:rPr>
      </w:pPr>
      <w:r>
        <w:rPr>
          <w:rFonts w:hint="eastAsia" w:ascii="宋体" w:hAnsi="宋体" w:cs="宋体"/>
          <w:bCs/>
          <w:sz w:val="24"/>
        </w:rPr>
        <w:t>《基金合同》受中国法律（不含港澳台地区法律）管辖。</w:t>
      </w:r>
    </w:p>
    <w:bookmarkEnd w:id="574"/>
    <w:bookmarkEnd w:id="575"/>
    <w:p>
      <w:pPr>
        <w:spacing w:line="360" w:lineRule="auto"/>
        <w:ind w:firstLine="480" w:firstLineChars="200"/>
        <w:rPr>
          <w:rFonts w:ascii="宋体" w:hAnsi="宋体" w:cs="宋体"/>
          <w:bCs/>
          <w:sz w:val="24"/>
        </w:rPr>
      </w:pPr>
    </w:p>
    <w:p>
      <w:pPr>
        <w:jc w:val="center"/>
        <w:rPr>
          <w:rFonts w:ascii="宋体" w:hAnsi="宋体" w:cs="宋体"/>
          <w:sz w:val="30"/>
        </w:rPr>
      </w:pPr>
      <w:bookmarkStart w:id="576" w:name="_Toc2532"/>
      <w:bookmarkStart w:id="577" w:name="_Toc123102469"/>
      <w:bookmarkStart w:id="578" w:name="_Toc123051468"/>
      <w:bookmarkStart w:id="579" w:name="_Toc23991"/>
      <w:bookmarkStart w:id="580" w:name="_Toc139991752"/>
      <w:bookmarkStart w:id="581" w:name="_Toc8454"/>
      <w:bookmarkStart w:id="582" w:name="_Toc123112250"/>
      <w:bookmarkStart w:id="583" w:name="_Toc8703"/>
      <w:bookmarkStart w:id="584" w:name="_Toc28690"/>
      <w:bookmarkStart w:id="585" w:name="_Toc11618"/>
      <w:bookmarkStart w:id="586" w:name="_Toc484"/>
      <w:bookmarkStart w:id="587" w:name="_Toc29505"/>
      <w:bookmarkStart w:id="588" w:name="_Toc20350"/>
      <w:bookmarkStart w:id="589" w:name="_Toc31966"/>
      <w:bookmarkStart w:id="590" w:name="_Toc26461"/>
      <w:bookmarkStart w:id="591" w:name="_Toc141703903"/>
      <w:r>
        <w:rPr>
          <w:rFonts w:hint="eastAsia" w:ascii="宋体" w:hAnsi="宋体" w:cs="宋体"/>
          <w:sz w:val="30"/>
        </w:rPr>
        <w:br w:type="page"/>
      </w:r>
    </w:p>
    <w:p>
      <w:pPr>
        <w:pStyle w:val="2"/>
        <w:spacing w:before="0" w:after="0"/>
        <w:jc w:val="center"/>
        <w:rPr>
          <w:rFonts w:hAnsi="宋体" w:cs="宋体"/>
          <w:color w:val="auto"/>
          <w:sz w:val="30"/>
        </w:rPr>
      </w:pPr>
      <w:bookmarkStart w:id="592" w:name="_Toc3856"/>
      <w:r>
        <w:rPr>
          <w:rFonts w:hint="eastAsia" w:hAnsi="宋体" w:cs="宋体"/>
          <w:color w:val="auto"/>
          <w:sz w:val="30"/>
        </w:rPr>
        <w:t>第二十二部分  基金合同的效力</w:t>
      </w:r>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p>
    <w:p>
      <w:pPr>
        <w:spacing w:line="360" w:lineRule="auto"/>
        <w:ind w:firstLine="480" w:firstLineChars="200"/>
        <w:rPr>
          <w:rFonts w:ascii="宋体" w:hAnsi="宋体" w:cs="宋体"/>
          <w:bCs/>
          <w:sz w:val="24"/>
        </w:rPr>
      </w:pPr>
    </w:p>
    <w:p>
      <w:pPr>
        <w:spacing w:line="360" w:lineRule="auto"/>
        <w:ind w:firstLine="480" w:firstLineChars="200"/>
        <w:rPr>
          <w:rFonts w:ascii="宋体" w:hAnsi="宋体" w:cs="宋体"/>
          <w:bCs/>
          <w:sz w:val="24"/>
        </w:rPr>
      </w:pPr>
      <w:r>
        <w:rPr>
          <w:rFonts w:hint="eastAsia" w:ascii="宋体" w:hAnsi="宋体" w:cs="宋体"/>
          <w:bCs/>
          <w:sz w:val="24"/>
        </w:rPr>
        <w:t>《基金合同》是约定基金合同当事人之间权利义务关系的法律文件。</w:t>
      </w:r>
    </w:p>
    <w:p>
      <w:pPr>
        <w:spacing w:line="360" w:lineRule="auto"/>
        <w:ind w:firstLine="480" w:firstLineChars="200"/>
        <w:rPr>
          <w:rFonts w:ascii="宋体" w:hAnsi="宋体" w:cs="宋体"/>
          <w:bCs/>
          <w:sz w:val="24"/>
        </w:rPr>
      </w:pPr>
      <w:r>
        <w:rPr>
          <w:rFonts w:hint="eastAsia" w:ascii="宋体" w:hAnsi="宋体" w:cs="宋体"/>
          <w:bCs/>
          <w:sz w:val="24"/>
        </w:rPr>
        <w:t>1、《基金合同》经基金管理人、基金托管人双方盖章以及双方法定代表人或授权代表签字或盖章并在募集结束后经基金管理人向中国证监会办理基金备案手续，并经中国证监会书面确认后生效。</w:t>
      </w:r>
    </w:p>
    <w:p>
      <w:pPr>
        <w:spacing w:line="360" w:lineRule="auto"/>
        <w:ind w:firstLine="480" w:firstLineChars="200"/>
        <w:rPr>
          <w:rFonts w:ascii="宋体" w:hAnsi="宋体" w:cs="宋体"/>
          <w:bCs/>
          <w:sz w:val="24"/>
        </w:rPr>
      </w:pPr>
      <w:r>
        <w:rPr>
          <w:rFonts w:hint="eastAsia" w:ascii="宋体" w:hAnsi="宋体" w:cs="宋体"/>
          <w:bCs/>
          <w:sz w:val="24"/>
        </w:rPr>
        <w:t>2、《基金合同》的有效期自其生效之日起至基金财产清算结果报中国证监会备案并公告之日止。</w:t>
      </w:r>
    </w:p>
    <w:p>
      <w:pPr>
        <w:spacing w:line="360" w:lineRule="auto"/>
        <w:ind w:firstLine="480" w:firstLineChars="200"/>
        <w:rPr>
          <w:rFonts w:ascii="宋体" w:hAnsi="宋体" w:cs="宋体"/>
          <w:bCs/>
          <w:sz w:val="24"/>
        </w:rPr>
      </w:pPr>
      <w:r>
        <w:rPr>
          <w:rFonts w:hint="eastAsia" w:ascii="宋体" w:hAnsi="宋体" w:cs="宋体"/>
          <w:bCs/>
          <w:sz w:val="24"/>
        </w:rPr>
        <w:t>3、《基金合同》自生效之日起对包括基金管理人、基金托管人和基金份额持有人在内的《基金合同》各方当事人具有同等的法律约束力。</w:t>
      </w:r>
    </w:p>
    <w:p>
      <w:pPr>
        <w:spacing w:line="360" w:lineRule="auto"/>
        <w:ind w:firstLine="480" w:firstLineChars="200"/>
        <w:rPr>
          <w:rFonts w:ascii="宋体" w:hAnsi="宋体" w:cs="宋体"/>
          <w:bCs/>
          <w:sz w:val="24"/>
        </w:rPr>
      </w:pPr>
      <w:r>
        <w:rPr>
          <w:rFonts w:hint="eastAsia" w:ascii="宋体" w:hAnsi="宋体" w:cs="宋体"/>
          <w:bCs/>
          <w:sz w:val="24"/>
        </w:rPr>
        <w:t>4、《基金合同》正本一式三份，除上报有关监管机构一份外，基金管理人、基金托管人各持有一份，每份具有同等的法律效力。</w:t>
      </w:r>
    </w:p>
    <w:p>
      <w:pPr>
        <w:spacing w:line="360" w:lineRule="auto"/>
        <w:ind w:firstLine="480" w:firstLineChars="200"/>
        <w:rPr>
          <w:rFonts w:ascii="宋体" w:hAnsi="宋体" w:cs="宋体"/>
          <w:bCs/>
          <w:sz w:val="24"/>
        </w:rPr>
      </w:pPr>
      <w:r>
        <w:rPr>
          <w:rFonts w:hint="eastAsia" w:ascii="宋体" w:hAnsi="宋体" w:cs="宋体"/>
          <w:bCs/>
          <w:sz w:val="24"/>
        </w:rPr>
        <w:t>5、《基金合同》可印制成册，供投资者在基金管理人、基金托管人、销售机构的办公场所和营业场所查阅。</w:t>
      </w:r>
    </w:p>
    <w:p>
      <w:pPr>
        <w:pStyle w:val="2"/>
        <w:spacing w:before="0" w:after="0"/>
        <w:jc w:val="center"/>
        <w:rPr>
          <w:rFonts w:hAnsi="宋体" w:cs="宋体"/>
          <w:color w:val="auto"/>
          <w:sz w:val="30"/>
        </w:rPr>
      </w:pPr>
      <w:r>
        <w:rPr>
          <w:rFonts w:hint="eastAsia" w:hAnsi="宋体" w:cs="宋体"/>
          <w:b w:val="0"/>
          <w:bCs/>
          <w:color w:val="auto"/>
        </w:rPr>
        <w:br w:type="page"/>
      </w:r>
      <w:bookmarkStart w:id="593" w:name="_Toc9704"/>
      <w:bookmarkStart w:id="594" w:name="_Toc21726"/>
      <w:bookmarkStart w:id="595" w:name="_Toc1807"/>
      <w:r>
        <w:rPr>
          <w:rFonts w:hint="eastAsia" w:hAnsi="宋体" w:cs="宋体"/>
          <w:color w:val="auto"/>
          <w:sz w:val="30"/>
        </w:rPr>
        <w:t>第二十三部分  其他事项</w:t>
      </w:r>
      <w:bookmarkEnd w:id="593"/>
      <w:bookmarkEnd w:id="594"/>
      <w:bookmarkEnd w:id="595"/>
    </w:p>
    <w:p>
      <w:pPr>
        <w:spacing w:line="360" w:lineRule="auto"/>
        <w:ind w:firstLine="480" w:firstLineChars="200"/>
        <w:rPr>
          <w:rFonts w:ascii="宋体" w:hAnsi="宋体" w:cs="宋体"/>
          <w:sz w:val="24"/>
        </w:rPr>
      </w:pPr>
    </w:p>
    <w:p>
      <w:pPr>
        <w:spacing w:line="360" w:lineRule="auto"/>
        <w:ind w:firstLine="480" w:firstLineChars="200"/>
        <w:rPr>
          <w:rFonts w:ascii="宋体" w:hAnsi="宋体" w:cs="宋体"/>
          <w:sz w:val="24"/>
        </w:rPr>
      </w:pPr>
      <w:r>
        <w:rPr>
          <w:rFonts w:hint="eastAsia" w:ascii="宋体" w:hAnsi="宋体" w:cs="宋体"/>
          <w:sz w:val="24"/>
        </w:rPr>
        <w:t>《基金合同》如有未尽事宜，由《基金合同》当事人各方按有关法律法规协商解决。</w:t>
      </w:r>
    </w:p>
    <w:p>
      <w:pPr>
        <w:spacing w:line="360" w:lineRule="auto"/>
        <w:ind w:firstLine="480" w:firstLineChars="200"/>
        <w:rPr>
          <w:rFonts w:ascii="宋体" w:hAnsi="宋体" w:cs="宋体"/>
          <w:sz w:val="24"/>
        </w:rPr>
      </w:pPr>
    </w:p>
    <w:p>
      <w:pPr>
        <w:jc w:val="center"/>
        <w:rPr>
          <w:rFonts w:ascii="宋体" w:hAnsi="宋体" w:cs="宋体"/>
          <w:sz w:val="30"/>
        </w:rPr>
      </w:pPr>
      <w:bookmarkStart w:id="596" w:name="_Toc20098"/>
      <w:bookmarkStart w:id="597" w:name="_Toc7437"/>
      <w:bookmarkStart w:id="598" w:name="_Toc32355"/>
      <w:bookmarkStart w:id="599" w:name="_Toc15045"/>
      <w:bookmarkStart w:id="600" w:name="_Toc1360"/>
      <w:bookmarkStart w:id="601" w:name="_Toc5108"/>
      <w:bookmarkStart w:id="602" w:name="_Toc15664"/>
      <w:bookmarkStart w:id="603" w:name="_Toc9054"/>
      <w:bookmarkStart w:id="604" w:name="_Toc21122"/>
      <w:bookmarkStart w:id="605" w:name="_Toc17263"/>
      <w:bookmarkStart w:id="606" w:name="_Toc141703905"/>
      <w:bookmarkStart w:id="607" w:name="_Toc12499"/>
      <w:r>
        <w:rPr>
          <w:rFonts w:hint="eastAsia" w:ascii="宋体" w:hAnsi="宋体" w:cs="宋体"/>
          <w:sz w:val="30"/>
        </w:rPr>
        <w:br w:type="page"/>
      </w:r>
    </w:p>
    <w:p>
      <w:pPr>
        <w:pStyle w:val="2"/>
        <w:spacing w:before="0" w:after="0"/>
        <w:jc w:val="center"/>
        <w:rPr>
          <w:rFonts w:hAnsi="宋体" w:cs="宋体"/>
          <w:color w:val="auto"/>
          <w:sz w:val="30"/>
        </w:rPr>
      </w:pPr>
      <w:bookmarkStart w:id="608" w:name="_Toc16445"/>
      <w:r>
        <w:rPr>
          <w:rFonts w:hint="eastAsia" w:hAnsi="宋体" w:cs="宋体"/>
          <w:color w:val="auto"/>
          <w:sz w:val="30"/>
        </w:rPr>
        <w:t>第二十四部分  基金合同内容摘要</w:t>
      </w:r>
      <w:bookmarkEnd w:id="93"/>
      <w:bookmarkEnd w:id="94"/>
      <w:bookmarkEnd w:id="596"/>
      <w:bookmarkEnd w:id="597"/>
      <w:bookmarkEnd w:id="598"/>
      <w:bookmarkEnd w:id="599"/>
      <w:bookmarkEnd w:id="600"/>
      <w:bookmarkEnd w:id="601"/>
      <w:bookmarkEnd w:id="602"/>
      <w:bookmarkEnd w:id="603"/>
      <w:bookmarkEnd w:id="604"/>
      <w:bookmarkEnd w:id="605"/>
      <w:bookmarkEnd w:id="606"/>
      <w:bookmarkEnd w:id="607"/>
      <w:bookmarkEnd w:id="608"/>
    </w:p>
    <w:p>
      <w:pPr>
        <w:autoSpaceDE w:val="0"/>
        <w:autoSpaceDN w:val="0"/>
        <w:adjustRightInd w:val="0"/>
        <w:spacing w:line="360" w:lineRule="auto"/>
        <w:rPr>
          <w:rFonts w:ascii="宋体" w:hAnsi="宋体" w:cs="宋体"/>
          <w:bCs/>
        </w:rPr>
      </w:pPr>
    </w:p>
    <w:p>
      <w:pPr>
        <w:spacing w:line="360" w:lineRule="auto"/>
        <w:rPr>
          <w:rFonts w:ascii="宋体" w:hAnsi="宋体" w:cs="宋体"/>
          <w:b/>
          <w:sz w:val="24"/>
          <w:szCs w:val="24"/>
        </w:rPr>
      </w:pPr>
      <w:r>
        <w:rPr>
          <w:rFonts w:hint="eastAsia" w:ascii="宋体" w:hAnsi="宋体" w:cs="宋体"/>
          <w:b/>
          <w:sz w:val="28"/>
          <w:szCs w:val="24"/>
        </w:rPr>
        <w:t>一、基金份额持有人、基金管理人和基金托管人的权利、义务</w:t>
      </w:r>
    </w:p>
    <w:p>
      <w:pPr>
        <w:spacing w:line="360" w:lineRule="auto"/>
        <w:ind w:firstLine="480" w:firstLineChars="200"/>
        <w:rPr>
          <w:rFonts w:ascii="宋体" w:hAnsi="宋体" w:cs="宋体"/>
          <w:bCs/>
          <w:sz w:val="24"/>
        </w:rPr>
      </w:pPr>
      <w:r>
        <w:rPr>
          <w:rFonts w:hint="eastAsia" w:ascii="宋体" w:hAnsi="宋体" w:cs="宋体"/>
          <w:bCs/>
          <w:sz w:val="24"/>
          <w:szCs w:val="24"/>
        </w:rPr>
        <w:t>（一）</w:t>
      </w:r>
      <w:r>
        <w:rPr>
          <w:rFonts w:hint="eastAsia" w:ascii="宋体" w:hAnsi="宋体" w:cs="宋体"/>
          <w:bCs/>
          <w:sz w:val="24"/>
          <w:szCs w:val="24"/>
        </w:rPr>
        <w:tab/>
      </w:r>
      <w:r>
        <w:rPr>
          <w:rFonts w:hint="eastAsia" w:ascii="宋体" w:hAnsi="宋体" w:cs="宋体"/>
          <w:bCs/>
          <w:sz w:val="24"/>
          <w:szCs w:val="24"/>
        </w:rPr>
        <w:t>基金份额持有人的权利与义务</w:t>
      </w:r>
    </w:p>
    <w:p>
      <w:pPr>
        <w:spacing w:line="360" w:lineRule="auto"/>
        <w:ind w:firstLine="480" w:firstLineChars="200"/>
        <w:rPr>
          <w:rFonts w:ascii="宋体" w:hAnsi="宋体" w:cs="宋体"/>
          <w:bCs/>
          <w:sz w:val="24"/>
        </w:rPr>
      </w:pPr>
      <w:r>
        <w:rPr>
          <w:rFonts w:hint="eastAsia" w:ascii="宋体" w:hAnsi="宋体" w:cs="宋体"/>
          <w:bCs/>
          <w:sz w:val="24"/>
        </w:rPr>
        <w:t>基金投资者持有本基金基金份额的行为即视为对《基金合同》的承认和接受，基金投资者自依据《基金合同》取得的基金份额，即成为本基金份额持有人和《基金合同》的当事人，直至其不再持有本基金的基金份额。基金份额持有人作为《基金合同》当事人并不以在《基金合同》上书面签章或签字为必要条件。</w:t>
      </w:r>
    </w:p>
    <w:p>
      <w:pPr>
        <w:spacing w:line="360" w:lineRule="auto"/>
        <w:ind w:firstLine="480" w:firstLineChars="200"/>
        <w:rPr>
          <w:rFonts w:ascii="宋体" w:hAnsi="宋体" w:cs="宋体"/>
          <w:bCs/>
          <w:sz w:val="24"/>
        </w:rPr>
      </w:pPr>
      <w:r>
        <w:rPr>
          <w:rFonts w:hint="eastAsia" w:ascii="宋体" w:hAnsi="宋体" w:cs="宋体"/>
          <w:bCs/>
          <w:sz w:val="24"/>
        </w:rPr>
        <w:t>除法律法规另有规定或基金合同另有约定外，同一类别每份基金份额具有同等的合法权益。</w:t>
      </w:r>
    </w:p>
    <w:p>
      <w:pPr>
        <w:spacing w:line="360" w:lineRule="auto"/>
        <w:ind w:firstLine="480" w:firstLineChars="200"/>
        <w:rPr>
          <w:rFonts w:ascii="宋体" w:hAnsi="宋体" w:cs="宋体"/>
          <w:bCs/>
          <w:sz w:val="24"/>
        </w:rPr>
      </w:pPr>
      <w:r>
        <w:rPr>
          <w:rFonts w:hint="eastAsia" w:ascii="宋体" w:hAnsi="宋体" w:cs="宋体"/>
          <w:bCs/>
          <w:sz w:val="24"/>
        </w:rPr>
        <w:t>1、根据《基金法》、《运作办法》及其他有关规定，基金份额持有人的权利包括但不限于：</w:t>
      </w:r>
    </w:p>
    <w:p>
      <w:pPr>
        <w:spacing w:line="360" w:lineRule="auto"/>
        <w:ind w:firstLine="480" w:firstLineChars="200"/>
        <w:rPr>
          <w:rFonts w:ascii="宋体" w:hAnsi="宋体" w:cs="宋体"/>
          <w:bCs/>
          <w:sz w:val="24"/>
        </w:rPr>
      </w:pPr>
      <w:r>
        <w:rPr>
          <w:rFonts w:hint="eastAsia" w:ascii="宋体" w:hAnsi="宋体" w:cs="宋体"/>
          <w:bCs/>
          <w:sz w:val="24"/>
        </w:rPr>
        <w:t>（1）分享基金财产收益；</w:t>
      </w:r>
    </w:p>
    <w:p>
      <w:pPr>
        <w:spacing w:line="360" w:lineRule="auto"/>
        <w:ind w:firstLine="480" w:firstLineChars="200"/>
        <w:rPr>
          <w:rFonts w:ascii="宋体" w:hAnsi="宋体" w:cs="宋体"/>
          <w:bCs/>
          <w:sz w:val="24"/>
        </w:rPr>
      </w:pPr>
      <w:r>
        <w:rPr>
          <w:rFonts w:hint="eastAsia" w:ascii="宋体" w:hAnsi="宋体" w:cs="宋体"/>
          <w:bCs/>
          <w:sz w:val="24"/>
        </w:rPr>
        <w:t>（2）参与分配清算后的剩余基金财产；</w:t>
      </w:r>
    </w:p>
    <w:p>
      <w:pPr>
        <w:spacing w:line="360" w:lineRule="auto"/>
        <w:ind w:firstLine="480" w:firstLineChars="200"/>
        <w:rPr>
          <w:rFonts w:ascii="宋体" w:hAnsi="宋体" w:cs="宋体"/>
          <w:bCs/>
          <w:sz w:val="24"/>
        </w:rPr>
      </w:pPr>
      <w:r>
        <w:rPr>
          <w:rFonts w:hint="eastAsia" w:ascii="宋体" w:hAnsi="宋体" w:cs="宋体"/>
          <w:bCs/>
          <w:sz w:val="24"/>
        </w:rPr>
        <w:t>（3）依法申请转让其持有的基金份额；</w:t>
      </w:r>
    </w:p>
    <w:p>
      <w:pPr>
        <w:spacing w:line="360" w:lineRule="auto"/>
        <w:ind w:firstLine="480" w:firstLineChars="200"/>
        <w:rPr>
          <w:rFonts w:ascii="宋体" w:hAnsi="宋体" w:cs="宋体"/>
          <w:bCs/>
          <w:sz w:val="24"/>
        </w:rPr>
      </w:pPr>
      <w:r>
        <w:rPr>
          <w:rFonts w:hint="eastAsia" w:ascii="宋体" w:hAnsi="宋体" w:cs="宋体"/>
          <w:bCs/>
          <w:sz w:val="24"/>
        </w:rPr>
        <w:t>（4）按照规定要求召开基金份额持有人大会或者召集基金份额持有人大会；</w:t>
      </w:r>
    </w:p>
    <w:p>
      <w:pPr>
        <w:spacing w:line="360" w:lineRule="auto"/>
        <w:ind w:firstLine="480" w:firstLineChars="200"/>
        <w:rPr>
          <w:rFonts w:ascii="宋体" w:hAnsi="宋体" w:cs="宋体"/>
          <w:bCs/>
          <w:sz w:val="24"/>
        </w:rPr>
      </w:pPr>
      <w:r>
        <w:rPr>
          <w:rFonts w:hint="eastAsia" w:ascii="宋体" w:hAnsi="宋体" w:cs="宋体"/>
          <w:bCs/>
          <w:sz w:val="24"/>
        </w:rPr>
        <w:t>（5）出席或者委派代表出席基金份额持有人大会，对基金份额持有人大会审议事项行使表决权；</w:t>
      </w:r>
    </w:p>
    <w:p>
      <w:pPr>
        <w:spacing w:line="360" w:lineRule="auto"/>
        <w:ind w:firstLine="480" w:firstLineChars="200"/>
        <w:rPr>
          <w:rFonts w:ascii="宋体" w:hAnsi="宋体" w:cs="宋体"/>
          <w:bCs/>
          <w:sz w:val="24"/>
        </w:rPr>
      </w:pPr>
      <w:r>
        <w:rPr>
          <w:rFonts w:hint="eastAsia" w:ascii="宋体" w:hAnsi="宋体" w:cs="宋体"/>
          <w:bCs/>
          <w:sz w:val="24"/>
        </w:rPr>
        <w:t>（6）查阅或者复制公开披露的基金信息资料；</w:t>
      </w:r>
    </w:p>
    <w:p>
      <w:pPr>
        <w:spacing w:line="360" w:lineRule="auto"/>
        <w:ind w:firstLine="480" w:firstLineChars="200"/>
        <w:rPr>
          <w:rFonts w:ascii="宋体" w:hAnsi="宋体" w:cs="宋体"/>
          <w:bCs/>
          <w:sz w:val="24"/>
        </w:rPr>
      </w:pPr>
      <w:r>
        <w:rPr>
          <w:rFonts w:hint="eastAsia" w:ascii="宋体" w:hAnsi="宋体" w:cs="宋体"/>
          <w:bCs/>
          <w:sz w:val="24"/>
        </w:rPr>
        <w:t>（7）监督基金管理人的投资运作；</w:t>
      </w:r>
    </w:p>
    <w:p>
      <w:pPr>
        <w:spacing w:line="360" w:lineRule="auto"/>
        <w:ind w:firstLine="480" w:firstLineChars="200"/>
        <w:rPr>
          <w:rFonts w:ascii="宋体" w:hAnsi="宋体" w:cs="宋体"/>
          <w:bCs/>
          <w:sz w:val="24"/>
        </w:rPr>
      </w:pPr>
      <w:r>
        <w:rPr>
          <w:rFonts w:hint="eastAsia" w:ascii="宋体" w:hAnsi="宋体" w:cs="宋体"/>
          <w:bCs/>
          <w:sz w:val="24"/>
        </w:rPr>
        <w:t>（8）对基金管理人、基金托管人、基金服务机构损害其合法权益的行为依法提起诉讼或仲裁；</w:t>
      </w:r>
    </w:p>
    <w:p>
      <w:pPr>
        <w:spacing w:line="360" w:lineRule="auto"/>
        <w:ind w:firstLine="480" w:firstLineChars="200"/>
        <w:rPr>
          <w:rFonts w:ascii="宋体" w:hAnsi="宋体" w:cs="宋体"/>
          <w:bCs/>
          <w:sz w:val="24"/>
        </w:rPr>
      </w:pPr>
      <w:r>
        <w:rPr>
          <w:rFonts w:hint="eastAsia" w:ascii="宋体" w:hAnsi="宋体" w:cs="宋体"/>
          <w:bCs/>
          <w:sz w:val="24"/>
        </w:rPr>
        <w:t>（9）法律法规及中国证监会规定的和《基金合同》约定的其他权利。</w:t>
      </w:r>
    </w:p>
    <w:p>
      <w:pPr>
        <w:spacing w:line="360" w:lineRule="auto"/>
        <w:ind w:firstLine="480" w:firstLineChars="200"/>
        <w:rPr>
          <w:rFonts w:ascii="宋体" w:hAnsi="宋体" w:cs="宋体"/>
          <w:bCs/>
          <w:sz w:val="24"/>
        </w:rPr>
      </w:pPr>
      <w:r>
        <w:rPr>
          <w:rFonts w:hint="eastAsia" w:ascii="宋体" w:hAnsi="宋体" w:cs="宋体"/>
          <w:bCs/>
          <w:sz w:val="24"/>
        </w:rPr>
        <w:t>2、根据《基金法》、《运作办法》及其他有关规定，基金份额持有人的义务包括但不限于：</w:t>
      </w:r>
    </w:p>
    <w:p>
      <w:pPr>
        <w:spacing w:line="360" w:lineRule="auto"/>
        <w:ind w:firstLine="480" w:firstLineChars="200"/>
        <w:rPr>
          <w:rFonts w:ascii="宋体" w:hAnsi="宋体" w:cs="宋体"/>
          <w:bCs/>
          <w:sz w:val="24"/>
        </w:rPr>
      </w:pPr>
      <w:r>
        <w:rPr>
          <w:rFonts w:hint="eastAsia" w:ascii="宋体" w:hAnsi="宋体" w:cs="宋体"/>
          <w:bCs/>
          <w:sz w:val="24"/>
        </w:rPr>
        <w:t>（1）认真阅读并遵守《基金合同》、《招募说明书》、基金产品资料概要等信息披露文件；</w:t>
      </w:r>
    </w:p>
    <w:p>
      <w:pPr>
        <w:spacing w:line="360" w:lineRule="auto"/>
        <w:ind w:firstLine="480" w:firstLineChars="200"/>
        <w:rPr>
          <w:rFonts w:ascii="宋体" w:hAnsi="宋体" w:cs="宋体"/>
          <w:bCs/>
          <w:sz w:val="24"/>
        </w:rPr>
      </w:pPr>
      <w:r>
        <w:rPr>
          <w:rFonts w:hint="eastAsia" w:ascii="宋体" w:hAnsi="宋体" w:cs="宋体"/>
          <w:bCs/>
          <w:sz w:val="24"/>
        </w:rPr>
        <w:t>（2）了解所投资基金产品，了解自身风险承受能力，自主判断基金的投资价值，自主做出投资决策，自行承担投资风险；</w:t>
      </w:r>
    </w:p>
    <w:p>
      <w:pPr>
        <w:spacing w:line="360" w:lineRule="auto"/>
        <w:ind w:firstLine="480" w:firstLineChars="200"/>
        <w:rPr>
          <w:rFonts w:ascii="宋体" w:hAnsi="宋体" w:cs="宋体"/>
          <w:bCs/>
          <w:sz w:val="24"/>
        </w:rPr>
      </w:pPr>
      <w:r>
        <w:rPr>
          <w:rFonts w:hint="eastAsia" w:ascii="宋体" w:hAnsi="宋体" w:cs="宋体"/>
          <w:bCs/>
          <w:sz w:val="24"/>
        </w:rPr>
        <w:t>（3）关注基金信息披露，及时行使权利和履行义务；</w:t>
      </w:r>
    </w:p>
    <w:p>
      <w:pPr>
        <w:spacing w:line="360" w:lineRule="auto"/>
        <w:ind w:firstLine="480" w:firstLineChars="200"/>
        <w:rPr>
          <w:rFonts w:ascii="宋体" w:hAnsi="宋体" w:cs="宋体"/>
          <w:bCs/>
          <w:sz w:val="24"/>
        </w:rPr>
      </w:pPr>
      <w:r>
        <w:rPr>
          <w:rFonts w:hint="eastAsia" w:ascii="宋体" w:hAnsi="宋体" w:cs="宋体"/>
          <w:bCs/>
          <w:sz w:val="24"/>
        </w:rPr>
        <w:t>（4）交纳基金认购款项及法律法规和《基金合同》所规定的费用；</w:t>
      </w:r>
    </w:p>
    <w:p>
      <w:pPr>
        <w:spacing w:line="360" w:lineRule="auto"/>
        <w:ind w:firstLine="480" w:firstLineChars="200"/>
        <w:rPr>
          <w:rFonts w:ascii="宋体" w:hAnsi="宋体" w:cs="宋体"/>
          <w:bCs/>
          <w:sz w:val="24"/>
        </w:rPr>
      </w:pPr>
      <w:r>
        <w:rPr>
          <w:rFonts w:hint="eastAsia" w:ascii="宋体" w:hAnsi="宋体" w:cs="宋体"/>
          <w:bCs/>
          <w:sz w:val="24"/>
        </w:rPr>
        <w:t>（5）在其持有的基金份额范围内，承担基金亏损或者《基金合同》终止的有限责任；</w:t>
      </w:r>
    </w:p>
    <w:p>
      <w:pPr>
        <w:spacing w:line="360" w:lineRule="auto"/>
        <w:ind w:firstLine="480" w:firstLineChars="200"/>
        <w:rPr>
          <w:rFonts w:ascii="宋体" w:hAnsi="宋体" w:cs="宋体"/>
          <w:bCs/>
          <w:sz w:val="24"/>
        </w:rPr>
      </w:pPr>
      <w:r>
        <w:rPr>
          <w:rFonts w:hint="eastAsia" w:ascii="宋体" w:hAnsi="宋体" w:cs="宋体"/>
          <w:bCs/>
          <w:sz w:val="24"/>
        </w:rPr>
        <w:t>（6）遵守基金管理人、基金托管人、销售机构和登记机构的交易相关业务规则及其不时更新；</w:t>
      </w:r>
    </w:p>
    <w:p>
      <w:pPr>
        <w:spacing w:line="360" w:lineRule="auto"/>
        <w:ind w:firstLine="480" w:firstLineChars="200"/>
        <w:rPr>
          <w:rFonts w:ascii="宋体" w:hAnsi="宋体" w:cs="宋体"/>
          <w:bCs/>
          <w:sz w:val="24"/>
        </w:rPr>
      </w:pPr>
      <w:r>
        <w:rPr>
          <w:rFonts w:hint="eastAsia" w:ascii="宋体" w:hAnsi="宋体" w:cs="宋体"/>
          <w:bCs/>
          <w:sz w:val="24"/>
        </w:rPr>
        <w:t>（7）提供基金管理人和监管机构依法要求提供的信息，以及不时地更新和补充，并保证其真实性；</w:t>
      </w:r>
    </w:p>
    <w:p>
      <w:pPr>
        <w:spacing w:line="360" w:lineRule="auto"/>
        <w:ind w:firstLine="480" w:firstLineChars="200"/>
        <w:rPr>
          <w:rFonts w:ascii="宋体" w:hAnsi="宋体" w:cs="宋体"/>
          <w:bCs/>
          <w:sz w:val="24"/>
        </w:rPr>
      </w:pPr>
      <w:r>
        <w:rPr>
          <w:rFonts w:hint="eastAsia" w:ascii="宋体" w:hAnsi="宋体" w:cs="宋体"/>
          <w:bCs/>
          <w:sz w:val="24"/>
        </w:rPr>
        <w:t>（8）接受基金管理人或销售机构要求的风险承受能力调查和评价，如实提供身份信息、投资经验、财产状况、风险认知等相关信息以及不时的更新和补充，并保证所提供资料、信息的真实性、准确性、完整性；</w:t>
      </w:r>
    </w:p>
    <w:p>
      <w:pPr>
        <w:spacing w:line="360" w:lineRule="auto"/>
        <w:ind w:firstLine="480" w:firstLineChars="200"/>
        <w:rPr>
          <w:rFonts w:ascii="宋体" w:hAnsi="宋体" w:cs="宋体"/>
          <w:bCs/>
          <w:sz w:val="24"/>
        </w:rPr>
      </w:pPr>
      <w:r>
        <w:rPr>
          <w:rFonts w:hint="eastAsia" w:ascii="宋体" w:hAnsi="宋体" w:cs="宋体"/>
          <w:bCs/>
          <w:sz w:val="24"/>
        </w:rPr>
        <w:t>（9）不从事任何有损基金及其他《基金合同》当事人合法权益的活动；</w:t>
      </w:r>
    </w:p>
    <w:p>
      <w:pPr>
        <w:spacing w:line="360" w:lineRule="auto"/>
        <w:ind w:firstLine="480" w:firstLineChars="200"/>
        <w:rPr>
          <w:rFonts w:ascii="宋体" w:hAnsi="宋体" w:cs="宋体"/>
          <w:bCs/>
          <w:sz w:val="24"/>
        </w:rPr>
      </w:pPr>
      <w:r>
        <w:rPr>
          <w:rFonts w:hint="eastAsia" w:ascii="宋体" w:hAnsi="宋体" w:cs="宋体"/>
          <w:bCs/>
          <w:sz w:val="24"/>
        </w:rPr>
        <w:t>（10）执行生效的基金份额持有人大会的决议；</w:t>
      </w:r>
    </w:p>
    <w:p>
      <w:pPr>
        <w:spacing w:line="360" w:lineRule="auto"/>
        <w:ind w:firstLine="480" w:firstLineChars="200"/>
        <w:rPr>
          <w:rFonts w:ascii="宋体" w:hAnsi="宋体" w:cs="宋体"/>
          <w:bCs/>
          <w:sz w:val="24"/>
        </w:rPr>
      </w:pPr>
      <w:r>
        <w:rPr>
          <w:rFonts w:hint="eastAsia" w:ascii="宋体" w:hAnsi="宋体" w:cs="宋体"/>
          <w:bCs/>
          <w:sz w:val="24"/>
        </w:rPr>
        <w:t>（11）返还在基金交易过程中因任何原因获得的不当得利；</w:t>
      </w:r>
    </w:p>
    <w:p>
      <w:pPr>
        <w:spacing w:line="360" w:lineRule="auto"/>
        <w:ind w:firstLine="480" w:firstLineChars="200"/>
        <w:rPr>
          <w:rFonts w:ascii="宋体" w:hAnsi="宋体" w:cs="宋体"/>
          <w:sz w:val="24"/>
        </w:rPr>
      </w:pPr>
      <w:r>
        <w:rPr>
          <w:rFonts w:hint="eastAsia" w:ascii="宋体" w:hAnsi="宋体" w:cs="宋体"/>
          <w:bCs/>
          <w:sz w:val="24"/>
        </w:rPr>
        <w:t>（12）法律法规及中国证监会规定的和《基金合同》约定的其他义务。</w:t>
      </w:r>
    </w:p>
    <w:p>
      <w:pPr>
        <w:spacing w:line="360" w:lineRule="auto"/>
        <w:ind w:firstLine="480" w:firstLineChars="200"/>
        <w:rPr>
          <w:rFonts w:ascii="宋体" w:hAnsi="宋体" w:cs="宋体"/>
          <w:bCs/>
          <w:sz w:val="24"/>
        </w:rPr>
      </w:pPr>
      <w:r>
        <w:rPr>
          <w:rFonts w:hint="eastAsia" w:ascii="宋体" w:hAnsi="宋体" w:cs="宋体"/>
          <w:bCs/>
          <w:sz w:val="24"/>
        </w:rPr>
        <w:t>（二）</w:t>
      </w:r>
      <w:r>
        <w:rPr>
          <w:rFonts w:hint="eastAsia" w:ascii="宋体" w:hAnsi="宋体" w:cs="宋体"/>
          <w:bCs/>
          <w:sz w:val="24"/>
        </w:rPr>
        <w:tab/>
      </w:r>
      <w:r>
        <w:rPr>
          <w:rFonts w:hint="eastAsia" w:ascii="宋体" w:hAnsi="宋体" w:cs="宋体"/>
          <w:bCs/>
          <w:sz w:val="24"/>
        </w:rPr>
        <w:t>基金管理人的权利与义务</w:t>
      </w:r>
    </w:p>
    <w:p>
      <w:pPr>
        <w:spacing w:line="360" w:lineRule="auto"/>
        <w:ind w:firstLine="480" w:firstLineChars="200"/>
        <w:rPr>
          <w:rFonts w:ascii="宋体" w:hAnsi="宋体" w:cs="宋体"/>
          <w:bCs/>
          <w:sz w:val="24"/>
        </w:rPr>
      </w:pPr>
      <w:r>
        <w:rPr>
          <w:rFonts w:hint="eastAsia" w:ascii="宋体" w:hAnsi="宋体" w:cs="宋体"/>
          <w:bCs/>
          <w:sz w:val="24"/>
        </w:rPr>
        <w:t>1、根据《基金法》、《运作办法》及其他有关规定，基金管理人的权利包括但不限于：</w:t>
      </w:r>
    </w:p>
    <w:p>
      <w:pPr>
        <w:spacing w:line="360" w:lineRule="auto"/>
        <w:ind w:firstLine="480" w:firstLineChars="200"/>
        <w:rPr>
          <w:rFonts w:ascii="宋体" w:hAnsi="宋体" w:cs="宋体"/>
          <w:bCs/>
          <w:sz w:val="24"/>
        </w:rPr>
      </w:pPr>
      <w:r>
        <w:rPr>
          <w:rFonts w:hint="eastAsia" w:ascii="宋体" w:hAnsi="宋体" w:cs="宋体"/>
          <w:bCs/>
          <w:sz w:val="24"/>
        </w:rPr>
        <w:t>（1）依法募集资金；</w:t>
      </w:r>
    </w:p>
    <w:p>
      <w:pPr>
        <w:spacing w:line="360" w:lineRule="auto"/>
        <w:ind w:firstLine="480" w:firstLineChars="200"/>
        <w:rPr>
          <w:rFonts w:ascii="宋体" w:hAnsi="宋体" w:cs="宋体"/>
          <w:bCs/>
          <w:sz w:val="24"/>
        </w:rPr>
      </w:pPr>
      <w:r>
        <w:rPr>
          <w:rFonts w:hint="eastAsia" w:ascii="宋体" w:hAnsi="宋体" w:cs="宋体"/>
          <w:bCs/>
          <w:sz w:val="24"/>
        </w:rPr>
        <w:t>（2）自《基金合同》生效之日起，根据法律法规和《基金合同》独立运用并管理基金财产；</w:t>
      </w:r>
    </w:p>
    <w:p>
      <w:pPr>
        <w:spacing w:line="360" w:lineRule="auto"/>
        <w:ind w:firstLine="480" w:firstLineChars="200"/>
        <w:rPr>
          <w:rFonts w:ascii="宋体" w:hAnsi="宋体" w:cs="宋体"/>
          <w:bCs/>
          <w:sz w:val="24"/>
        </w:rPr>
      </w:pPr>
      <w:r>
        <w:rPr>
          <w:rFonts w:hint="eastAsia" w:ascii="宋体" w:hAnsi="宋体" w:cs="宋体"/>
          <w:bCs/>
          <w:sz w:val="24"/>
        </w:rPr>
        <w:t>（3）依照《基金合同》收取基金管理费以及法律法规规定或中国证监会批准的其他费用；</w:t>
      </w:r>
    </w:p>
    <w:p>
      <w:pPr>
        <w:spacing w:line="360" w:lineRule="auto"/>
        <w:ind w:firstLine="480" w:firstLineChars="200"/>
        <w:rPr>
          <w:rFonts w:ascii="宋体" w:hAnsi="宋体" w:cs="宋体"/>
          <w:bCs/>
          <w:sz w:val="24"/>
        </w:rPr>
      </w:pPr>
      <w:r>
        <w:rPr>
          <w:rFonts w:hint="eastAsia" w:ascii="宋体" w:hAnsi="宋体" w:cs="宋体"/>
          <w:bCs/>
          <w:sz w:val="24"/>
        </w:rPr>
        <w:t>（4）销售基金份额；</w:t>
      </w:r>
    </w:p>
    <w:p>
      <w:pPr>
        <w:spacing w:line="360" w:lineRule="auto"/>
        <w:ind w:firstLine="480" w:firstLineChars="200"/>
        <w:rPr>
          <w:rFonts w:ascii="宋体" w:hAnsi="宋体" w:cs="宋体"/>
          <w:bCs/>
          <w:sz w:val="24"/>
        </w:rPr>
      </w:pPr>
      <w:r>
        <w:rPr>
          <w:rFonts w:hint="eastAsia" w:ascii="宋体" w:hAnsi="宋体" w:cs="宋体"/>
          <w:bCs/>
          <w:sz w:val="24"/>
        </w:rPr>
        <w:t>（5）按照规定召集基金份额持有人大会；</w:t>
      </w:r>
    </w:p>
    <w:p>
      <w:pPr>
        <w:spacing w:line="360" w:lineRule="auto"/>
        <w:ind w:firstLine="480" w:firstLineChars="200"/>
        <w:rPr>
          <w:rFonts w:ascii="宋体" w:hAnsi="宋体" w:cs="宋体"/>
          <w:bCs/>
          <w:sz w:val="24"/>
        </w:rPr>
      </w:pPr>
      <w:r>
        <w:rPr>
          <w:rFonts w:hint="eastAsia" w:ascii="宋体" w:hAnsi="宋体" w:cs="宋体"/>
          <w:bCs/>
          <w:sz w:val="24"/>
        </w:rPr>
        <w:t>（6）依据《基金合同》及有关法律规定监督基金托管人，如认为基金托管人违反了《基金合同》及国家有关法律规定，应呈报中国证监会和其他监管部门，并采取必要措施保护基金投资者的利益；</w:t>
      </w:r>
    </w:p>
    <w:p>
      <w:pPr>
        <w:spacing w:line="360" w:lineRule="auto"/>
        <w:ind w:firstLine="480" w:firstLineChars="200"/>
        <w:rPr>
          <w:rFonts w:ascii="宋体" w:hAnsi="宋体" w:cs="宋体"/>
          <w:bCs/>
          <w:sz w:val="24"/>
        </w:rPr>
      </w:pPr>
      <w:r>
        <w:rPr>
          <w:rFonts w:hint="eastAsia" w:ascii="宋体" w:hAnsi="宋体" w:cs="宋体"/>
          <w:bCs/>
          <w:sz w:val="24"/>
        </w:rPr>
        <w:t>（7）在基金托管人更换时，提名新的基金托管人；</w:t>
      </w:r>
    </w:p>
    <w:p>
      <w:pPr>
        <w:spacing w:line="360" w:lineRule="auto"/>
        <w:ind w:firstLine="480" w:firstLineChars="200"/>
        <w:rPr>
          <w:rFonts w:ascii="宋体" w:hAnsi="宋体" w:cs="宋体"/>
          <w:bCs/>
          <w:sz w:val="24"/>
        </w:rPr>
      </w:pPr>
      <w:r>
        <w:rPr>
          <w:rFonts w:hint="eastAsia" w:ascii="宋体" w:hAnsi="宋体" w:cs="宋体"/>
          <w:bCs/>
          <w:sz w:val="24"/>
        </w:rPr>
        <w:t xml:space="preserve">（8）选择、更换基金销售机构，对基金销售机构的相关行为进行监督和处理； </w:t>
      </w:r>
    </w:p>
    <w:p>
      <w:pPr>
        <w:spacing w:line="360" w:lineRule="auto"/>
        <w:ind w:firstLine="480" w:firstLineChars="200"/>
        <w:rPr>
          <w:rFonts w:ascii="宋体" w:hAnsi="宋体" w:cs="宋体"/>
          <w:bCs/>
          <w:sz w:val="24"/>
        </w:rPr>
      </w:pPr>
      <w:r>
        <w:rPr>
          <w:rFonts w:hint="eastAsia" w:ascii="宋体" w:hAnsi="宋体" w:cs="宋体"/>
          <w:bCs/>
          <w:sz w:val="24"/>
        </w:rPr>
        <w:t xml:space="preserve">（9）担任或委托其他符合条件的机构担任基金登记机构办理基金登记业务并获得《基金合同》规定的费用； </w:t>
      </w:r>
    </w:p>
    <w:p>
      <w:pPr>
        <w:spacing w:line="360" w:lineRule="auto"/>
        <w:ind w:firstLine="480" w:firstLineChars="200"/>
        <w:rPr>
          <w:rFonts w:ascii="宋体" w:hAnsi="宋体" w:cs="宋体"/>
          <w:bCs/>
          <w:sz w:val="24"/>
        </w:rPr>
      </w:pPr>
      <w:r>
        <w:rPr>
          <w:rFonts w:hint="eastAsia" w:ascii="宋体" w:hAnsi="宋体" w:cs="宋体"/>
          <w:bCs/>
          <w:sz w:val="24"/>
        </w:rPr>
        <w:t>（10）依据《基金合同》及有关法律规定决定基金收益的分配方案；</w:t>
      </w:r>
      <w:r>
        <w:rPr>
          <w:rFonts w:hint="eastAsia" w:ascii="宋体" w:hAnsi="宋体" w:cs="宋体"/>
          <w:bCs/>
          <w:sz w:val="24"/>
        </w:rPr>
        <w:tab/>
      </w:r>
    </w:p>
    <w:p>
      <w:pPr>
        <w:spacing w:line="360" w:lineRule="auto"/>
        <w:ind w:firstLine="480" w:firstLineChars="200"/>
        <w:rPr>
          <w:rFonts w:ascii="宋体" w:hAnsi="宋体" w:cs="宋体"/>
          <w:bCs/>
          <w:sz w:val="24"/>
        </w:rPr>
      </w:pPr>
      <w:r>
        <w:rPr>
          <w:rFonts w:hint="eastAsia" w:ascii="宋体" w:hAnsi="宋体" w:cs="宋体"/>
          <w:bCs/>
          <w:sz w:val="24"/>
        </w:rPr>
        <w:t>（11）依照法律法规为基金的利益对被投资公司行使相关权利，为基金的利益行使因基金财产投资于证券所产生的权利；</w:t>
      </w:r>
    </w:p>
    <w:p>
      <w:pPr>
        <w:spacing w:line="360" w:lineRule="auto"/>
        <w:ind w:firstLine="480" w:firstLineChars="200"/>
        <w:rPr>
          <w:rFonts w:ascii="宋体" w:hAnsi="宋体" w:cs="宋体"/>
          <w:bCs/>
          <w:sz w:val="24"/>
        </w:rPr>
      </w:pPr>
      <w:r>
        <w:rPr>
          <w:rFonts w:hint="eastAsia" w:ascii="宋体" w:hAnsi="宋体" w:cs="宋体"/>
          <w:bCs/>
          <w:sz w:val="24"/>
        </w:rPr>
        <w:t xml:space="preserve">（12）在法律法规允许的前提下，为基金的利益依法为基金进行融资； </w:t>
      </w:r>
    </w:p>
    <w:p>
      <w:pPr>
        <w:spacing w:line="360" w:lineRule="auto"/>
        <w:ind w:firstLine="480" w:firstLineChars="200"/>
        <w:rPr>
          <w:rFonts w:ascii="宋体" w:hAnsi="宋体" w:cs="宋体"/>
          <w:bCs/>
          <w:sz w:val="24"/>
        </w:rPr>
      </w:pPr>
      <w:r>
        <w:rPr>
          <w:rFonts w:hint="eastAsia" w:ascii="宋体" w:hAnsi="宋体" w:cs="宋体"/>
          <w:bCs/>
          <w:sz w:val="24"/>
        </w:rPr>
        <w:t>（13）以基金管理人的名义，代表基金份额持有人的利益行使诉讼权利或者实施其他法律行为；</w:t>
      </w:r>
      <w:r>
        <w:rPr>
          <w:rFonts w:hint="eastAsia" w:ascii="宋体" w:hAnsi="宋体" w:cs="宋体"/>
          <w:bCs/>
          <w:sz w:val="24"/>
        </w:rPr>
        <w:tab/>
      </w:r>
    </w:p>
    <w:p>
      <w:pPr>
        <w:spacing w:line="360" w:lineRule="auto"/>
        <w:ind w:firstLine="480" w:firstLineChars="200"/>
        <w:rPr>
          <w:rFonts w:ascii="宋体" w:hAnsi="宋体" w:cs="宋体"/>
          <w:bCs/>
          <w:sz w:val="24"/>
        </w:rPr>
      </w:pPr>
      <w:r>
        <w:rPr>
          <w:rFonts w:hint="eastAsia" w:ascii="宋体" w:hAnsi="宋体" w:cs="宋体"/>
          <w:bCs/>
          <w:sz w:val="24"/>
        </w:rPr>
        <w:t>（14）选择、更换律师事务所、会计师事务所、证券经纪商或其他为基金提供服务的外部机构；</w:t>
      </w:r>
      <w:r>
        <w:rPr>
          <w:rFonts w:hint="eastAsia" w:ascii="宋体" w:hAnsi="宋体" w:cs="宋体"/>
          <w:bCs/>
          <w:sz w:val="24"/>
        </w:rPr>
        <w:tab/>
      </w:r>
    </w:p>
    <w:p>
      <w:pPr>
        <w:spacing w:line="360" w:lineRule="auto"/>
        <w:ind w:firstLine="480" w:firstLineChars="200"/>
        <w:rPr>
          <w:rFonts w:ascii="宋体" w:hAnsi="宋体" w:cs="宋体"/>
          <w:bCs/>
          <w:sz w:val="24"/>
        </w:rPr>
      </w:pPr>
      <w:r>
        <w:rPr>
          <w:rFonts w:hint="eastAsia" w:ascii="宋体" w:hAnsi="宋体" w:cs="宋体"/>
          <w:bCs/>
          <w:sz w:val="24"/>
        </w:rPr>
        <w:t>（15）在符合有关法律、法规的前提下，制订和调整有关基金认购、非交易过户等业务规则；</w:t>
      </w:r>
    </w:p>
    <w:p>
      <w:pPr>
        <w:spacing w:line="440" w:lineRule="atLeast"/>
        <w:ind w:firstLine="480" w:firstLineChars="200"/>
        <w:rPr>
          <w:rFonts w:ascii="宋体" w:hAnsi="宋体" w:cs="宋体"/>
          <w:bCs/>
          <w:sz w:val="24"/>
        </w:rPr>
      </w:pPr>
      <w:r>
        <w:rPr>
          <w:rFonts w:hint="eastAsia" w:ascii="宋体" w:hAnsi="宋体" w:cs="宋体"/>
          <w:bCs/>
          <w:sz w:val="24"/>
        </w:rPr>
        <w:t>（16）法律法规及中国证监会规定的和《基金合同》约定的其他权利。</w:t>
      </w:r>
    </w:p>
    <w:p>
      <w:pPr>
        <w:spacing w:line="440" w:lineRule="atLeast"/>
        <w:ind w:firstLine="480" w:firstLineChars="200"/>
        <w:rPr>
          <w:rFonts w:ascii="宋体" w:hAnsi="宋体" w:cs="宋体"/>
          <w:bCs/>
          <w:sz w:val="24"/>
        </w:rPr>
      </w:pPr>
      <w:r>
        <w:rPr>
          <w:rFonts w:hint="eastAsia" w:ascii="宋体" w:hAnsi="宋体" w:cs="宋体"/>
          <w:bCs/>
          <w:sz w:val="24"/>
        </w:rPr>
        <w:t>2、根据《基金法》、《运作办法》及其他有关规定，基金管理人的义务包括但不限于：</w:t>
      </w:r>
    </w:p>
    <w:p>
      <w:pPr>
        <w:spacing w:line="440" w:lineRule="atLeast"/>
        <w:ind w:firstLine="480" w:firstLineChars="200"/>
        <w:rPr>
          <w:rFonts w:ascii="宋体" w:hAnsi="宋体" w:cs="宋体"/>
          <w:bCs/>
          <w:sz w:val="24"/>
        </w:rPr>
      </w:pPr>
      <w:r>
        <w:rPr>
          <w:rFonts w:hint="eastAsia" w:ascii="宋体" w:hAnsi="宋体" w:cs="宋体"/>
          <w:bCs/>
          <w:sz w:val="24"/>
        </w:rPr>
        <w:t>（1）依法募集资金，办理或者委托经中国证监会认定的其他机构代为办理基金份额的发售和登记事宜；</w:t>
      </w:r>
    </w:p>
    <w:p>
      <w:pPr>
        <w:spacing w:line="440" w:lineRule="atLeast"/>
        <w:ind w:firstLine="480" w:firstLineChars="200"/>
        <w:rPr>
          <w:rFonts w:ascii="宋体" w:hAnsi="宋体" w:cs="宋体"/>
          <w:bCs/>
          <w:sz w:val="24"/>
        </w:rPr>
      </w:pPr>
      <w:r>
        <w:rPr>
          <w:rFonts w:hint="eastAsia" w:ascii="宋体" w:hAnsi="宋体" w:cs="宋体"/>
          <w:bCs/>
          <w:sz w:val="24"/>
        </w:rPr>
        <w:t>（2）办理基金备案手续；</w:t>
      </w:r>
    </w:p>
    <w:p>
      <w:pPr>
        <w:spacing w:line="440" w:lineRule="atLeast"/>
        <w:ind w:firstLine="480" w:firstLineChars="200"/>
        <w:rPr>
          <w:rFonts w:ascii="宋体" w:hAnsi="宋体" w:cs="宋体"/>
          <w:bCs/>
          <w:sz w:val="24"/>
        </w:rPr>
      </w:pPr>
      <w:r>
        <w:rPr>
          <w:rFonts w:hint="eastAsia" w:ascii="宋体" w:hAnsi="宋体" w:cs="宋体"/>
          <w:bCs/>
          <w:sz w:val="24"/>
        </w:rPr>
        <w:t>（3）自《基金合同》生效之日起,以诚实信用、谨慎勤勉的原则管理和运用基金财产；</w:t>
      </w:r>
    </w:p>
    <w:p>
      <w:pPr>
        <w:spacing w:line="440" w:lineRule="atLeast"/>
        <w:ind w:firstLine="480" w:firstLineChars="200"/>
        <w:rPr>
          <w:rFonts w:ascii="宋体" w:hAnsi="宋体" w:cs="宋体"/>
          <w:bCs/>
          <w:sz w:val="24"/>
        </w:rPr>
      </w:pPr>
      <w:r>
        <w:rPr>
          <w:rFonts w:hint="eastAsia" w:ascii="宋体" w:hAnsi="宋体" w:cs="宋体"/>
          <w:bCs/>
          <w:sz w:val="24"/>
        </w:rPr>
        <w:t>（4）配备足够的具有专业资格的人员进行基金投资分析、决策，以专业化的经营方式管理和运作基金财产；</w:t>
      </w:r>
    </w:p>
    <w:p>
      <w:pPr>
        <w:spacing w:line="440" w:lineRule="atLeast"/>
        <w:ind w:firstLine="480" w:firstLineChars="200"/>
        <w:rPr>
          <w:rFonts w:ascii="宋体" w:hAnsi="宋体" w:cs="宋体"/>
          <w:bCs/>
          <w:sz w:val="24"/>
        </w:rPr>
      </w:pPr>
      <w:r>
        <w:rPr>
          <w:rFonts w:hint="eastAsia" w:ascii="宋体" w:hAnsi="宋体" w:cs="宋体"/>
          <w:bCs/>
          <w:sz w:val="24"/>
        </w:rPr>
        <w:t>（5）建立健全内部风险控制、监察与稽核、财务管理及人事管理等制度，保证所管理的基金财产和基金管理人的财产相互独立,对所管理的不同基金分别管理，分别记账，进行证券投资；</w:t>
      </w:r>
    </w:p>
    <w:p>
      <w:pPr>
        <w:spacing w:line="440" w:lineRule="atLeast"/>
        <w:ind w:firstLine="480" w:firstLineChars="200"/>
        <w:rPr>
          <w:rFonts w:ascii="宋体" w:hAnsi="宋体" w:cs="宋体"/>
          <w:bCs/>
          <w:sz w:val="24"/>
        </w:rPr>
      </w:pPr>
      <w:r>
        <w:rPr>
          <w:rFonts w:hint="eastAsia" w:ascii="宋体" w:hAnsi="宋体" w:cs="宋体"/>
          <w:bCs/>
          <w:sz w:val="24"/>
        </w:rPr>
        <w:t>（6）除依据《基金法》、《基金合同》及其他有关规定外,不得利用基金财产为自己及任何第三人谋取利益，不得委托第三人运作基金财产；</w:t>
      </w:r>
    </w:p>
    <w:p>
      <w:pPr>
        <w:spacing w:line="440" w:lineRule="atLeast"/>
        <w:ind w:firstLine="480" w:firstLineChars="200"/>
        <w:rPr>
          <w:rFonts w:ascii="宋体" w:hAnsi="宋体" w:cs="宋体"/>
          <w:bCs/>
          <w:sz w:val="24"/>
        </w:rPr>
      </w:pPr>
      <w:r>
        <w:rPr>
          <w:rFonts w:hint="eastAsia" w:ascii="宋体" w:hAnsi="宋体" w:cs="宋体"/>
          <w:bCs/>
          <w:sz w:val="24"/>
        </w:rPr>
        <w:t>（7）依法接受基金托管人的监督；</w:t>
      </w:r>
    </w:p>
    <w:p>
      <w:pPr>
        <w:spacing w:line="440" w:lineRule="atLeast"/>
        <w:ind w:firstLine="480" w:firstLineChars="200"/>
        <w:rPr>
          <w:rFonts w:ascii="宋体" w:hAnsi="宋体" w:cs="宋体"/>
          <w:bCs/>
          <w:sz w:val="24"/>
        </w:rPr>
      </w:pPr>
      <w:r>
        <w:rPr>
          <w:rFonts w:hint="eastAsia" w:ascii="宋体" w:hAnsi="宋体" w:cs="宋体"/>
          <w:bCs/>
          <w:sz w:val="24"/>
        </w:rPr>
        <w:t>（8）采取适当合理的措施使计算基金份额认购和注销价格的方法符合《基金合同》等法律文件的规定，按有关规定计算并公告基金净值信息；</w:t>
      </w:r>
    </w:p>
    <w:p>
      <w:pPr>
        <w:spacing w:line="440" w:lineRule="atLeast"/>
        <w:ind w:firstLine="480" w:firstLineChars="200"/>
        <w:rPr>
          <w:rFonts w:ascii="宋体" w:hAnsi="宋体" w:cs="宋体"/>
          <w:bCs/>
          <w:sz w:val="24"/>
        </w:rPr>
      </w:pPr>
      <w:r>
        <w:rPr>
          <w:rFonts w:hint="eastAsia" w:ascii="宋体" w:hAnsi="宋体" w:cs="宋体"/>
          <w:bCs/>
          <w:sz w:val="24"/>
        </w:rPr>
        <w:t>（9）进行基金会计核算并编制基金财务会计报告；</w:t>
      </w:r>
    </w:p>
    <w:p>
      <w:pPr>
        <w:spacing w:line="440" w:lineRule="atLeast"/>
        <w:ind w:firstLine="480" w:firstLineChars="200"/>
        <w:rPr>
          <w:rFonts w:ascii="宋体" w:hAnsi="宋体" w:cs="宋体"/>
          <w:bCs/>
          <w:sz w:val="24"/>
        </w:rPr>
      </w:pPr>
      <w:r>
        <w:rPr>
          <w:rFonts w:hint="eastAsia" w:ascii="宋体" w:hAnsi="宋体" w:cs="宋体"/>
          <w:bCs/>
          <w:sz w:val="24"/>
        </w:rPr>
        <w:t>（10）编制季度报告、中期报告和年度基金报告；</w:t>
      </w:r>
    </w:p>
    <w:p>
      <w:pPr>
        <w:spacing w:line="440" w:lineRule="atLeast"/>
        <w:ind w:firstLine="480" w:firstLineChars="200"/>
        <w:rPr>
          <w:rFonts w:ascii="宋体" w:hAnsi="宋体" w:cs="宋体"/>
          <w:bCs/>
          <w:sz w:val="24"/>
        </w:rPr>
      </w:pPr>
      <w:r>
        <w:rPr>
          <w:rFonts w:hint="eastAsia" w:ascii="宋体" w:hAnsi="宋体" w:cs="宋体"/>
          <w:bCs/>
          <w:sz w:val="24"/>
        </w:rPr>
        <w:t>（11）</w:t>
      </w:r>
      <w:r>
        <w:rPr>
          <w:rFonts w:hint="eastAsia" w:ascii="宋体" w:hAnsi="宋体" w:cs="宋体"/>
          <w:bCs/>
          <w:sz w:val="24"/>
        </w:rPr>
        <w:tab/>
      </w:r>
      <w:r>
        <w:rPr>
          <w:rFonts w:hint="eastAsia" w:ascii="宋体" w:hAnsi="宋体" w:cs="宋体"/>
          <w:bCs/>
          <w:sz w:val="24"/>
        </w:rPr>
        <w:t>严格按照《基金法》、《基金合同》及其他有关规定，履行信息披露及报告义务；</w:t>
      </w:r>
    </w:p>
    <w:p>
      <w:pPr>
        <w:spacing w:line="440" w:lineRule="atLeast"/>
        <w:ind w:firstLine="480" w:firstLineChars="200"/>
        <w:rPr>
          <w:rFonts w:ascii="宋体" w:hAnsi="宋体" w:cs="宋体"/>
          <w:bCs/>
          <w:sz w:val="24"/>
        </w:rPr>
      </w:pPr>
      <w:r>
        <w:rPr>
          <w:rFonts w:hint="eastAsia" w:ascii="宋体" w:hAnsi="宋体" w:cs="宋体"/>
          <w:bCs/>
          <w:sz w:val="24"/>
        </w:rPr>
        <w:t>（12）保守基金商业秘密，不泄露基金投资计划、投资意向等。除《基金法》、《基金合同》及其他有关规定另有规定外，在基金信息公开披露前应予保密，不向他人泄露，但向监管机构、司法机关提供或向审计、法律等外部专业顾问提供的除外；</w:t>
      </w:r>
    </w:p>
    <w:p>
      <w:pPr>
        <w:spacing w:line="440" w:lineRule="atLeast"/>
        <w:ind w:firstLine="480" w:firstLineChars="200"/>
        <w:rPr>
          <w:rFonts w:ascii="宋体" w:hAnsi="宋体" w:cs="宋体"/>
          <w:bCs/>
          <w:sz w:val="24"/>
        </w:rPr>
      </w:pPr>
      <w:r>
        <w:rPr>
          <w:rFonts w:hint="eastAsia" w:ascii="宋体" w:hAnsi="宋体" w:cs="宋体"/>
          <w:bCs/>
          <w:sz w:val="24"/>
        </w:rPr>
        <w:t>（13）按《基金合同》的约定确定基金收益分配方案，及时向基金份额持有人分配基金收益；</w:t>
      </w:r>
    </w:p>
    <w:p>
      <w:pPr>
        <w:spacing w:line="440" w:lineRule="atLeast"/>
        <w:ind w:firstLine="480" w:firstLineChars="200"/>
        <w:rPr>
          <w:rFonts w:ascii="宋体" w:hAnsi="宋体" w:cs="宋体"/>
          <w:bCs/>
          <w:sz w:val="24"/>
        </w:rPr>
      </w:pPr>
      <w:r>
        <w:rPr>
          <w:rFonts w:hint="eastAsia" w:ascii="宋体" w:hAnsi="宋体" w:cs="宋体"/>
          <w:bCs/>
          <w:sz w:val="24"/>
        </w:rPr>
        <w:t>（14）依据《基金法》、《基金合同》及其他有关规定召集基金份额持有人大会或配合基金托管人、基金份额持有人依法召集基金份额持有人大会；</w:t>
      </w:r>
    </w:p>
    <w:p>
      <w:pPr>
        <w:spacing w:line="440" w:lineRule="atLeast"/>
        <w:ind w:firstLine="480" w:firstLineChars="200"/>
        <w:rPr>
          <w:rFonts w:ascii="宋体" w:hAnsi="宋体" w:cs="宋体"/>
          <w:bCs/>
          <w:sz w:val="24"/>
        </w:rPr>
      </w:pPr>
      <w:r>
        <w:rPr>
          <w:rFonts w:hint="eastAsia" w:ascii="宋体" w:hAnsi="宋体" w:cs="宋体"/>
          <w:bCs/>
          <w:sz w:val="24"/>
        </w:rPr>
        <w:t>（15）按规定保存基金财产管理业务活动的会计账册、报表、记录和其他相关资料，保存期限不低于法律法规规定的最低期限；</w:t>
      </w:r>
    </w:p>
    <w:p>
      <w:pPr>
        <w:spacing w:line="440" w:lineRule="atLeast"/>
        <w:ind w:firstLine="480" w:firstLineChars="200"/>
        <w:rPr>
          <w:rFonts w:ascii="宋体" w:hAnsi="宋体" w:cs="宋体"/>
          <w:bCs/>
          <w:sz w:val="24"/>
        </w:rPr>
      </w:pPr>
      <w:r>
        <w:rPr>
          <w:rFonts w:hint="eastAsia" w:ascii="宋体" w:hAnsi="宋体" w:cs="宋体"/>
          <w:bCs/>
          <w:sz w:val="24"/>
        </w:rPr>
        <w:t>（16）确保需要向基金投资者提供的各项文件或资料在规定时间发出，并且保证投资者能够按照《基金合同》规定的时间和方式，随时查阅到与基金有关的公开资料，并在支付合理成本的条件下得到有关资料的复印件；</w:t>
      </w:r>
    </w:p>
    <w:p>
      <w:pPr>
        <w:spacing w:line="440" w:lineRule="atLeast"/>
        <w:ind w:firstLine="480" w:firstLineChars="200"/>
        <w:rPr>
          <w:rFonts w:ascii="宋体" w:hAnsi="宋体" w:cs="宋体"/>
          <w:bCs/>
          <w:sz w:val="24"/>
        </w:rPr>
      </w:pPr>
      <w:r>
        <w:rPr>
          <w:rFonts w:hint="eastAsia" w:ascii="宋体" w:hAnsi="宋体" w:cs="宋体"/>
          <w:bCs/>
          <w:sz w:val="24"/>
        </w:rPr>
        <w:t>（17）组织并参加基金财产清算小组,参与基金财产的保管、清理、估价、变现和分配；</w:t>
      </w:r>
    </w:p>
    <w:p>
      <w:pPr>
        <w:spacing w:line="440" w:lineRule="atLeast"/>
        <w:ind w:firstLine="480" w:firstLineChars="200"/>
        <w:rPr>
          <w:rFonts w:ascii="宋体" w:hAnsi="宋体" w:cs="宋体"/>
          <w:bCs/>
          <w:sz w:val="24"/>
        </w:rPr>
      </w:pPr>
      <w:r>
        <w:rPr>
          <w:rFonts w:hint="eastAsia" w:ascii="宋体" w:hAnsi="宋体" w:cs="宋体"/>
          <w:bCs/>
          <w:sz w:val="24"/>
        </w:rPr>
        <w:t>（18）面临解散、依法被撤销或者被依法宣告破产时，及时报告中国证监会并通知基金托管人；</w:t>
      </w:r>
    </w:p>
    <w:p>
      <w:pPr>
        <w:spacing w:line="440" w:lineRule="atLeast"/>
        <w:ind w:firstLine="480" w:firstLineChars="200"/>
        <w:rPr>
          <w:rFonts w:ascii="宋体" w:hAnsi="宋体" w:cs="宋体"/>
          <w:bCs/>
          <w:sz w:val="24"/>
        </w:rPr>
      </w:pPr>
      <w:r>
        <w:rPr>
          <w:rFonts w:hint="eastAsia" w:ascii="宋体" w:hAnsi="宋体" w:cs="宋体"/>
          <w:bCs/>
          <w:sz w:val="24"/>
        </w:rPr>
        <w:t>（19）因违反《基金合同》导致基金财产的损失或损害基金份额持有人合法权益时，应当承担赔偿责任，其赔偿责任不因其退任而免除；</w:t>
      </w:r>
    </w:p>
    <w:p>
      <w:pPr>
        <w:spacing w:line="440" w:lineRule="atLeast"/>
        <w:ind w:firstLine="480" w:firstLineChars="200"/>
        <w:rPr>
          <w:rFonts w:ascii="宋体" w:hAnsi="宋体" w:cs="宋体"/>
          <w:bCs/>
          <w:sz w:val="24"/>
        </w:rPr>
      </w:pPr>
      <w:r>
        <w:rPr>
          <w:rFonts w:hint="eastAsia" w:ascii="宋体" w:hAnsi="宋体" w:cs="宋体"/>
          <w:bCs/>
          <w:sz w:val="24"/>
        </w:rPr>
        <w:t>（20）监督基金托管人按法律法规和《基金合同》规定履行自己的义务，基金托管人违反《基金合同》造成基金财产损失时，基金管理人应为基金份额持有人利益向基金托管人追偿；</w:t>
      </w:r>
    </w:p>
    <w:p>
      <w:pPr>
        <w:spacing w:line="440" w:lineRule="atLeast"/>
        <w:ind w:firstLine="480" w:firstLineChars="200"/>
        <w:rPr>
          <w:rFonts w:ascii="宋体" w:hAnsi="宋体" w:cs="宋体"/>
          <w:bCs/>
          <w:sz w:val="24"/>
        </w:rPr>
      </w:pPr>
      <w:r>
        <w:rPr>
          <w:rFonts w:hint="eastAsia" w:ascii="宋体" w:hAnsi="宋体" w:cs="宋体"/>
          <w:bCs/>
          <w:sz w:val="24"/>
        </w:rPr>
        <w:t>（21）当基金管理人将其义务委托第三方处理时，应当对第三方处理有关基金事务的行为承担责任；</w:t>
      </w:r>
    </w:p>
    <w:p>
      <w:pPr>
        <w:spacing w:line="440" w:lineRule="atLeast"/>
        <w:ind w:firstLine="480" w:firstLineChars="200"/>
        <w:rPr>
          <w:rFonts w:ascii="宋体" w:hAnsi="宋体" w:cs="宋体"/>
          <w:bCs/>
          <w:sz w:val="24"/>
        </w:rPr>
      </w:pPr>
      <w:r>
        <w:rPr>
          <w:rFonts w:hint="eastAsia" w:ascii="宋体" w:hAnsi="宋体" w:cs="宋体"/>
          <w:bCs/>
          <w:sz w:val="24"/>
        </w:rPr>
        <w:t>（22）以基金管理人名义，代表基金份额持有人利益行使诉讼权利或实施其他法律行为；</w:t>
      </w:r>
      <w:r>
        <w:rPr>
          <w:rFonts w:hint="eastAsia" w:ascii="宋体" w:hAnsi="宋体" w:cs="宋体"/>
          <w:bCs/>
          <w:sz w:val="24"/>
        </w:rPr>
        <w:tab/>
      </w:r>
    </w:p>
    <w:p>
      <w:pPr>
        <w:spacing w:line="440" w:lineRule="atLeast"/>
        <w:ind w:firstLine="480" w:firstLineChars="200"/>
        <w:rPr>
          <w:rFonts w:ascii="宋体" w:hAnsi="宋体" w:cs="宋体"/>
          <w:bCs/>
          <w:sz w:val="24"/>
        </w:rPr>
      </w:pPr>
      <w:r>
        <w:rPr>
          <w:rFonts w:hint="eastAsia" w:ascii="宋体" w:hAnsi="宋体" w:cs="宋体"/>
          <w:bCs/>
          <w:sz w:val="24"/>
        </w:rPr>
        <w:t>（23）基金管理人在募集期间未能达到基金的备案条件，《基金合同》不能生效，基金管理人承担全部募集费用，将已募集资金并加计银行同期活期存款利息在基金募集期结束后30日内退还基金认购人；</w:t>
      </w:r>
    </w:p>
    <w:p>
      <w:pPr>
        <w:spacing w:line="440" w:lineRule="atLeast"/>
        <w:ind w:firstLine="480" w:firstLineChars="200"/>
        <w:rPr>
          <w:rFonts w:ascii="宋体" w:hAnsi="宋体" w:cs="宋体"/>
          <w:bCs/>
          <w:sz w:val="24"/>
        </w:rPr>
      </w:pPr>
      <w:r>
        <w:rPr>
          <w:rFonts w:hint="eastAsia" w:ascii="宋体" w:hAnsi="宋体" w:cs="宋体"/>
          <w:bCs/>
          <w:sz w:val="24"/>
        </w:rPr>
        <w:t>（24）执行生效的基金份额持有人大会的决议；</w:t>
      </w:r>
    </w:p>
    <w:p>
      <w:pPr>
        <w:spacing w:line="440" w:lineRule="atLeast"/>
        <w:ind w:firstLine="480" w:firstLineChars="200"/>
        <w:rPr>
          <w:rFonts w:ascii="宋体" w:hAnsi="宋体" w:cs="宋体"/>
          <w:bCs/>
          <w:sz w:val="24"/>
        </w:rPr>
      </w:pPr>
      <w:r>
        <w:rPr>
          <w:rFonts w:hint="eastAsia" w:ascii="宋体" w:hAnsi="宋体" w:cs="宋体"/>
          <w:bCs/>
          <w:sz w:val="24"/>
        </w:rPr>
        <w:t>（25）建立并保存基金份额持有人名册；</w:t>
      </w:r>
    </w:p>
    <w:p>
      <w:pPr>
        <w:spacing w:line="360" w:lineRule="auto"/>
        <w:ind w:firstLine="480" w:firstLineChars="200"/>
        <w:rPr>
          <w:rFonts w:ascii="宋体" w:hAnsi="宋体" w:cs="宋体"/>
          <w:sz w:val="24"/>
        </w:rPr>
      </w:pPr>
      <w:r>
        <w:rPr>
          <w:rFonts w:hint="eastAsia" w:ascii="宋体" w:hAnsi="宋体" w:cs="宋体"/>
          <w:bCs/>
          <w:sz w:val="24"/>
        </w:rPr>
        <w:t>（26）法律法规及中国证监会规定的和《基金合同》约定的其他义务。</w:t>
      </w:r>
    </w:p>
    <w:p>
      <w:pPr>
        <w:spacing w:line="360" w:lineRule="auto"/>
        <w:ind w:firstLine="480" w:firstLineChars="200"/>
        <w:rPr>
          <w:rFonts w:ascii="宋体" w:hAnsi="宋体" w:cs="宋体"/>
          <w:bCs/>
          <w:sz w:val="24"/>
          <w:szCs w:val="24"/>
        </w:rPr>
      </w:pPr>
      <w:r>
        <w:rPr>
          <w:rFonts w:hint="eastAsia" w:ascii="宋体" w:hAnsi="宋体" w:cs="宋体"/>
          <w:bCs/>
          <w:sz w:val="24"/>
          <w:szCs w:val="24"/>
        </w:rPr>
        <w:t>（三）</w:t>
      </w:r>
      <w:r>
        <w:rPr>
          <w:rFonts w:hint="eastAsia" w:ascii="宋体" w:hAnsi="宋体" w:cs="宋体"/>
          <w:bCs/>
          <w:sz w:val="24"/>
          <w:szCs w:val="24"/>
        </w:rPr>
        <w:tab/>
      </w:r>
      <w:r>
        <w:rPr>
          <w:rFonts w:hint="eastAsia" w:ascii="宋体" w:hAnsi="宋体" w:cs="宋体"/>
          <w:bCs/>
          <w:sz w:val="24"/>
          <w:szCs w:val="24"/>
        </w:rPr>
        <w:t>基金托管人的权利与义务</w:t>
      </w:r>
    </w:p>
    <w:p>
      <w:pPr>
        <w:spacing w:line="360" w:lineRule="auto"/>
        <w:ind w:firstLine="480" w:firstLineChars="200"/>
        <w:rPr>
          <w:rFonts w:ascii="宋体" w:hAnsi="宋体" w:cs="宋体"/>
          <w:bCs/>
          <w:sz w:val="24"/>
        </w:rPr>
      </w:pPr>
      <w:r>
        <w:rPr>
          <w:rFonts w:hint="eastAsia" w:ascii="宋体" w:hAnsi="宋体" w:cs="宋体"/>
          <w:bCs/>
          <w:sz w:val="24"/>
        </w:rPr>
        <w:t>1、根据《基金法》、《运作办法》及其他有关规定，基金托管人的权利包括但不限于：</w:t>
      </w:r>
    </w:p>
    <w:p>
      <w:pPr>
        <w:spacing w:line="360" w:lineRule="auto"/>
        <w:ind w:firstLine="480" w:firstLineChars="200"/>
        <w:rPr>
          <w:rFonts w:ascii="宋体" w:hAnsi="宋体" w:cs="宋体"/>
          <w:bCs/>
          <w:sz w:val="24"/>
        </w:rPr>
      </w:pPr>
      <w:r>
        <w:rPr>
          <w:rFonts w:hint="eastAsia" w:ascii="宋体" w:hAnsi="宋体" w:cs="宋体"/>
          <w:bCs/>
          <w:sz w:val="24"/>
        </w:rPr>
        <w:t>（1）自《基金合同》生效之日起，依法律法规和《基金合同》的规定安全保管基金财产；</w:t>
      </w:r>
    </w:p>
    <w:p>
      <w:pPr>
        <w:spacing w:line="360" w:lineRule="auto"/>
        <w:ind w:firstLine="480" w:firstLineChars="200"/>
        <w:rPr>
          <w:rFonts w:ascii="宋体" w:hAnsi="宋体" w:cs="宋体"/>
          <w:bCs/>
          <w:sz w:val="24"/>
        </w:rPr>
      </w:pPr>
      <w:r>
        <w:rPr>
          <w:rFonts w:hint="eastAsia" w:ascii="宋体" w:hAnsi="宋体" w:cs="宋体"/>
          <w:bCs/>
          <w:sz w:val="24"/>
        </w:rPr>
        <w:t>（2）依《基金合同》约定获得基金托管费以及法律法规规定或监管部门批准的其他费用；</w:t>
      </w:r>
    </w:p>
    <w:p>
      <w:pPr>
        <w:spacing w:line="360" w:lineRule="auto"/>
        <w:ind w:firstLine="480" w:firstLineChars="200"/>
        <w:rPr>
          <w:rFonts w:ascii="宋体" w:hAnsi="宋体" w:cs="宋体"/>
          <w:bCs/>
          <w:sz w:val="24"/>
        </w:rPr>
      </w:pPr>
      <w:r>
        <w:rPr>
          <w:rFonts w:hint="eastAsia" w:ascii="宋体" w:hAnsi="宋体" w:cs="宋体"/>
          <w:bCs/>
          <w:sz w:val="24"/>
        </w:rPr>
        <w:t>（3）监督基金管理人对本基金的投资运作，如发现基金管理人有违反《基金合同》及国家法律法规行为，对基金财产、其他当事人的利益造成重大损失的情形，应呈报中国证监会，并采取必要措施保护基金投资者的利益；</w:t>
      </w:r>
    </w:p>
    <w:p>
      <w:pPr>
        <w:spacing w:line="360" w:lineRule="auto"/>
        <w:ind w:firstLine="480" w:firstLineChars="200"/>
        <w:rPr>
          <w:rFonts w:ascii="宋体" w:hAnsi="宋体" w:cs="宋体"/>
          <w:bCs/>
          <w:sz w:val="24"/>
        </w:rPr>
      </w:pPr>
      <w:r>
        <w:rPr>
          <w:rFonts w:hint="eastAsia" w:ascii="宋体" w:hAnsi="宋体" w:cs="宋体"/>
          <w:bCs/>
          <w:sz w:val="24"/>
        </w:rPr>
        <w:t>（4）根据相关市场规则，为基金开设资金账户、证券账户等投资所需账户，为基金办理证券交易资金清算；</w:t>
      </w:r>
    </w:p>
    <w:p>
      <w:pPr>
        <w:spacing w:line="360" w:lineRule="auto"/>
        <w:ind w:firstLine="480" w:firstLineChars="200"/>
        <w:rPr>
          <w:rFonts w:ascii="宋体" w:hAnsi="宋体" w:cs="宋体"/>
          <w:bCs/>
          <w:sz w:val="24"/>
        </w:rPr>
      </w:pPr>
      <w:r>
        <w:rPr>
          <w:rFonts w:hint="eastAsia" w:ascii="宋体" w:hAnsi="宋体" w:cs="宋体"/>
          <w:bCs/>
          <w:sz w:val="24"/>
        </w:rPr>
        <w:t>（5）提议召开或召集基金份额持有人大会；</w:t>
      </w:r>
    </w:p>
    <w:p>
      <w:pPr>
        <w:spacing w:line="360" w:lineRule="auto"/>
        <w:ind w:firstLine="480" w:firstLineChars="200"/>
        <w:rPr>
          <w:rFonts w:ascii="宋体" w:hAnsi="宋体" w:cs="宋体"/>
          <w:bCs/>
          <w:sz w:val="24"/>
        </w:rPr>
      </w:pPr>
      <w:r>
        <w:rPr>
          <w:rFonts w:hint="eastAsia" w:ascii="宋体" w:hAnsi="宋体" w:cs="宋体"/>
          <w:bCs/>
          <w:sz w:val="24"/>
        </w:rPr>
        <w:t>（6）在基金管理人更换时，提名新的基金管理人；</w:t>
      </w:r>
    </w:p>
    <w:p>
      <w:pPr>
        <w:spacing w:line="360" w:lineRule="auto"/>
        <w:ind w:firstLine="480" w:firstLineChars="200"/>
        <w:rPr>
          <w:rFonts w:ascii="宋体" w:hAnsi="宋体" w:cs="宋体"/>
          <w:bCs/>
          <w:sz w:val="24"/>
        </w:rPr>
      </w:pPr>
      <w:r>
        <w:rPr>
          <w:rFonts w:hint="eastAsia" w:ascii="宋体" w:hAnsi="宋体" w:cs="宋体"/>
          <w:bCs/>
          <w:sz w:val="24"/>
        </w:rPr>
        <w:t>（7）法律法规及中国证监会规定的和《基金合同》约定的其他权利。</w:t>
      </w:r>
    </w:p>
    <w:p>
      <w:pPr>
        <w:spacing w:line="360" w:lineRule="auto"/>
        <w:ind w:firstLine="480" w:firstLineChars="200"/>
        <w:rPr>
          <w:rFonts w:ascii="宋体" w:hAnsi="宋体" w:cs="宋体"/>
          <w:bCs/>
          <w:sz w:val="24"/>
        </w:rPr>
      </w:pPr>
      <w:r>
        <w:rPr>
          <w:rFonts w:hint="eastAsia" w:ascii="宋体" w:hAnsi="宋体" w:cs="宋体"/>
          <w:bCs/>
          <w:sz w:val="24"/>
        </w:rPr>
        <w:t>2、根据《基金法》、《运作办法》及其他有关规定，基金托管人的义务包括但不限于：</w:t>
      </w:r>
    </w:p>
    <w:p>
      <w:pPr>
        <w:spacing w:line="360" w:lineRule="auto"/>
        <w:ind w:firstLine="480" w:firstLineChars="200"/>
        <w:rPr>
          <w:rFonts w:ascii="宋体" w:hAnsi="宋体" w:cs="宋体"/>
          <w:bCs/>
          <w:sz w:val="24"/>
        </w:rPr>
      </w:pPr>
      <w:r>
        <w:rPr>
          <w:rFonts w:hint="eastAsia" w:ascii="宋体" w:hAnsi="宋体" w:cs="宋体"/>
          <w:bCs/>
          <w:sz w:val="24"/>
        </w:rPr>
        <w:t>（1）以诚实信用、勤勉尽责的原则持有并安全保管基金财产；</w:t>
      </w:r>
    </w:p>
    <w:p>
      <w:pPr>
        <w:spacing w:line="360" w:lineRule="auto"/>
        <w:ind w:firstLine="480" w:firstLineChars="200"/>
        <w:rPr>
          <w:rFonts w:ascii="宋体" w:hAnsi="宋体" w:cs="宋体"/>
          <w:bCs/>
          <w:sz w:val="24"/>
        </w:rPr>
      </w:pPr>
      <w:r>
        <w:rPr>
          <w:rFonts w:hint="eastAsia" w:ascii="宋体" w:hAnsi="宋体" w:cs="宋体"/>
          <w:bCs/>
          <w:sz w:val="24"/>
        </w:rPr>
        <w:t>（2）设立专门的基金托管部门，具有符合要求的营业场所，配备足够的、合格的熟悉基金托管业务的专职人员，负责基金财产托管事宜；</w:t>
      </w:r>
    </w:p>
    <w:p>
      <w:pPr>
        <w:spacing w:line="360" w:lineRule="auto"/>
        <w:ind w:firstLine="480" w:firstLineChars="200"/>
        <w:rPr>
          <w:rFonts w:ascii="宋体" w:hAnsi="宋体" w:cs="宋体"/>
          <w:bCs/>
          <w:sz w:val="24"/>
        </w:rPr>
      </w:pPr>
      <w:r>
        <w:rPr>
          <w:rFonts w:hint="eastAsia" w:ascii="宋体" w:hAnsi="宋体" w:cs="宋体"/>
          <w:bCs/>
          <w:sz w:val="24"/>
        </w:rPr>
        <w:t>（3）建立健全内部风险控制、监察与稽核、财务管理及人事管理等制度，确保基金财产的安全，保证其托管的基金财产与基金托管人自有财产以及不同的基金财产相互独立；对所托管的不同的基金分别设置账户，独立核算，分账管理，保证不同基金之间在账户设置、资金划拨、账册记录等方面相互独立；</w:t>
      </w:r>
    </w:p>
    <w:p>
      <w:pPr>
        <w:spacing w:line="360" w:lineRule="auto"/>
        <w:ind w:firstLine="480" w:firstLineChars="200"/>
        <w:rPr>
          <w:rFonts w:ascii="宋体" w:hAnsi="宋体" w:cs="宋体"/>
          <w:bCs/>
          <w:sz w:val="24"/>
        </w:rPr>
      </w:pPr>
      <w:r>
        <w:rPr>
          <w:rFonts w:hint="eastAsia" w:ascii="宋体" w:hAnsi="宋体" w:cs="宋体"/>
          <w:bCs/>
          <w:sz w:val="24"/>
        </w:rPr>
        <w:t>（4）除依据《基金法》、《基金合同》及其他有关规定外，不得利用基金财产为自己及任何第三人谋取利益，不得委托第三人托管基金财产；</w:t>
      </w:r>
    </w:p>
    <w:p>
      <w:pPr>
        <w:spacing w:line="360" w:lineRule="auto"/>
        <w:ind w:firstLine="480" w:firstLineChars="200"/>
        <w:rPr>
          <w:rFonts w:ascii="宋体" w:hAnsi="宋体" w:cs="宋体"/>
          <w:bCs/>
          <w:sz w:val="24"/>
        </w:rPr>
      </w:pPr>
      <w:r>
        <w:rPr>
          <w:rFonts w:hint="eastAsia" w:ascii="宋体" w:hAnsi="宋体" w:cs="宋体"/>
          <w:bCs/>
          <w:sz w:val="24"/>
        </w:rPr>
        <w:t>（5）保管由基金管理人代表基金签订的与基金有关的重大合同及有关凭证；</w:t>
      </w:r>
    </w:p>
    <w:p>
      <w:pPr>
        <w:spacing w:line="360" w:lineRule="auto"/>
        <w:ind w:firstLine="480" w:firstLineChars="200"/>
        <w:rPr>
          <w:rFonts w:ascii="宋体" w:hAnsi="宋体" w:cs="宋体"/>
          <w:bCs/>
          <w:sz w:val="24"/>
        </w:rPr>
      </w:pPr>
      <w:r>
        <w:rPr>
          <w:rFonts w:hint="eastAsia" w:ascii="宋体" w:hAnsi="宋体" w:cs="宋体"/>
          <w:bCs/>
          <w:sz w:val="24"/>
        </w:rPr>
        <w:t>（6）按规定开设基金财产的资金账户和证券账户等投资所需账户,按照《基金合同》的约定，根据基金管理人的投资指令，及时办理清算、交割事宜；</w:t>
      </w:r>
    </w:p>
    <w:p>
      <w:pPr>
        <w:spacing w:line="360" w:lineRule="auto"/>
        <w:ind w:firstLine="480" w:firstLineChars="200"/>
        <w:rPr>
          <w:rFonts w:ascii="宋体" w:hAnsi="宋体" w:cs="宋体"/>
          <w:bCs/>
          <w:sz w:val="24"/>
        </w:rPr>
      </w:pPr>
      <w:r>
        <w:rPr>
          <w:rFonts w:hint="eastAsia" w:ascii="宋体" w:hAnsi="宋体" w:cs="宋体"/>
          <w:bCs/>
          <w:sz w:val="24"/>
        </w:rPr>
        <w:t>（7）保守基金商业秘密，除《基金法》、《基金合同》及其他有关规定另有规定外，在基金信息公开披露前予以保密，不得向他人泄露，但向监管机构、司法机关等有权机关或基金托管人上市的证券交易所提供或向审计、法律等外部专业顾问提供的除外；</w:t>
      </w:r>
    </w:p>
    <w:p>
      <w:pPr>
        <w:spacing w:line="360" w:lineRule="auto"/>
        <w:ind w:firstLine="480" w:firstLineChars="200"/>
        <w:rPr>
          <w:rFonts w:ascii="宋体" w:hAnsi="宋体" w:cs="宋体"/>
          <w:bCs/>
          <w:sz w:val="24"/>
        </w:rPr>
      </w:pPr>
      <w:r>
        <w:rPr>
          <w:rFonts w:hint="eastAsia" w:ascii="宋体" w:hAnsi="宋体" w:cs="宋体"/>
          <w:bCs/>
          <w:sz w:val="24"/>
        </w:rPr>
        <w:t>（8）复核、审查基金管理人计算的基金资产净值、基金份额净值；</w:t>
      </w:r>
    </w:p>
    <w:p>
      <w:pPr>
        <w:spacing w:line="360" w:lineRule="auto"/>
        <w:ind w:firstLine="480" w:firstLineChars="200"/>
        <w:rPr>
          <w:rFonts w:ascii="宋体" w:hAnsi="宋体" w:cs="宋体"/>
          <w:bCs/>
          <w:sz w:val="24"/>
        </w:rPr>
      </w:pPr>
      <w:r>
        <w:rPr>
          <w:rFonts w:hint="eastAsia" w:ascii="宋体" w:hAnsi="宋体" w:cs="宋体"/>
          <w:bCs/>
          <w:sz w:val="24"/>
        </w:rPr>
        <w:t>（9）办理与基金托管业务活动有关的信息披露事项；</w:t>
      </w:r>
    </w:p>
    <w:p>
      <w:pPr>
        <w:spacing w:line="360" w:lineRule="auto"/>
        <w:ind w:firstLine="480" w:firstLineChars="200"/>
        <w:rPr>
          <w:rFonts w:ascii="宋体" w:hAnsi="宋体" w:cs="宋体"/>
          <w:bCs/>
          <w:sz w:val="24"/>
        </w:rPr>
      </w:pPr>
      <w:r>
        <w:rPr>
          <w:rFonts w:hint="eastAsia" w:ascii="宋体" w:hAnsi="宋体" w:cs="宋体"/>
          <w:bCs/>
          <w:sz w:val="24"/>
        </w:rPr>
        <w:t>（10）对基金财务会计报告、季度报告、中期报告和年度基金报告出具意见，说明基金管理人在各重要方面的运作是否严格按照《基金合同》的规定进行；如果基金管理人有未执行《基金合同》规定的行为，还应当说明基金托管人是否采取了适当的措施；</w:t>
      </w:r>
    </w:p>
    <w:p>
      <w:pPr>
        <w:spacing w:line="360" w:lineRule="auto"/>
        <w:ind w:firstLine="480" w:firstLineChars="200"/>
        <w:rPr>
          <w:rFonts w:ascii="宋体" w:hAnsi="宋体" w:cs="宋体"/>
          <w:bCs/>
          <w:sz w:val="24"/>
        </w:rPr>
      </w:pPr>
      <w:r>
        <w:rPr>
          <w:rFonts w:hint="eastAsia" w:ascii="宋体" w:hAnsi="宋体" w:cs="宋体"/>
          <w:bCs/>
          <w:sz w:val="24"/>
        </w:rPr>
        <w:t>（11）保存基金托管业务活动的记录、账册、报表和其他相关资料，保存期限不低于法律法规规定的最低期限；</w:t>
      </w:r>
    </w:p>
    <w:p>
      <w:pPr>
        <w:spacing w:line="360" w:lineRule="auto"/>
        <w:ind w:firstLine="480" w:firstLineChars="200"/>
        <w:rPr>
          <w:rFonts w:ascii="宋体" w:hAnsi="宋体" w:cs="宋体"/>
          <w:bCs/>
          <w:sz w:val="24"/>
        </w:rPr>
      </w:pPr>
      <w:r>
        <w:rPr>
          <w:rFonts w:hint="eastAsia" w:ascii="宋体" w:hAnsi="宋体" w:cs="宋体"/>
          <w:bCs/>
          <w:sz w:val="24"/>
        </w:rPr>
        <w:t>（12）保存基金份额持有人名册；</w:t>
      </w:r>
    </w:p>
    <w:p>
      <w:pPr>
        <w:spacing w:line="360" w:lineRule="auto"/>
        <w:ind w:firstLine="480" w:firstLineChars="200"/>
        <w:rPr>
          <w:rFonts w:ascii="宋体" w:hAnsi="宋体" w:cs="宋体"/>
          <w:bCs/>
          <w:sz w:val="24"/>
        </w:rPr>
      </w:pPr>
      <w:r>
        <w:rPr>
          <w:rFonts w:hint="eastAsia" w:ascii="宋体" w:hAnsi="宋体" w:cs="宋体"/>
          <w:bCs/>
          <w:sz w:val="24"/>
        </w:rPr>
        <w:t>（13）按规定制作相关账册并与基金管理人核对；</w:t>
      </w:r>
    </w:p>
    <w:p>
      <w:pPr>
        <w:spacing w:line="360" w:lineRule="auto"/>
        <w:ind w:firstLine="480" w:firstLineChars="200"/>
        <w:rPr>
          <w:rFonts w:ascii="宋体" w:hAnsi="宋体" w:cs="宋体"/>
          <w:bCs/>
          <w:sz w:val="24"/>
        </w:rPr>
      </w:pPr>
      <w:r>
        <w:rPr>
          <w:rFonts w:hint="eastAsia" w:ascii="宋体" w:hAnsi="宋体" w:cs="宋体"/>
          <w:bCs/>
          <w:sz w:val="24"/>
        </w:rPr>
        <w:t>（14）依据基金管理人的指令或有关规定向基金份额持有人支付基金收益和赎回款项；</w:t>
      </w:r>
    </w:p>
    <w:p>
      <w:pPr>
        <w:spacing w:line="360" w:lineRule="auto"/>
        <w:ind w:firstLine="480" w:firstLineChars="200"/>
        <w:rPr>
          <w:rFonts w:ascii="宋体" w:hAnsi="宋体" w:cs="宋体"/>
          <w:bCs/>
          <w:sz w:val="24"/>
        </w:rPr>
      </w:pPr>
      <w:r>
        <w:rPr>
          <w:rFonts w:hint="eastAsia" w:ascii="宋体" w:hAnsi="宋体" w:cs="宋体"/>
          <w:bCs/>
          <w:sz w:val="24"/>
        </w:rPr>
        <w:t>（15）依据《基金法》、《基金合同》及其他有关规定，召集基金份额持有人大会或配合基金管理人、基金份额持有人依法召集基金份额持有人大会；</w:t>
      </w:r>
    </w:p>
    <w:p>
      <w:pPr>
        <w:spacing w:line="360" w:lineRule="auto"/>
        <w:ind w:firstLine="480" w:firstLineChars="200"/>
        <w:rPr>
          <w:rFonts w:ascii="宋体" w:hAnsi="宋体" w:cs="宋体"/>
          <w:bCs/>
          <w:sz w:val="24"/>
        </w:rPr>
      </w:pPr>
      <w:r>
        <w:rPr>
          <w:rFonts w:hint="eastAsia" w:ascii="宋体" w:hAnsi="宋体" w:cs="宋体"/>
          <w:bCs/>
          <w:sz w:val="24"/>
        </w:rPr>
        <w:t>（16）按照法律法规和《基金合同》的规定监督基金管理人的投资运作；</w:t>
      </w:r>
    </w:p>
    <w:p>
      <w:pPr>
        <w:spacing w:line="360" w:lineRule="auto"/>
        <w:ind w:firstLine="480" w:firstLineChars="200"/>
        <w:rPr>
          <w:rFonts w:ascii="宋体" w:hAnsi="宋体" w:cs="宋体"/>
          <w:bCs/>
          <w:sz w:val="24"/>
        </w:rPr>
      </w:pPr>
      <w:r>
        <w:rPr>
          <w:rFonts w:hint="eastAsia" w:ascii="宋体" w:hAnsi="宋体" w:cs="宋体"/>
          <w:bCs/>
          <w:sz w:val="24"/>
        </w:rPr>
        <w:t>（17）参加基金财产清算小组，参与基金财产的保管、清理、估价、变现和分配；</w:t>
      </w:r>
    </w:p>
    <w:p>
      <w:pPr>
        <w:spacing w:line="360" w:lineRule="auto"/>
        <w:ind w:firstLine="480" w:firstLineChars="200"/>
        <w:rPr>
          <w:rFonts w:ascii="宋体" w:hAnsi="宋体" w:cs="宋体"/>
          <w:bCs/>
          <w:sz w:val="24"/>
        </w:rPr>
      </w:pPr>
      <w:r>
        <w:rPr>
          <w:rFonts w:hint="eastAsia" w:ascii="宋体" w:hAnsi="宋体" w:cs="宋体"/>
          <w:bCs/>
          <w:sz w:val="24"/>
        </w:rPr>
        <w:t>（18）面临解散、依法被撤销或者被依法宣告破产时，及时报告中国证监会和银行监管机构，并通知基金管理人；</w:t>
      </w:r>
    </w:p>
    <w:p>
      <w:pPr>
        <w:spacing w:line="360" w:lineRule="auto"/>
        <w:ind w:firstLine="480" w:firstLineChars="200"/>
        <w:rPr>
          <w:rFonts w:ascii="宋体" w:hAnsi="宋体" w:cs="宋体"/>
          <w:bCs/>
          <w:sz w:val="24"/>
        </w:rPr>
      </w:pPr>
      <w:r>
        <w:rPr>
          <w:rFonts w:hint="eastAsia" w:ascii="宋体" w:hAnsi="宋体" w:cs="宋体"/>
          <w:bCs/>
          <w:sz w:val="24"/>
        </w:rPr>
        <w:t>（19）因违反《基金合同》导致基金财产损失时，应承担赔偿责任，其赔偿责任不因其退任而免除；</w:t>
      </w:r>
    </w:p>
    <w:p>
      <w:pPr>
        <w:spacing w:line="360" w:lineRule="auto"/>
        <w:ind w:firstLine="480" w:firstLineChars="200"/>
        <w:rPr>
          <w:rFonts w:ascii="宋体" w:hAnsi="宋体" w:cs="宋体"/>
          <w:bCs/>
          <w:sz w:val="24"/>
        </w:rPr>
      </w:pPr>
      <w:r>
        <w:rPr>
          <w:rFonts w:hint="eastAsia" w:ascii="宋体" w:hAnsi="宋体" w:cs="宋体"/>
          <w:bCs/>
          <w:sz w:val="24"/>
        </w:rPr>
        <w:t>（20）按规定监督基金管理人按法律法规和《基金合同》规定履行自己的义务，基金管理人因违反《基金合同》造成基金财产损失时，应为基金份额持有人利益向基金管理人追偿；</w:t>
      </w:r>
    </w:p>
    <w:p>
      <w:pPr>
        <w:spacing w:line="360" w:lineRule="auto"/>
        <w:ind w:firstLine="480" w:firstLineChars="200"/>
        <w:rPr>
          <w:rFonts w:ascii="宋体" w:hAnsi="宋体" w:cs="宋体"/>
          <w:bCs/>
          <w:sz w:val="24"/>
        </w:rPr>
      </w:pPr>
      <w:r>
        <w:rPr>
          <w:rFonts w:hint="eastAsia" w:ascii="宋体" w:hAnsi="宋体" w:cs="宋体"/>
          <w:bCs/>
          <w:sz w:val="24"/>
        </w:rPr>
        <w:t>（21）执行生效的基金份额持有人大会的决议；</w:t>
      </w:r>
    </w:p>
    <w:p>
      <w:pPr>
        <w:spacing w:line="360" w:lineRule="auto"/>
        <w:ind w:firstLine="480" w:firstLineChars="200"/>
        <w:rPr>
          <w:rFonts w:ascii="宋体" w:hAnsi="宋体" w:cs="宋体"/>
          <w:bCs/>
          <w:sz w:val="24"/>
        </w:rPr>
      </w:pPr>
      <w:r>
        <w:rPr>
          <w:rFonts w:hint="eastAsia" w:ascii="宋体" w:hAnsi="宋体" w:cs="宋体"/>
          <w:bCs/>
          <w:sz w:val="24"/>
        </w:rPr>
        <w:t>（22）法律法规及中国证监会规定的和《基金合同》约定的其他义务。</w:t>
      </w:r>
    </w:p>
    <w:p>
      <w:pPr>
        <w:spacing w:line="360" w:lineRule="auto"/>
        <w:rPr>
          <w:rFonts w:ascii="宋体" w:hAnsi="宋体" w:cs="宋体"/>
          <w:sz w:val="24"/>
        </w:rPr>
      </w:pPr>
    </w:p>
    <w:p>
      <w:pPr>
        <w:spacing w:line="360" w:lineRule="auto"/>
        <w:rPr>
          <w:rFonts w:ascii="宋体" w:hAnsi="宋体" w:cs="宋体"/>
          <w:b/>
          <w:sz w:val="24"/>
          <w:szCs w:val="24"/>
        </w:rPr>
      </w:pPr>
      <w:r>
        <w:rPr>
          <w:rFonts w:hint="eastAsia" w:ascii="宋体" w:hAnsi="宋体" w:cs="宋体"/>
          <w:b/>
          <w:sz w:val="28"/>
          <w:szCs w:val="24"/>
        </w:rPr>
        <w:t>二、基金份额持有人大会召集、议事及表决的程序和规则</w:t>
      </w:r>
    </w:p>
    <w:p>
      <w:pPr>
        <w:spacing w:line="360" w:lineRule="auto"/>
        <w:ind w:firstLine="480" w:firstLineChars="200"/>
        <w:rPr>
          <w:rFonts w:ascii="宋体" w:hAnsi="宋体" w:cs="宋体"/>
          <w:bCs/>
          <w:sz w:val="24"/>
        </w:rPr>
      </w:pPr>
      <w:r>
        <w:rPr>
          <w:rFonts w:hint="eastAsia" w:ascii="宋体" w:hAnsi="宋体" w:cs="宋体"/>
          <w:bCs/>
          <w:sz w:val="24"/>
        </w:rPr>
        <w:t>基金份额持有人大会由基金份额持有人组成，基金份额持有人的合法授权代表有权代表基金份额持有人出席会议并表决。</w:t>
      </w:r>
      <w:r>
        <w:rPr>
          <w:rFonts w:hint="eastAsia" w:ascii="宋体" w:hAnsi="宋体" w:cs="宋体"/>
          <w:sz w:val="24"/>
        </w:rPr>
        <w:t>除法律法规另有规定或基金合同另有约定外，</w:t>
      </w:r>
      <w:r>
        <w:rPr>
          <w:rFonts w:hint="eastAsia" w:ascii="宋体" w:hAnsi="宋体" w:cs="宋体"/>
          <w:bCs/>
          <w:sz w:val="24"/>
        </w:rPr>
        <w:t>基金份额持有人持有的每一基金份额拥有平等的投票权。</w:t>
      </w:r>
    </w:p>
    <w:p>
      <w:pPr>
        <w:spacing w:line="360" w:lineRule="auto"/>
        <w:ind w:firstLine="480" w:firstLineChars="200"/>
        <w:rPr>
          <w:rFonts w:ascii="宋体" w:hAnsi="宋体" w:cs="宋体"/>
          <w:bCs/>
          <w:sz w:val="24"/>
        </w:rPr>
      </w:pPr>
      <w:r>
        <w:rPr>
          <w:rFonts w:hint="eastAsia" w:ascii="宋体" w:hAnsi="宋体" w:cs="宋体"/>
          <w:bCs/>
          <w:sz w:val="24"/>
        </w:rPr>
        <w:t>本基金份额持有人大会不设日常机构，若未来本基金份额持有人大会成立日常机构，则按照届时有效的法律法规的规定执行。</w:t>
      </w:r>
    </w:p>
    <w:p>
      <w:pPr>
        <w:spacing w:line="360" w:lineRule="auto"/>
        <w:ind w:firstLine="480" w:firstLineChars="200"/>
        <w:rPr>
          <w:rFonts w:ascii="宋体" w:hAnsi="宋体" w:cs="宋体"/>
          <w:sz w:val="24"/>
        </w:rPr>
      </w:pPr>
      <w:r>
        <w:rPr>
          <w:rFonts w:hint="eastAsia" w:ascii="宋体" w:hAnsi="宋体" w:cs="宋体"/>
          <w:sz w:val="24"/>
        </w:rPr>
        <w:t>（一）召开事由</w:t>
      </w:r>
    </w:p>
    <w:p>
      <w:pPr>
        <w:spacing w:line="360" w:lineRule="auto"/>
        <w:ind w:firstLine="480" w:firstLineChars="200"/>
        <w:rPr>
          <w:rFonts w:ascii="宋体" w:hAnsi="宋体" w:cs="宋体"/>
          <w:bCs/>
          <w:sz w:val="24"/>
        </w:rPr>
      </w:pPr>
      <w:r>
        <w:rPr>
          <w:rFonts w:hint="eastAsia" w:ascii="宋体" w:hAnsi="宋体" w:cs="宋体"/>
          <w:bCs/>
          <w:sz w:val="24"/>
        </w:rPr>
        <w:t>1、除法律法规、中国证监会和基金合同另有规定外，当出现或需要决定下列事由之一的，应当召开基金份额持有人大会：</w:t>
      </w:r>
    </w:p>
    <w:p>
      <w:pPr>
        <w:spacing w:line="440" w:lineRule="atLeast"/>
        <w:ind w:firstLine="480" w:firstLineChars="200"/>
        <w:rPr>
          <w:rFonts w:ascii="宋体" w:hAnsi="宋体" w:cs="宋体"/>
          <w:bCs/>
          <w:sz w:val="24"/>
        </w:rPr>
      </w:pPr>
      <w:r>
        <w:rPr>
          <w:rFonts w:hint="eastAsia" w:ascii="宋体" w:hAnsi="宋体" w:cs="宋体"/>
          <w:bCs/>
          <w:sz w:val="24"/>
        </w:rPr>
        <w:t xml:space="preserve">（1）提前终止《基金合同》； </w:t>
      </w:r>
    </w:p>
    <w:p>
      <w:pPr>
        <w:spacing w:line="440" w:lineRule="atLeast"/>
        <w:ind w:firstLine="480" w:firstLineChars="200"/>
        <w:rPr>
          <w:rFonts w:ascii="宋体" w:hAnsi="宋体" w:cs="宋体"/>
          <w:bCs/>
          <w:sz w:val="24"/>
        </w:rPr>
      </w:pPr>
      <w:r>
        <w:rPr>
          <w:rFonts w:hint="eastAsia" w:ascii="宋体" w:hAnsi="宋体" w:cs="宋体"/>
          <w:bCs/>
          <w:sz w:val="24"/>
        </w:rPr>
        <w:t>（2）更换基金管理人；</w:t>
      </w:r>
    </w:p>
    <w:p>
      <w:pPr>
        <w:spacing w:line="440" w:lineRule="atLeast"/>
        <w:ind w:firstLine="480" w:firstLineChars="200"/>
        <w:rPr>
          <w:rFonts w:ascii="宋体" w:hAnsi="宋体" w:cs="宋体"/>
          <w:bCs/>
          <w:sz w:val="24"/>
        </w:rPr>
      </w:pPr>
      <w:r>
        <w:rPr>
          <w:rFonts w:hint="eastAsia" w:ascii="宋体" w:hAnsi="宋体" w:cs="宋体"/>
          <w:bCs/>
          <w:sz w:val="24"/>
        </w:rPr>
        <w:t>（3）更换基金托管人；</w:t>
      </w:r>
    </w:p>
    <w:p>
      <w:pPr>
        <w:spacing w:line="440" w:lineRule="atLeast"/>
        <w:ind w:firstLine="480" w:firstLineChars="200"/>
        <w:rPr>
          <w:rFonts w:ascii="宋体" w:hAnsi="宋体" w:cs="宋体"/>
          <w:bCs/>
          <w:sz w:val="24"/>
        </w:rPr>
      </w:pPr>
      <w:r>
        <w:rPr>
          <w:rFonts w:hint="eastAsia" w:ascii="宋体" w:hAnsi="宋体" w:cs="宋体"/>
          <w:bCs/>
          <w:sz w:val="24"/>
        </w:rPr>
        <w:t>（4）转换基金运作方式；</w:t>
      </w:r>
    </w:p>
    <w:p>
      <w:pPr>
        <w:spacing w:line="440" w:lineRule="atLeast"/>
        <w:ind w:firstLine="480" w:firstLineChars="200"/>
        <w:rPr>
          <w:rFonts w:ascii="宋体" w:hAnsi="宋体" w:cs="宋体"/>
          <w:bCs/>
          <w:sz w:val="24"/>
        </w:rPr>
      </w:pPr>
      <w:r>
        <w:rPr>
          <w:rFonts w:hint="eastAsia" w:ascii="宋体" w:hAnsi="宋体" w:cs="宋体"/>
          <w:bCs/>
          <w:sz w:val="24"/>
        </w:rPr>
        <w:t>（5）调整基金管理人、基金托管人的报酬标准；</w:t>
      </w:r>
    </w:p>
    <w:p>
      <w:pPr>
        <w:spacing w:line="440" w:lineRule="atLeast"/>
        <w:ind w:firstLine="480" w:firstLineChars="200"/>
        <w:rPr>
          <w:rFonts w:ascii="宋体" w:hAnsi="宋体" w:cs="宋体"/>
          <w:bCs/>
          <w:sz w:val="24"/>
        </w:rPr>
      </w:pPr>
      <w:r>
        <w:rPr>
          <w:rFonts w:hint="eastAsia" w:ascii="宋体" w:hAnsi="宋体" w:cs="宋体"/>
          <w:bCs/>
          <w:sz w:val="24"/>
        </w:rPr>
        <w:t>（6）变更基金类别；</w:t>
      </w:r>
    </w:p>
    <w:p>
      <w:pPr>
        <w:spacing w:line="440" w:lineRule="atLeast"/>
        <w:ind w:firstLine="480" w:firstLineChars="200"/>
        <w:rPr>
          <w:rFonts w:ascii="宋体" w:hAnsi="宋体" w:cs="宋体"/>
          <w:bCs/>
          <w:sz w:val="24"/>
        </w:rPr>
      </w:pPr>
      <w:r>
        <w:rPr>
          <w:rFonts w:hint="eastAsia" w:ascii="宋体" w:hAnsi="宋体" w:cs="宋体"/>
          <w:bCs/>
          <w:sz w:val="24"/>
        </w:rPr>
        <w:t>（7）本基金与其他基金的合并；</w:t>
      </w:r>
    </w:p>
    <w:p>
      <w:pPr>
        <w:spacing w:line="440" w:lineRule="atLeast"/>
        <w:ind w:firstLine="480" w:firstLineChars="200"/>
        <w:rPr>
          <w:rFonts w:ascii="宋体" w:hAnsi="宋体" w:cs="宋体"/>
          <w:bCs/>
          <w:sz w:val="24"/>
        </w:rPr>
      </w:pPr>
      <w:r>
        <w:rPr>
          <w:rFonts w:hint="eastAsia" w:ascii="宋体" w:hAnsi="宋体" w:cs="宋体"/>
          <w:bCs/>
          <w:sz w:val="24"/>
        </w:rPr>
        <w:t>（8）变更基金投资目标、范围或策略；</w:t>
      </w:r>
    </w:p>
    <w:p>
      <w:pPr>
        <w:spacing w:line="440" w:lineRule="atLeast"/>
        <w:ind w:firstLine="480" w:firstLineChars="200"/>
        <w:rPr>
          <w:rFonts w:ascii="宋体" w:hAnsi="宋体" w:cs="宋体"/>
          <w:bCs/>
          <w:sz w:val="24"/>
        </w:rPr>
      </w:pPr>
      <w:r>
        <w:rPr>
          <w:rFonts w:hint="eastAsia" w:ascii="宋体" w:hAnsi="宋体" w:cs="宋体"/>
          <w:bCs/>
          <w:sz w:val="24"/>
        </w:rPr>
        <w:t>（9）变更基金份额持有人大会程序；</w:t>
      </w:r>
    </w:p>
    <w:p>
      <w:pPr>
        <w:spacing w:line="440" w:lineRule="atLeast"/>
        <w:ind w:firstLine="480" w:firstLineChars="200"/>
        <w:rPr>
          <w:rFonts w:ascii="宋体" w:hAnsi="宋体" w:cs="宋体"/>
          <w:bCs/>
          <w:sz w:val="24"/>
        </w:rPr>
      </w:pPr>
      <w:r>
        <w:rPr>
          <w:rFonts w:hint="eastAsia" w:ascii="宋体" w:hAnsi="宋体" w:cs="宋体"/>
          <w:bCs/>
          <w:sz w:val="24"/>
        </w:rPr>
        <w:t>（10）基金管理人或基金托管人要求召开基金份额持有人大会；</w:t>
      </w:r>
    </w:p>
    <w:p>
      <w:pPr>
        <w:spacing w:line="440" w:lineRule="atLeast"/>
        <w:ind w:firstLine="480" w:firstLineChars="200"/>
        <w:rPr>
          <w:rFonts w:ascii="宋体" w:hAnsi="宋体" w:cs="宋体"/>
          <w:bCs/>
          <w:sz w:val="24"/>
        </w:rPr>
      </w:pPr>
      <w:r>
        <w:rPr>
          <w:rFonts w:hint="eastAsia" w:ascii="宋体" w:hAnsi="宋体" w:cs="宋体"/>
          <w:bCs/>
          <w:sz w:val="24"/>
        </w:rPr>
        <w:t>（11）单独或合计持有本基金总份额10%以上（含10%）基金份额的基金份额持有人（以基金管理人收到提议当日的基金份额计算，下同）就同一事项书面要求召开基金份额持有人大会；</w:t>
      </w:r>
    </w:p>
    <w:p>
      <w:pPr>
        <w:spacing w:line="440" w:lineRule="atLeast"/>
        <w:ind w:firstLine="480" w:firstLineChars="200"/>
        <w:rPr>
          <w:rFonts w:ascii="宋体" w:hAnsi="宋体" w:cs="宋体"/>
          <w:bCs/>
          <w:sz w:val="24"/>
        </w:rPr>
      </w:pPr>
      <w:r>
        <w:rPr>
          <w:rFonts w:hint="eastAsia" w:ascii="宋体" w:hAnsi="宋体" w:cs="宋体"/>
          <w:bCs/>
          <w:sz w:val="24"/>
        </w:rPr>
        <w:t>（12）对基金合同当事人权利和义务产生重大影响的其他事项；</w:t>
      </w:r>
    </w:p>
    <w:p>
      <w:pPr>
        <w:spacing w:line="440" w:lineRule="atLeast"/>
        <w:ind w:firstLine="480" w:firstLineChars="200"/>
        <w:rPr>
          <w:rFonts w:ascii="宋体" w:hAnsi="宋体" w:cs="宋体"/>
          <w:bCs/>
          <w:sz w:val="24"/>
        </w:rPr>
      </w:pPr>
      <w:r>
        <w:rPr>
          <w:rFonts w:hint="eastAsia" w:ascii="宋体" w:hAnsi="宋体" w:cs="宋体"/>
          <w:bCs/>
          <w:sz w:val="24"/>
        </w:rPr>
        <w:t>（13）法律法规、《基金合同》或中国证监会规定的其他应当召开基金份额持有人大会的事项。</w:t>
      </w:r>
    </w:p>
    <w:p>
      <w:pPr>
        <w:spacing w:line="360" w:lineRule="auto"/>
        <w:ind w:firstLine="480" w:firstLineChars="200"/>
        <w:rPr>
          <w:rFonts w:ascii="宋体" w:hAnsi="宋体" w:cs="宋体"/>
          <w:bCs/>
          <w:sz w:val="24"/>
        </w:rPr>
      </w:pPr>
      <w:r>
        <w:rPr>
          <w:rFonts w:hint="eastAsia" w:ascii="宋体" w:hAnsi="宋体" w:cs="宋体"/>
          <w:bCs/>
          <w:sz w:val="24"/>
        </w:rPr>
        <w:t>2、在法律法规规定和《基金合同》约定的范围内且对基金份额持有人利益无实质性不利影响的前提下，以下情况可由基金管理人和基金托管人协商后修改，不需召开基金份额持有人大会：</w:t>
      </w:r>
    </w:p>
    <w:p>
      <w:pPr>
        <w:spacing w:line="360" w:lineRule="auto"/>
        <w:ind w:firstLine="480" w:firstLineChars="200"/>
        <w:rPr>
          <w:rFonts w:ascii="宋体" w:hAnsi="宋体" w:cs="宋体"/>
          <w:bCs/>
          <w:sz w:val="24"/>
        </w:rPr>
      </w:pPr>
      <w:r>
        <w:rPr>
          <w:rFonts w:hint="eastAsia" w:ascii="宋体" w:hAnsi="宋体" w:cs="宋体"/>
          <w:bCs/>
          <w:sz w:val="24"/>
        </w:rPr>
        <w:t>（1）法律法规要求增加的基金费用的收取；</w:t>
      </w:r>
    </w:p>
    <w:p>
      <w:pPr>
        <w:spacing w:line="360" w:lineRule="auto"/>
        <w:ind w:firstLine="480" w:firstLineChars="200"/>
        <w:rPr>
          <w:rFonts w:ascii="宋体" w:hAnsi="宋体" w:cs="宋体"/>
          <w:bCs/>
          <w:sz w:val="24"/>
        </w:rPr>
      </w:pPr>
      <w:r>
        <w:rPr>
          <w:rFonts w:hint="eastAsia" w:ascii="宋体" w:hAnsi="宋体" w:cs="宋体"/>
          <w:bCs/>
          <w:sz w:val="24"/>
        </w:rPr>
        <w:t>（2）在法律法规和《基金合同》规定的范围内变更收费方式；</w:t>
      </w:r>
    </w:p>
    <w:p>
      <w:pPr>
        <w:spacing w:line="360" w:lineRule="auto"/>
        <w:ind w:firstLine="480" w:firstLineChars="200"/>
        <w:rPr>
          <w:rFonts w:ascii="宋体" w:hAnsi="宋体" w:cs="宋体"/>
          <w:bCs/>
          <w:sz w:val="24"/>
        </w:rPr>
      </w:pPr>
      <w:r>
        <w:rPr>
          <w:rFonts w:hint="eastAsia" w:ascii="宋体" w:hAnsi="宋体" w:cs="宋体"/>
          <w:bCs/>
          <w:sz w:val="24"/>
        </w:rPr>
        <w:t>（3）增加、减少或调整基金份额类别设置或者调整基金份额分类办法及规则等；</w:t>
      </w:r>
    </w:p>
    <w:p>
      <w:pPr>
        <w:spacing w:line="360" w:lineRule="auto"/>
        <w:ind w:firstLine="480" w:firstLineChars="200"/>
        <w:rPr>
          <w:rFonts w:ascii="宋体" w:hAnsi="宋体" w:cs="宋体"/>
          <w:bCs/>
          <w:sz w:val="24"/>
        </w:rPr>
      </w:pPr>
      <w:r>
        <w:rPr>
          <w:rFonts w:hint="eastAsia" w:ascii="宋体" w:hAnsi="宋体" w:cs="宋体"/>
          <w:bCs/>
          <w:sz w:val="24"/>
        </w:rPr>
        <w:t>（4）因相应的法律法规发生变动而应当对《基金合同》进行修改；</w:t>
      </w:r>
    </w:p>
    <w:p>
      <w:pPr>
        <w:spacing w:line="360" w:lineRule="auto"/>
        <w:ind w:firstLine="480" w:firstLineChars="200"/>
        <w:rPr>
          <w:rFonts w:ascii="宋体" w:hAnsi="宋体" w:cs="宋体"/>
          <w:bCs/>
          <w:sz w:val="24"/>
        </w:rPr>
      </w:pPr>
      <w:r>
        <w:rPr>
          <w:rFonts w:hint="eastAsia" w:ascii="宋体" w:hAnsi="宋体" w:cs="宋体"/>
          <w:bCs/>
          <w:sz w:val="24"/>
        </w:rPr>
        <w:t>（5）对《基金合同》的修改对基金份额持有人利益无实质性不利影响或修改不涉及《基金合同》当事人权利义务关系发生重大变化；</w:t>
      </w:r>
    </w:p>
    <w:p>
      <w:pPr>
        <w:spacing w:line="360" w:lineRule="auto"/>
        <w:ind w:firstLine="480" w:firstLineChars="200"/>
        <w:rPr>
          <w:rFonts w:ascii="宋体" w:hAnsi="宋体" w:cs="宋体"/>
          <w:bCs/>
          <w:sz w:val="24"/>
        </w:rPr>
      </w:pPr>
      <w:r>
        <w:rPr>
          <w:rFonts w:hint="eastAsia" w:ascii="宋体" w:hAnsi="宋体" w:cs="宋体"/>
          <w:bCs/>
          <w:sz w:val="24"/>
        </w:rPr>
        <w:t>（6）基金管理人、基金登记机构、基金销售机构在法律法规规定或者中国证监会许可的范围内调整有关认购、非交易过户、转托管、基金份额转让、质押等业务规则；</w:t>
      </w:r>
    </w:p>
    <w:p>
      <w:pPr>
        <w:spacing w:line="360" w:lineRule="auto"/>
        <w:ind w:firstLine="480" w:firstLineChars="200"/>
        <w:rPr>
          <w:rFonts w:ascii="宋体" w:hAnsi="宋体" w:cs="宋体"/>
          <w:bCs/>
          <w:sz w:val="24"/>
        </w:rPr>
      </w:pPr>
      <w:r>
        <w:rPr>
          <w:rFonts w:hint="eastAsia" w:ascii="宋体" w:hAnsi="宋体" w:cs="宋体"/>
          <w:bCs/>
          <w:sz w:val="24"/>
        </w:rPr>
        <w:t>（7）基金管理人在履行适当程序后，基金推出新业务或服务；</w:t>
      </w:r>
    </w:p>
    <w:p>
      <w:pPr>
        <w:spacing w:line="360" w:lineRule="auto"/>
        <w:ind w:firstLine="480" w:firstLineChars="200"/>
        <w:rPr>
          <w:rFonts w:ascii="宋体" w:hAnsi="宋体" w:cs="宋体"/>
          <w:sz w:val="24"/>
        </w:rPr>
      </w:pPr>
      <w:r>
        <w:rPr>
          <w:rFonts w:hint="eastAsia" w:ascii="宋体" w:hAnsi="宋体" w:cs="宋体"/>
          <w:bCs/>
          <w:sz w:val="24"/>
        </w:rPr>
        <w:t>（8）按照法律法规和《基金合同》规定不需召开基金份额持有人大会的其他情形。</w:t>
      </w:r>
    </w:p>
    <w:p>
      <w:pPr>
        <w:spacing w:line="360" w:lineRule="auto"/>
        <w:ind w:firstLine="480" w:firstLineChars="200"/>
        <w:rPr>
          <w:rFonts w:ascii="宋体" w:hAnsi="宋体" w:cs="宋体"/>
          <w:sz w:val="24"/>
        </w:rPr>
      </w:pPr>
      <w:r>
        <w:rPr>
          <w:rFonts w:hint="eastAsia" w:ascii="宋体" w:hAnsi="宋体" w:cs="宋体"/>
          <w:sz w:val="24"/>
        </w:rPr>
        <w:t>（二）会议召集人及召集方式</w:t>
      </w:r>
    </w:p>
    <w:p>
      <w:pPr>
        <w:spacing w:line="360" w:lineRule="auto"/>
        <w:ind w:firstLine="480" w:firstLineChars="200"/>
        <w:rPr>
          <w:rFonts w:ascii="宋体" w:hAnsi="宋体" w:cs="宋体"/>
          <w:bCs/>
          <w:sz w:val="24"/>
        </w:rPr>
      </w:pPr>
      <w:r>
        <w:rPr>
          <w:rFonts w:hint="eastAsia" w:ascii="宋体" w:hAnsi="宋体" w:cs="宋体"/>
          <w:bCs/>
          <w:sz w:val="24"/>
        </w:rPr>
        <w:t>1、除法律法规规定或《基金合同》另有约定外，基金份额持有人大会由基金管理人召集；</w:t>
      </w:r>
    </w:p>
    <w:p>
      <w:pPr>
        <w:spacing w:line="360" w:lineRule="auto"/>
        <w:ind w:firstLine="480" w:firstLineChars="200"/>
        <w:rPr>
          <w:rFonts w:ascii="宋体" w:hAnsi="宋体" w:cs="宋体"/>
          <w:bCs/>
          <w:sz w:val="24"/>
        </w:rPr>
      </w:pPr>
      <w:r>
        <w:rPr>
          <w:rFonts w:hint="eastAsia" w:ascii="宋体" w:hAnsi="宋体" w:cs="宋体"/>
          <w:bCs/>
          <w:sz w:val="24"/>
        </w:rPr>
        <w:t>2、基金管理人未按规定召集或不能召集时，由基金托管人召集；</w:t>
      </w:r>
    </w:p>
    <w:p>
      <w:pPr>
        <w:spacing w:line="360" w:lineRule="auto"/>
        <w:ind w:firstLine="480"/>
        <w:rPr>
          <w:rFonts w:ascii="宋体" w:hAnsi="宋体" w:cs="宋体"/>
          <w:bCs/>
          <w:sz w:val="24"/>
        </w:rPr>
      </w:pPr>
      <w:r>
        <w:rPr>
          <w:rFonts w:hint="eastAsia" w:ascii="宋体" w:hAnsi="宋体" w:cs="宋体"/>
          <w:bCs/>
          <w:sz w:val="24"/>
        </w:rPr>
        <w:t>3、基金托管人认为有必要召开基金份额持有人大会的，应当向基金管理人提出书面提议。基金管理人应当自收到书面提议之日起10日内决定是否召集，并书面告知基金托管人。基金管理人决定召集的，应当自出具书面决定之日起60日内召开；基金管理人决定不召集或在规定时间内未能作出书面答复，基金托管人仍认为有必要召开的，应当由基金托管人自行召集，并自出具书面决定之日起60日内召开并告知基金管理人，基金管理人应当配合；</w:t>
      </w:r>
    </w:p>
    <w:p>
      <w:pPr>
        <w:spacing w:line="360" w:lineRule="auto"/>
        <w:ind w:firstLine="480"/>
        <w:rPr>
          <w:rFonts w:ascii="宋体" w:hAnsi="宋体" w:cs="宋体"/>
          <w:bCs/>
          <w:sz w:val="24"/>
        </w:rPr>
      </w:pPr>
      <w:r>
        <w:rPr>
          <w:rFonts w:hint="eastAsia" w:ascii="宋体" w:hAnsi="宋体" w:cs="宋体"/>
          <w:bCs/>
          <w:sz w:val="24"/>
        </w:rPr>
        <w:t>4、代表基金份额10%以上（含10%）的基金份额持有人就同一事项书面要求召开基金份额持有人大会，应当向基金管理人提出书面提议。基金管理人应当自收到书面提议之日起10日内决定是否召集，并书面告知提出提议的基金份额持有人代表和基金托管人。基金管理人决定召集的，应当自出具书面决定之日起60日内召开；基金管理人决定不召集或在规定时间内未能作出书面答复，代表基金份额10%以上（含10%）的基金份额持有人仍认为有必要召开的，应当向基金托管人提出书面提议。基金托管人应当自收到书面提议之日起10日内决定是否召集，并书面告知提出提议的基金份额持有人代表和基金管理人；基金托管人决定召集的，应当自出具书面决定之日起60日内召开，并告知基金管理人，基金管理人应当配合；</w:t>
      </w:r>
    </w:p>
    <w:p>
      <w:pPr>
        <w:spacing w:line="360" w:lineRule="auto"/>
        <w:ind w:firstLine="480" w:firstLineChars="200"/>
        <w:rPr>
          <w:rFonts w:ascii="宋体" w:hAnsi="宋体" w:cs="宋体"/>
          <w:bCs/>
          <w:sz w:val="24"/>
        </w:rPr>
      </w:pPr>
      <w:r>
        <w:rPr>
          <w:rFonts w:hint="eastAsia" w:ascii="宋体" w:hAnsi="宋体" w:cs="宋体"/>
          <w:bCs/>
          <w:sz w:val="24"/>
        </w:rPr>
        <w:t>5、代表基金份额10%以上（含10%）的基金份额持有人就同一事项要求召开基金份额持有人大会，而基金管理人、基金托管人都不召集或在规定时间内未能作出书面答复的，单独或合计代表基金份额10%以上（含10%）的基金份额持有人有权自行召集，并至少提前30日报中国证监会备案。基金份额持有人依法自行召集基金份额持有人大会的，基金管理人、基金托管人应当配合，不得阻碍、干扰；</w:t>
      </w:r>
    </w:p>
    <w:p>
      <w:pPr>
        <w:spacing w:line="360" w:lineRule="auto"/>
        <w:ind w:firstLine="480" w:firstLineChars="200"/>
        <w:rPr>
          <w:rFonts w:ascii="宋体" w:hAnsi="宋体" w:cs="宋体"/>
          <w:sz w:val="24"/>
        </w:rPr>
      </w:pPr>
      <w:r>
        <w:rPr>
          <w:rFonts w:hint="eastAsia" w:ascii="宋体" w:hAnsi="宋体" w:cs="宋体"/>
          <w:bCs/>
          <w:sz w:val="24"/>
        </w:rPr>
        <w:t>6、基金份额持有人会议的召集人负责选择确定开会时间、地点、方式和权益登记日。</w:t>
      </w:r>
    </w:p>
    <w:p>
      <w:pPr>
        <w:spacing w:line="360" w:lineRule="auto"/>
        <w:ind w:firstLine="480" w:firstLineChars="200"/>
        <w:rPr>
          <w:rFonts w:ascii="宋体" w:hAnsi="宋体" w:cs="宋体"/>
          <w:sz w:val="24"/>
        </w:rPr>
      </w:pPr>
      <w:r>
        <w:rPr>
          <w:rFonts w:hint="eastAsia" w:ascii="宋体" w:hAnsi="宋体" w:cs="宋体"/>
          <w:sz w:val="24"/>
        </w:rPr>
        <w:t>（三）召开基金份额持有人大会的通知时间、通知内容、通知方式</w:t>
      </w:r>
    </w:p>
    <w:p>
      <w:pPr>
        <w:spacing w:line="360" w:lineRule="auto"/>
        <w:ind w:firstLine="480" w:firstLineChars="200"/>
        <w:rPr>
          <w:rFonts w:ascii="宋体" w:hAnsi="宋体" w:cs="宋体"/>
          <w:bCs/>
          <w:sz w:val="24"/>
        </w:rPr>
      </w:pPr>
      <w:r>
        <w:rPr>
          <w:rFonts w:hint="eastAsia" w:ascii="宋体" w:hAnsi="宋体" w:cs="宋体"/>
          <w:bCs/>
          <w:sz w:val="24"/>
        </w:rPr>
        <w:t>1、召开基金份额持有人大会，召集人应于会议召开前30日，在规定媒介公告。基金份额持有人大会通知应至少载明以下内容：</w:t>
      </w:r>
    </w:p>
    <w:p>
      <w:pPr>
        <w:spacing w:line="360" w:lineRule="auto"/>
        <w:ind w:firstLine="480" w:firstLineChars="200"/>
        <w:rPr>
          <w:rFonts w:ascii="宋体" w:hAnsi="宋体" w:cs="宋体"/>
          <w:bCs/>
          <w:sz w:val="24"/>
        </w:rPr>
      </w:pPr>
      <w:r>
        <w:rPr>
          <w:rFonts w:hint="eastAsia" w:ascii="宋体" w:hAnsi="宋体" w:cs="宋体"/>
          <w:bCs/>
          <w:sz w:val="24"/>
        </w:rPr>
        <w:t>（1）会议召开的时间、地点和会议形式；</w:t>
      </w:r>
    </w:p>
    <w:p>
      <w:pPr>
        <w:spacing w:line="360" w:lineRule="auto"/>
        <w:ind w:firstLine="480" w:firstLineChars="200"/>
        <w:rPr>
          <w:rFonts w:ascii="宋体" w:hAnsi="宋体" w:cs="宋体"/>
          <w:bCs/>
          <w:sz w:val="24"/>
        </w:rPr>
      </w:pPr>
      <w:r>
        <w:rPr>
          <w:rFonts w:hint="eastAsia" w:ascii="宋体" w:hAnsi="宋体" w:cs="宋体"/>
          <w:bCs/>
          <w:sz w:val="24"/>
        </w:rPr>
        <w:t>（2）会议拟审议的事项、议事程序和表决方式；</w:t>
      </w:r>
    </w:p>
    <w:p>
      <w:pPr>
        <w:spacing w:line="360" w:lineRule="auto"/>
        <w:ind w:firstLine="480" w:firstLineChars="200"/>
        <w:rPr>
          <w:rFonts w:ascii="宋体" w:hAnsi="宋体" w:cs="宋体"/>
          <w:bCs/>
          <w:sz w:val="24"/>
        </w:rPr>
      </w:pPr>
      <w:r>
        <w:rPr>
          <w:rFonts w:hint="eastAsia" w:ascii="宋体" w:hAnsi="宋体" w:cs="宋体"/>
          <w:bCs/>
          <w:sz w:val="24"/>
        </w:rPr>
        <w:t>（3）有权出席基金份额持有人大会的基金份额持有人的权益登记日；</w:t>
      </w:r>
    </w:p>
    <w:p>
      <w:pPr>
        <w:spacing w:line="360" w:lineRule="auto"/>
        <w:ind w:firstLine="480" w:firstLineChars="200"/>
        <w:rPr>
          <w:rFonts w:ascii="宋体" w:hAnsi="宋体" w:cs="宋体"/>
          <w:bCs/>
          <w:sz w:val="24"/>
        </w:rPr>
      </w:pPr>
      <w:r>
        <w:rPr>
          <w:rFonts w:hint="eastAsia" w:ascii="宋体" w:hAnsi="宋体" w:cs="宋体"/>
          <w:bCs/>
          <w:sz w:val="24"/>
        </w:rPr>
        <w:t>（4）授权委托证明的内容要求（包括但不限于代理人身份，代理权限和代理有效期限等）、送达时间和地点;</w:t>
      </w:r>
    </w:p>
    <w:p>
      <w:pPr>
        <w:spacing w:line="360" w:lineRule="auto"/>
        <w:ind w:firstLine="480" w:firstLineChars="200"/>
        <w:rPr>
          <w:rFonts w:ascii="宋体" w:hAnsi="宋体" w:cs="宋体"/>
          <w:bCs/>
          <w:sz w:val="24"/>
        </w:rPr>
      </w:pPr>
      <w:r>
        <w:rPr>
          <w:rFonts w:hint="eastAsia" w:ascii="宋体" w:hAnsi="宋体" w:cs="宋体"/>
          <w:bCs/>
          <w:sz w:val="24"/>
        </w:rPr>
        <w:t>（5）会务常设联系人姓名及联系电话；</w:t>
      </w:r>
    </w:p>
    <w:p>
      <w:pPr>
        <w:spacing w:line="360" w:lineRule="auto"/>
        <w:ind w:firstLine="480" w:firstLineChars="200"/>
        <w:rPr>
          <w:rFonts w:ascii="宋体" w:hAnsi="宋体" w:cs="宋体"/>
          <w:bCs/>
          <w:sz w:val="24"/>
        </w:rPr>
      </w:pPr>
      <w:r>
        <w:rPr>
          <w:rFonts w:hint="eastAsia" w:ascii="宋体" w:hAnsi="宋体" w:cs="宋体"/>
          <w:bCs/>
          <w:sz w:val="24"/>
        </w:rPr>
        <w:t>（6）出席会议者必须准备的文件和必须履行的手续；</w:t>
      </w:r>
    </w:p>
    <w:p>
      <w:pPr>
        <w:spacing w:line="360" w:lineRule="auto"/>
        <w:ind w:firstLine="480" w:firstLineChars="200"/>
        <w:rPr>
          <w:rFonts w:ascii="宋体" w:hAnsi="宋体" w:cs="宋体"/>
          <w:bCs/>
          <w:sz w:val="24"/>
        </w:rPr>
      </w:pPr>
      <w:r>
        <w:rPr>
          <w:rFonts w:hint="eastAsia" w:ascii="宋体" w:hAnsi="宋体" w:cs="宋体"/>
          <w:bCs/>
          <w:sz w:val="24"/>
        </w:rPr>
        <w:t>（7）召集人需要通知的其他事项。</w:t>
      </w:r>
    </w:p>
    <w:p>
      <w:pPr>
        <w:spacing w:line="360" w:lineRule="auto"/>
        <w:ind w:firstLine="480" w:firstLineChars="200"/>
        <w:rPr>
          <w:rFonts w:ascii="宋体" w:hAnsi="宋体" w:cs="宋体"/>
          <w:bCs/>
          <w:sz w:val="24"/>
        </w:rPr>
      </w:pPr>
      <w:r>
        <w:rPr>
          <w:rFonts w:hint="eastAsia" w:ascii="宋体" w:hAnsi="宋体" w:cs="宋体"/>
          <w:bCs/>
          <w:sz w:val="24"/>
        </w:rPr>
        <w:t>2、采取通讯开会方式并进行表决的情况下，由会议召集人决定在会议通知中说明本次基金份额持有人大会所采取的具体通讯方式、委托的公证机关及其联系方式和联系人、表决意见寄交的截止时间和收取方式。</w:t>
      </w:r>
    </w:p>
    <w:p>
      <w:pPr>
        <w:spacing w:line="360" w:lineRule="auto"/>
        <w:ind w:firstLine="480" w:firstLineChars="200"/>
        <w:rPr>
          <w:rFonts w:ascii="宋体" w:hAnsi="宋体" w:cs="宋体"/>
          <w:bCs/>
          <w:sz w:val="24"/>
        </w:rPr>
      </w:pPr>
      <w:r>
        <w:rPr>
          <w:rFonts w:hint="eastAsia" w:ascii="宋体" w:hAnsi="宋体" w:cs="宋体"/>
          <w:bCs/>
          <w:sz w:val="24"/>
        </w:rPr>
        <w:t>3、如召集人为基金管理人，还应另行书面通知基金托管人到指定地点对表决意见的计票进行监督；如召集人为基金托管人，则应另行书面通知基金管理人到指定地点对表决意见的计票进行监督；如召集人为基金份额持有人，则应另行书面通知基金管理人和基金托管人到指定地点对表决意见的计票进行监督。基金管理人或基金托管人拒不派代表对表决意见的计票进行监督的，不影响表决意见的计票效力。</w:t>
      </w:r>
    </w:p>
    <w:p>
      <w:pPr>
        <w:spacing w:line="360" w:lineRule="auto"/>
        <w:ind w:firstLine="480" w:firstLineChars="200"/>
        <w:rPr>
          <w:rFonts w:ascii="宋体" w:hAnsi="宋体" w:cs="宋体"/>
          <w:sz w:val="24"/>
        </w:rPr>
      </w:pPr>
      <w:r>
        <w:rPr>
          <w:rFonts w:hint="eastAsia" w:ascii="宋体" w:hAnsi="宋体" w:cs="宋体"/>
          <w:sz w:val="24"/>
        </w:rPr>
        <w:t>（四）基金份额持有人出席会议的方式</w:t>
      </w:r>
    </w:p>
    <w:p>
      <w:pPr>
        <w:spacing w:line="360" w:lineRule="auto"/>
        <w:ind w:firstLine="480" w:firstLineChars="200"/>
        <w:rPr>
          <w:rFonts w:ascii="宋体" w:hAnsi="宋体" w:cs="宋体"/>
          <w:bCs/>
          <w:sz w:val="24"/>
        </w:rPr>
      </w:pPr>
      <w:r>
        <w:rPr>
          <w:rFonts w:hint="eastAsia" w:ascii="宋体" w:hAnsi="宋体" w:cs="宋体"/>
          <w:bCs/>
          <w:sz w:val="24"/>
        </w:rPr>
        <w:t>基金份额持有人大会可通过现场开会方式或通讯开会方式以及法律法规或监管机构允许的其他方式召开，会议的召开方式由会议召集人确定。</w:t>
      </w:r>
    </w:p>
    <w:p>
      <w:pPr>
        <w:spacing w:line="360" w:lineRule="auto"/>
        <w:ind w:firstLine="480" w:firstLineChars="200"/>
        <w:rPr>
          <w:rFonts w:ascii="宋体" w:hAnsi="宋体" w:cs="宋体"/>
          <w:bCs/>
          <w:sz w:val="24"/>
        </w:rPr>
      </w:pPr>
      <w:r>
        <w:rPr>
          <w:rFonts w:hint="eastAsia" w:ascii="宋体" w:hAnsi="宋体" w:cs="宋体"/>
          <w:bCs/>
          <w:sz w:val="24"/>
        </w:rPr>
        <w:t>1、现场开会。由基金份额持有人本人出席或以代理投票授权委托证明委派代表出席，现场开会时基金管理人和基金托管人的授权代表应当列席基金份额持有人大会，基金管理人或托管人不派代表列席的，不影响表决效力。现场开会同时符合以下条件时，可以进行基金份额持有人大会议程：</w:t>
      </w:r>
    </w:p>
    <w:p>
      <w:pPr>
        <w:spacing w:line="360" w:lineRule="auto"/>
        <w:ind w:firstLine="480" w:firstLineChars="200"/>
        <w:rPr>
          <w:rFonts w:ascii="宋体" w:hAnsi="宋体" w:cs="宋体"/>
          <w:bCs/>
          <w:sz w:val="24"/>
        </w:rPr>
      </w:pPr>
      <w:r>
        <w:rPr>
          <w:rFonts w:hint="eastAsia" w:ascii="宋体" w:hAnsi="宋体" w:cs="宋体"/>
          <w:bCs/>
          <w:sz w:val="24"/>
        </w:rPr>
        <w:t>（1）亲自出席会议者持有基金份额的凭证、受托出席会议者出具的委托人持有基金份额的凭证及委托人的代理投票授权委托证明符合法律法规、《基金合同》和会议通知的规定，并且持有基金份额的凭证与基金管理人持有的登记资料相符；</w:t>
      </w:r>
    </w:p>
    <w:p>
      <w:pPr>
        <w:spacing w:line="360" w:lineRule="auto"/>
        <w:ind w:firstLine="480" w:firstLineChars="200"/>
        <w:rPr>
          <w:rFonts w:ascii="宋体" w:hAnsi="宋体" w:cs="宋体"/>
          <w:bCs/>
          <w:sz w:val="24"/>
        </w:rPr>
      </w:pPr>
      <w:r>
        <w:rPr>
          <w:rFonts w:hint="eastAsia" w:ascii="宋体" w:hAnsi="宋体" w:cs="宋体"/>
          <w:bCs/>
          <w:sz w:val="24"/>
        </w:rPr>
        <w:t>（2）经核对，汇总到会者出示的在权益登记日持有基金份额的凭证显示，有效的基金份额不少于本基金在权益登记日基金总份额的二分之一（含二分之一）。若到会者在权益登记日代表的有效的基金份额少于本基金在权益登记日基金总份额的二分之一，召集人可以在原公告的基金份额持有人大会召开时间的三个月以后、六个月以内，就原定审议事项重新召集基金份额持有人大会。重新召集的基金份额持有人大会到会者在权益登记日代表的有效的基金份额应不少于本基金在权益登记日基金总份额的三分之一（含三分之一）。</w:t>
      </w:r>
    </w:p>
    <w:p>
      <w:pPr>
        <w:spacing w:line="360" w:lineRule="auto"/>
        <w:ind w:firstLine="480" w:firstLineChars="200"/>
        <w:rPr>
          <w:rFonts w:ascii="宋体" w:hAnsi="宋体" w:cs="宋体"/>
          <w:bCs/>
          <w:sz w:val="24"/>
        </w:rPr>
      </w:pPr>
      <w:r>
        <w:rPr>
          <w:rFonts w:hint="eastAsia" w:ascii="宋体" w:hAnsi="宋体" w:cs="宋体"/>
          <w:bCs/>
          <w:sz w:val="24"/>
        </w:rPr>
        <w:t>2、通讯开会。通讯开会系指基金份额持有人将其对表决事项的投票以书面形式或会议通知载明的其他方式在表决截止日以前送达至召集人指定的地址。通讯开会应以书面方式或会议通知载明的其他方式进行表决。</w:t>
      </w:r>
    </w:p>
    <w:p>
      <w:pPr>
        <w:spacing w:line="360" w:lineRule="auto"/>
        <w:ind w:firstLine="480" w:firstLineChars="200"/>
        <w:rPr>
          <w:rFonts w:ascii="宋体" w:hAnsi="宋体" w:cs="宋体"/>
          <w:bCs/>
          <w:sz w:val="24"/>
        </w:rPr>
      </w:pPr>
      <w:r>
        <w:rPr>
          <w:rFonts w:hint="eastAsia" w:ascii="宋体" w:hAnsi="宋体" w:cs="宋体"/>
          <w:bCs/>
          <w:sz w:val="24"/>
        </w:rPr>
        <w:t>在同时符合以下条件时，通讯开会的方式视为有效：</w:t>
      </w:r>
    </w:p>
    <w:p>
      <w:pPr>
        <w:spacing w:line="360" w:lineRule="auto"/>
        <w:ind w:firstLine="480" w:firstLineChars="200"/>
        <w:rPr>
          <w:rFonts w:ascii="宋体" w:hAnsi="宋体" w:cs="宋体"/>
          <w:bCs/>
          <w:sz w:val="24"/>
        </w:rPr>
      </w:pPr>
      <w:r>
        <w:rPr>
          <w:rFonts w:hint="eastAsia" w:ascii="宋体" w:hAnsi="宋体" w:cs="宋体"/>
          <w:bCs/>
          <w:sz w:val="24"/>
        </w:rPr>
        <w:t>（1）会议召集人按《基金合同》约定公布会议通知后，在2个工作日内连续公布相关提示性公告；</w:t>
      </w:r>
    </w:p>
    <w:p>
      <w:pPr>
        <w:spacing w:line="360" w:lineRule="auto"/>
        <w:ind w:firstLine="480" w:firstLineChars="200"/>
        <w:rPr>
          <w:rFonts w:ascii="宋体" w:hAnsi="宋体" w:cs="宋体"/>
          <w:bCs/>
          <w:sz w:val="24"/>
        </w:rPr>
      </w:pPr>
      <w:r>
        <w:rPr>
          <w:rFonts w:hint="eastAsia" w:ascii="宋体" w:hAnsi="宋体" w:cs="宋体"/>
          <w:bCs/>
          <w:sz w:val="24"/>
        </w:rPr>
        <w:t>（2）召集人按基金合同约定通知基金托管人（如果基金托管人为召集人，则为基金管理人）到指定地点对表决意见的计票进行监督。会议召集人在基金托管人（如果基金托管人为召集人，则为基金管理人）和公证机关的监督下按照会议通知规定的方式收取基金份额持有人的表决意见；基金托管人或基金管理人经通知不参加收取表决意见的，不影响表决效力；</w:t>
      </w:r>
    </w:p>
    <w:p>
      <w:pPr>
        <w:spacing w:line="360" w:lineRule="auto"/>
        <w:ind w:firstLine="480" w:firstLineChars="200"/>
        <w:rPr>
          <w:rFonts w:ascii="宋体" w:hAnsi="宋体" w:cs="宋体"/>
          <w:bCs/>
          <w:sz w:val="24"/>
        </w:rPr>
      </w:pPr>
      <w:r>
        <w:rPr>
          <w:rFonts w:hint="eastAsia" w:ascii="宋体" w:hAnsi="宋体" w:cs="宋体"/>
          <w:bCs/>
          <w:sz w:val="24"/>
        </w:rPr>
        <w:t>（3）本人直接出具表决意见或授权他人代表出具表决意见的，基金份额持有人所持有的基金份额不小于在权益登记日基金总份额的二分之一（含二分之一）；若本人直接出具表决意见或授权他人代表出具表决意见参加基金份额持有人大会的持有人的基金份额低于前款规定比例的，召集人可以在原公告的基金份额持有人大会召开时间的三个月以后、六个月以内，就原定审议事项重新召集基金份额持有人大会。重新召集的基金份额持有人大会应当有代表三分之一以上（含三分之一）基金份额的持有人直接出具表决意见或授权他人代表出具表决意见；</w:t>
      </w:r>
    </w:p>
    <w:p>
      <w:pPr>
        <w:spacing w:line="360" w:lineRule="auto"/>
        <w:ind w:firstLine="480" w:firstLineChars="200"/>
        <w:rPr>
          <w:rFonts w:ascii="宋体" w:hAnsi="宋体" w:cs="宋体"/>
          <w:bCs/>
          <w:sz w:val="24"/>
        </w:rPr>
      </w:pPr>
      <w:r>
        <w:rPr>
          <w:rFonts w:hint="eastAsia" w:ascii="宋体" w:hAnsi="宋体" w:cs="宋体"/>
          <w:bCs/>
          <w:sz w:val="24"/>
        </w:rPr>
        <w:t>（4）上述第（3）项中直接出具表决意见的基金份额持有人或受托代表他人出具表决意见的代理人，同时提交的持有基金份额的凭证、受托出具表决意见的代理人出具的委托人持有基金份额的凭证及委托人的代理投票授权委托证明符合法律法规、《基金合同》和会议通知的规定，并与基金登记机构记录相符；</w:t>
      </w:r>
    </w:p>
    <w:p>
      <w:pPr>
        <w:spacing w:line="360" w:lineRule="auto"/>
        <w:ind w:firstLine="480" w:firstLineChars="200"/>
        <w:rPr>
          <w:rFonts w:ascii="宋体" w:hAnsi="宋体" w:cs="宋体"/>
          <w:bCs/>
          <w:sz w:val="24"/>
        </w:rPr>
      </w:pPr>
      <w:r>
        <w:rPr>
          <w:rFonts w:hint="eastAsia" w:ascii="宋体" w:hAnsi="宋体" w:cs="宋体"/>
          <w:bCs/>
          <w:sz w:val="24"/>
        </w:rPr>
        <w:t>3、基金份额持有人授权他人代为出席会议并表决的，授权方式可以采用书面、网络、电话、短信或其他方式，具体方式在会议通知中列明。</w:t>
      </w:r>
    </w:p>
    <w:p>
      <w:pPr>
        <w:spacing w:line="360" w:lineRule="auto"/>
        <w:ind w:firstLine="480" w:firstLineChars="200"/>
        <w:rPr>
          <w:rFonts w:ascii="宋体" w:hAnsi="宋体" w:cs="宋体"/>
          <w:sz w:val="24"/>
        </w:rPr>
      </w:pPr>
      <w:r>
        <w:rPr>
          <w:rFonts w:hint="eastAsia" w:ascii="宋体" w:hAnsi="宋体" w:cs="宋体"/>
          <w:bCs/>
          <w:sz w:val="24"/>
        </w:rPr>
        <w:t>4、在法律法规和监管机关允许的情况下，在会议召开方式上，本基金亦可采用网络、电话等非现场方式或者以现场方式与非现场方式相结合的方式召开基金份额持有人大会，具体方式由会议召集人确定并在会议通知中列明。</w:t>
      </w:r>
    </w:p>
    <w:p>
      <w:pPr>
        <w:spacing w:line="360" w:lineRule="auto"/>
        <w:ind w:firstLine="480" w:firstLineChars="200"/>
        <w:rPr>
          <w:rFonts w:ascii="宋体" w:hAnsi="宋体" w:cs="宋体"/>
          <w:sz w:val="24"/>
        </w:rPr>
      </w:pPr>
      <w:r>
        <w:rPr>
          <w:rFonts w:hint="eastAsia" w:ascii="宋体" w:hAnsi="宋体" w:cs="宋体"/>
          <w:sz w:val="24"/>
        </w:rPr>
        <w:t>（五）议事内容与程序</w:t>
      </w:r>
    </w:p>
    <w:p>
      <w:pPr>
        <w:spacing w:line="360" w:lineRule="auto"/>
        <w:ind w:firstLine="480" w:firstLineChars="200"/>
        <w:rPr>
          <w:rFonts w:ascii="宋体" w:hAnsi="宋体" w:cs="宋体"/>
          <w:bCs/>
          <w:sz w:val="24"/>
        </w:rPr>
      </w:pPr>
      <w:r>
        <w:rPr>
          <w:rFonts w:hint="eastAsia" w:ascii="宋体" w:hAnsi="宋体" w:cs="宋体"/>
          <w:bCs/>
          <w:sz w:val="24"/>
        </w:rPr>
        <w:t>1、议事内容及提案权</w:t>
      </w:r>
    </w:p>
    <w:p>
      <w:pPr>
        <w:spacing w:line="360" w:lineRule="auto"/>
        <w:ind w:firstLine="480" w:firstLineChars="200"/>
        <w:rPr>
          <w:rFonts w:ascii="宋体" w:hAnsi="宋体" w:cs="宋体"/>
          <w:bCs/>
          <w:sz w:val="24"/>
        </w:rPr>
      </w:pPr>
      <w:r>
        <w:rPr>
          <w:rFonts w:hint="eastAsia" w:ascii="宋体" w:hAnsi="宋体" w:cs="宋体"/>
          <w:bCs/>
          <w:sz w:val="24"/>
        </w:rPr>
        <w:t>议事内容为关系基金份额持有人利益的重大事项，如《基金合同》的重大修改、决定终止《基金合同》、更换基金管理人、更换基金托管人、与其他基金合并、法律法规及《基金合同》规定的其他事项以及会议召集人认为需提交基金份额持有人大会讨论的其他事项。</w:t>
      </w:r>
    </w:p>
    <w:p>
      <w:pPr>
        <w:spacing w:line="360" w:lineRule="auto"/>
        <w:ind w:firstLine="480" w:firstLineChars="200"/>
        <w:rPr>
          <w:rFonts w:ascii="宋体" w:hAnsi="宋体" w:cs="宋体"/>
          <w:bCs/>
          <w:sz w:val="24"/>
        </w:rPr>
      </w:pPr>
      <w:r>
        <w:rPr>
          <w:rFonts w:hint="eastAsia" w:ascii="宋体" w:hAnsi="宋体" w:cs="宋体"/>
          <w:bCs/>
          <w:sz w:val="24"/>
        </w:rPr>
        <w:t>基金份额持有人大会的召集人发出召集会议的通知后，对原有提案的修改应当在基金份额持有人大会召开前及时公告。</w:t>
      </w:r>
    </w:p>
    <w:p>
      <w:pPr>
        <w:spacing w:line="360" w:lineRule="auto"/>
        <w:ind w:firstLine="480" w:firstLineChars="200"/>
        <w:rPr>
          <w:rFonts w:ascii="宋体" w:hAnsi="宋体" w:cs="宋体"/>
          <w:bCs/>
          <w:sz w:val="24"/>
        </w:rPr>
      </w:pPr>
      <w:r>
        <w:rPr>
          <w:rFonts w:hint="eastAsia" w:ascii="宋体" w:hAnsi="宋体" w:cs="宋体"/>
          <w:bCs/>
          <w:sz w:val="24"/>
        </w:rPr>
        <w:t>基金份额持有人大会不得对未事先公告的议事内容进行表决。</w:t>
      </w:r>
    </w:p>
    <w:p>
      <w:pPr>
        <w:spacing w:line="360" w:lineRule="auto"/>
        <w:ind w:firstLine="480" w:firstLineChars="200"/>
        <w:rPr>
          <w:rFonts w:ascii="宋体" w:hAnsi="宋体" w:cs="宋体"/>
          <w:bCs/>
          <w:sz w:val="24"/>
        </w:rPr>
      </w:pPr>
      <w:r>
        <w:rPr>
          <w:rFonts w:hint="eastAsia" w:ascii="宋体" w:hAnsi="宋体" w:cs="宋体"/>
          <w:bCs/>
          <w:sz w:val="24"/>
        </w:rPr>
        <w:t>2、议事程序</w:t>
      </w:r>
    </w:p>
    <w:p>
      <w:pPr>
        <w:spacing w:line="360" w:lineRule="auto"/>
        <w:ind w:firstLine="480" w:firstLineChars="200"/>
        <w:rPr>
          <w:rFonts w:ascii="宋体" w:hAnsi="宋体" w:cs="宋体"/>
          <w:bCs/>
          <w:sz w:val="24"/>
        </w:rPr>
      </w:pPr>
      <w:r>
        <w:rPr>
          <w:rFonts w:hint="eastAsia" w:ascii="宋体" w:hAnsi="宋体" w:cs="宋体"/>
          <w:bCs/>
          <w:sz w:val="24"/>
        </w:rPr>
        <w:t>（1）现场开会</w:t>
      </w:r>
    </w:p>
    <w:p>
      <w:pPr>
        <w:spacing w:line="360" w:lineRule="auto"/>
        <w:ind w:firstLine="480" w:firstLineChars="200"/>
        <w:rPr>
          <w:rFonts w:ascii="宋体" w:hAnsi="宋体" w:cs="宋体"/>
          <w:bCs/>
          <w:sz w:val="24"/>
        </w:rPr>
      </w:pPr>
      <w:r>
        <w:rPr>
          <w:rFonts w:hint="eastAsia" w:ascii="宋体" w:hAnsi="宋体" w:cs="宋体"/>
          <w:bCs/>
          <w:sz w:val="24"/>
        </w:rPr>
        <w:t>在现场开会的方式下，首先由大会主持人按照下列第（七）条规定程序确定和公布监票人，然后由大会主持人宣读提案，经讨论后进行表决，并形成大会决议。大会主持人为基金管理人授权出席会议的代表，在基金管理人授权代表未能主持大会的情况下，由基金托管人授权其出席会议的代表主持；如果基金管理人授权代表和基金托管人授权代表均未能主持大会，则由出席大会的基金份额持有人和代理人所持表决权的50%以上（含50%）选举产生一名基金份额持有人作为该次基金份额持有人大会的主持人。基金管理人和基金托管人拒不出席或主持基金份额持有人大会，不影响基金份额持有人大会作出的决议的效力。</w:t>
      </w:r>
    </w:p>
    <w:p>
      <w:pPr>
        <w:spacing w:line="360" w:lineRule="auto"/>
        <w:ind w:firstLine="480" w:firstLineChars="200"/>
        <w:rPr>
          <w:rFonts w:ascii="宋体" w:hAnsi="宋体" w:cs="宋体"/>
          <w:bCs/>
          <w:sz w:val="24"/>
        </w:rPr>
      </w:pPr>
      <w:r>
        <w:rPr>
          <w:rFonts w:hint="eastAsia" w:ascii="宋体" w:hAnsi="宋体" w:cs="宋体"/>
          <w:bCs/>
          <w:sz w:val="24"/>
        </w:rPr>
        <w:t>会议召集人应当制作出席会议人员的签名册。签名册载明参加会议人员姓名（或单位名称）、身份证明文件号码、持有或代表有表决权的基金份额、委托人姓名（或单位名称）和联系方式等事项。</w:t>
      </w:r>
    </w:p>
    <w:p>
      <w:pPr>
        <w:spacing w:line="360" w:lineRule="auto"/>
        <w:ind w:firstLine="480" w:firstLineChars="200"/>
        <w:rPr>
          <w:rFonts w:ascii="宋体" w:hAnsi="宋体" w:cs="宋体"/>
          <w:bCs/>
          <w:sz w:val="24"/>
        </w:rPr>
      </w:pPr>
      <w:r>
        <w:rPr>
          <w:rFonts w:hint="eastAsia" w:ascii="宋体" w:hAnsi="宋体" w:cs="宋体"/>
          <w:bCs/>
          <w:sz w:val="24"/>
        </w:rPr>
        <w:t>（2）通讯开会</w:t>
      </w:r>
    </w:p>
    <w:p>
      <w:pPr>
        <w:spacing w:line="360" w:lineRule="auto"/>
        <w:ind w:firstLine="480" w:firstLineChars="200"/>
        <w:rPr>
          <w:rFonts w:ascii="宋体" w:hAnsi="宋体" w:cs="宋体"/>
          <w:bCs/>
          <w:sz w:val="24"/>
        </w:rPr>
      </w:pPr>
      <w:r>
        <w:rPr>
          <w:rFonts w:hint="eastAsia" w:ascii="宋体" w:hAnsi="宋体" w:cs="宋体"/>
          <w:bCs/>
          <w:sz w:val="24"/>
        </w:rPr>
        <w:t>在通讯开会的情况下，首先由召集人提前30日公布提案，在所通知的表决截止日期后2个工作日内在公证机关监督下由召集人统计全部有效表决，在公证机关监督下形成决议。</w:t>
      </w:r>
    </w:p>
    <w:p>
      <w:pPr>
        <w:spacing w:line="360" w:lineRule="auto"/>
        <w:ind w:firstLine="480" w:firstLineChars="200"/>
        <w:rPr>
          <w:rFonts w:ascii="宋体" w:hAnsi="宋体" w:cs="宋体"/>
          <w:sz w:val="24"/>
        </w:rPr>
      </w:pPr>
      <w:r>
        <w:rPr>
          <w:rFonts w:hint="eastAsia" w:ascii="宋体" w:hAnsi="宋体" w:cs="宋体"/>
          <w:sz w:val="24"/>
        </w:rPr>
        <w:t>（六）表决</w:t>
      </w:r>
    </w:p>
    <w:p>
      <w:pPr>
        <w:spacing w:line="360" w:lineRule="auto"/>
        <w:ind w:firstLine="480" w:firstLineChars="200"/>
        <w:rPr>
          <w:rFonts w:ascii="宋体" w:hAnsi="宋体" w:cs="宋体"/>
          <w:bCs/>
          <w:sz w:val="24"/>
        </w:rPr>
      </w:pPr>
      <w:r>
        <w:rPr>
          <w:rFonts w:hint="eastAsia" w:ascii="宋体" w:hAnsi="宋体" w:cs="宋体"/>
          <w:bCs/>
          <w:sz w:val="24"/>
        </w:rPr>
        <w:t>基金份额持有人所持每份基金份额有一票表决权。</w:t>
      </w:r>
    </w:p>
    <w:p>
      <w:pPr>
        <w:spacing w:line="360" w:lineRule="auto"/>
        <w:ind w:firstLine="480" w:firstLineChars="200"/>
        <w:rPr>
          <w:rFonts w:ascii="宋体" w:hAnsi="宋体" w:cs="宋体"/>
          <w:bCs/>
          <w:sz w:val="24"/>
        </w:rPr>
      </w:pPr>
      <w:r>
        <w:rPr>
          <w:rFonts w:hint="eastAsia" w:ascii="宋体" w:hAnsi="宋体" w:cs="宋体"/>
          <w:bCs/>
          <w:sz w:val="24"/>
        </w:rPr>
        <w:t>基金份额持有人大会决议分为一般决议和特别决议：</w:t>
      </w:r>
    </w:p>
    <w:p>
      <w:pPr>
        <w:spacing w:line="360" w:lineRule="auto"/>
        <w:ind w:firstLine="480" w:firstLineChars="200"/>
        <w:rPr>
          <w:rFonts w:ascii="宋体" w:hAnsi="宋体" w:cs="宋体"/>
          <w:bCs/>
          <w:sz w:val="24"/>
        </w:rPr>
      </w:pPr>
      <w:r>
        <w:rPr>
          <w:rFonts w:hint="eastAsia" w:ascii="宋体" w:hAnsi="宋体" w:cs="宋体"/>
          <w:bCs/>
          <w:sz w:val="24"/>
        </w:rPr>
        <w:t>1、一般决议，一般决议须经参加大会的基金份额持有人或其代理人所持表决权的二分之一以上（含二分之一）通过方为有效；除下列第2项所规定的须以特别决议通过事项以外的其他事项均以一般决议的方式通过。</w:t>
      </w:r>
    </w:p>
    <w:p>
      <w:pPr>
        <w:spacing w:line="360" w:lineRule="auto"/>
        <w:ind w:firstLine="480" w:firstLineChars="200"/>
        <w:rPr>
          <w:rFonts w:ascii="宋体" w:hAnsi="宋体" w:cs="宋体"/>
          <w:bCs/>
          <w:sz w:val="24"/>
        </w:rPr>
      </w:pPr>
      <w:r>
        <w:rPr>
          <w:rFonts w:hint="eastAsia" w:ascii="宋体" w:hAnsi="宋体" w:cs="宋体"/>
          <w:bCs/>
          <w:sz w:val="24"/>
        </w:rPr>
        <w:t>2、特别决议，特别决议应当经参加大会的基金份额持有人或其代理人所持表决权的三分之二 以上（含三分之二 ）通过方可做出。除法律法规另有规定或本基金合同另有约定外，转换基金运作方式、更换基金管理人或者基金托管人、终止《基金合同》、与其他基金合并以特别决议通过方为有效。</w:t>
      </w:r>
    </w:p>
    <w:p>
      <w:pPr>
        <w:spacing w:line="360" w:lineRule="auto"/>
        <w:ind w:firstLine="480" w:firstLineChars="200"/>
        <w:rPr>
          <w:rFonts w:ascii="宋体" w:hAnsi="宋体" w:cs="宋体"/>
          <w:bCs/>
          <w:sz w:val="24"/>
        </w:rPr>
      </w:pPr>
      <w:r>
        <w:rPr>
          <w:rFonts w:hint="eastAsia" w:ascii="宋体" w:hAnsi="宋体" w:cs="宋体"/>
          <w:bCs/>
          <w:sz w:val="24"/>
        </w:rPr>
        <w:t>基金份额持有人大会采取记名方式进行投票表决。</w:t>
      </w:r>
    </w:p>
    <w:p>
      <w:pPr>
        <w:spacing w:line="360" w:lineRule="auto"/>
        <w:ind w:firstLine="480" w:firstLineChars="200"/>
        <w:rPr>
          <w:rFonts w:ascii="宋体" w:hAnsi="宋体" w:cs="宋体"/>
          <w:bCs/>
          <w:sz w:val="24"/>
        </w:rPr>
      </w:pPr>
      <w:r>
        <w:rPr>
          <w:rFonts w:hint="eastAsia" w:ascii="宋体" w:hAnsi="宋体" w:cs="宋体"/>
          <w:bCs/>
          <w:sz w:val="24"/>
        </w:rPr>
        <w:t>采取通讯方式进行表决时，除非在计票时监督员及公证机关均认为有充分的相反证据证明，否则提交符合会议通知中规定的确认投资者身份文件的表决视为有效出席的投资者，表面符合会议通知规定的表决意见视为有效表决，表决意见模糊不清或相互矛盾的视为弃权表决，但应当计入出具表决意见的基金份额持有人所代表的基金份额总数。</w:t>
      </w:r>
    </w:p>
    <w:p>
      <w:pPr>
        <w:spacing w:line="360" w:lineRule="auto"/>
        <w:ind w:firstLine="480" w:firstLineChars="200"/>
        <w:rPr>
          <w:rFonts w:ascii="宋体" w:hAnsi="宋体" w:cs="宋体"/>
          <w:bCs/>
          <w:sz w:val="24"/>
        </w:rPr>
      </w:pPr>
      <w:r>
        <w:rPr>
          <w:rFonts w:hint="eastAsia" w:ascii="宋体" w:hAnsi="宋体" w:cs="宋体"/>
          <w:bCs/>
          <w:sz w:val="24"/>
        </w:rPr>
        <w:t>基金份额持有人大会的各项提案或同一项提案内并列的各项议题应当分开审议、逐项表决。</w:t>
      </w:r>
    </w:p>
    <w:p>
      <w:pPr>
        <w:spacing w:line="360" w:lineRule="auto"/>
        <w:ind w:firstLine="480" w:firstLineChars="200"/>
        <w:rPr>
          <w:rFonts w:ascii="宋体" w:hAnsi="宋体" w:cs="宋体"/>
          <w:sz w:val="24"/>
        </w:rPr>
      </w:pPr>
      <w:r>
        <w:rPr>
          <w:rFonts w:hint="eastAsia" w:ascii="宋体" w:hAnsi="宋体" w:cs="宋体"/>
          <w:sz w:val="24"/>
        </w:rPr>
        <w:t>（七）计票</w:t>
      </w:r>
    </w:p>
    <w:p>
      <w:pPr>
        <w:spacing w:line="360" w:lineRule="auto"/>
        <w:ind w:firstLine="480" w:firstLineChars="200"/>
        <w:rPr>
          <w:rFonts w:ascii="宋体" w:hAnsi="宋体" w:cs="宋体"/>
          <w:bCs/>
          <w:sz w:val="24"/>
        </w:rPr>
      </w:pPr>
      <w:r>
        <w:rPr>
          <w:rFonts w:hint="eastAsia" w:ascii="宋体" w:hAnsi="宋体" w:cs="宋体"/>
          <w:bCs/>
          <w:sz w:val="24"/>
        </w:rPr>
        <w:t>1、现场开会</w:t>
      </w:r>
    </w:p>
    <w:p>
      <w:pPr>
        <w:spacing w:line="360" w:lineRule="auto"/>
        <w:ind w:firstLine="480" w:firstLineChars="200"/>
        <w:rPr>
          <w:rFonts w:ascii="宋体" w:hAnsi="宋体" w:cs="宋体"/>
          <w:bCs/>
          <w:sz w:val="24"/>
        </w:rPr>
      </w:pPr>
      <w:r>
        <w:rPr>
          <w:rFonts w:hint="eastAsia" w:ascii="宋体" w:hAnsi="宋体" w:cs="宋体"/>
          <w:bCs/>
          <w:sz w:val="24"/>
        </w:rPr>
        <w:t>（1）如大会由基金管理人或基金托管人召集，基金份额持有人大会的主持人应当在会议开始后宣布在出席会议的基金份额持有人和代理人中选举两名基金份额持有人代表与大会召集人授权的一名监督员共同担任监票人；如大会由基金份额持有人自行召集或大会虽然由基金管理人或基金托管人召集，但是基金管理人或基金托管人未出席大会的，基金份额持有人大会的主持人应当在会议开始后宣布在出席会议的基金份额持有人中选举三名基金份额持有人代表担任监票人。基金管理人或基金托管人不出席大会的，不影响计票的效力。</w:t>
      </w:r>
    </w:p>
    <w:p>
      <w:pPr>
        <w:spacing w:line="360" w:lineRule="auto"/>
        <w:ind w:firstLine="480" w:firstLineChars="200"/>
        <w:rPr>
          <w:rFonts w:ascii="宋体" w:hAnsi="宋体" w:cs="宋体"/>
          <w:bCs/>
          <w:sz w:val="24"/>
        </w:rPr>
      </w:pPr>
      <w:r>
        <w:rPr>
          <w:rFonts w:hint="eastAsia" w:ascii="宋体" w:hAnsi="宋体" w:cs="宋体"/>
          <w:bCs/>
          <w:sz w:val="24"/>
        </w:rPr>
        <w:t>（2）监票人应当在基金份额持有人表决后立即进行清点并由大会主持人当场公布计票结果。</w:t>
      </w:r>
    </w:p>
    <w:p>
      <w:pPr>
        <w:spacing w:line="360" w:lineRule="auto"/>
        <w:ind w:firstLine="480" w:firstLineChars="200"/>
        <w:rPr>
          <w:rFonts w:ascii="宋体" w:hAnsi="宋体" w:cs="宋体"/>
          <w:bCs/>
          <w:sz w:val="24"/>
        </w:rPr>
      </w:pPr>
      <w:r>
        <w:rPr>
          <w:rFonts w:hint="eastAsia" w:ascii="宋体" w:hAnsi="宋体" w:cs="宋体"/>
          <w:bCs/>
          <w:sz w:val="24"/>
        </w:rPr>
        <w:t>（3）如果会议主持人或基金份额持有人或代理人对于提交的表决结果有异议，可以在宣布表决结果后立即对所投票数要求进行重新清点。监票人应当进行重新清点，重新清点以一次为限。重新清点后，大会主持人应当当场公布重新清点结果。</w:t>
      </w:r>
    </w:p>
    <w:p>
      <w:pPr>
        <w:spacing w:line="360" w:lineRule="auto"/>
        <w:ind w:firstLine="480" w:firstLineChars="200"/>
        <w:rPr>
          <w:rFonts w:ascii="宋体" w:hAnsi="宋体" w:cs="宋体"/>
          <w:bCs/>
          <w:sz w:val="24"/>
        </w:rPr>
      </w:pPr>
      <w:r>
        <w:rPr>
          <w:rFonts w:hint="eastAsia" w:ascii="宋体" w:hAnsi="宋体" w:cs="宋体"/>
          <w:bCs/>
          <w:sz w:val="24"/>
        </w:rPr>
        <w:t>（4）计票过程应由公证机关予以公证，基金管理人或基金托管人拒不出席大会的，不影响计票的效力。</w:t>
      </w:r>
    </w:p>
    <w:p>
      <w:pPr>
        <w:spacing w:line="360" w:lineRule="auto"/>
        <w:ind w:firstLine="480" w:firstLineChars="200"/>
        <w:rPr>
          <w:rFonts w:ascii="宋体" w:hAnsi="宋体" w:cs="宋体"/>
          <w:bCs/>
          <w:sz w:val="24"/>
        </w:rPr>
      </w:pPr>
      <w:r>
        <w:rPr>
          <w:rFonts w:hint="eastAsia" w:ascii="宋体" w:hAnsi="宋体" w:cs="宋体"/>
          <w:bCs/>
          <w:sz w:val="24"/>
        </w:rPr>
        <w:t>2、通讯开会</w:t>
      </w:r>
    </w:p>
    <w:p>
      <w:pPr>
        <w:spacing w:line="360" w:lineRule="auto"/>
        <w:ind w:firstLine="480" w:firstLineChars="200"/>
        <w:rPr>
          <w:rFonts w:ascii="宋体" w:hAnsi="宋体" w:cs="宋体"/>
          <w:sz w:val="24"/>
        </w:rPr>
      </w:pPr>
      <w:r>
        <w:rPr>
          <w:rFonts w:hint="eastAsia" w:ascii="宋体" w:hAnsi="宋体" w:cs="宋体"/>
          <w:bCs/>
          <w:sz w:val="24"/>
        </w:rPr>
        <w:t>在通讯开会的情况下，计票方式为：由大会召集人授权的两名监督员在基金托管人授权代表（若由基金托管人召集，则为基金管理人授权代表）的监督下进行计票，并由公证机关对其计票过程予以公证。基金管理人或基金托管人拒派代表对表决意见的计票进行监督的，不影响计票和表决结果。</w:t>
      </w:r>
    </w:p>
    <w:p>
      <w:pPr>
        <w:spacing w:line="360" w:lineRule="auto"/>
        <w:ind w:firstLine="480" w:firstLineChars="200"/>
        <w:rPr>
          <w:rFonts w:ascii="宋体" w:hAnsi="宋体" w:cs="宋体"/>
          <w:sz w:val="24"/>
        </w:rPr>
      </w:pPr>
      <w:r>
        <w:rPr>
          <w:rFonts w:hint="eastAsia" w:ascii="宋体" w:hAnsi="宋体" w:cs="宋体"/>
          <w:sz w:val="24"/>
        </w:rPr>
        <w:t>（八）生效与公告</w:t>
      </w:r>
    </w:p>
    <w:p>
      <w:pPr>
        <w:spacing w:line="360" w:lineRule="auto"/>
        <w:ind w:firstLine="480" w:firstLineChars="200"/>
        <w:rPr>
          <w:rFonts w:ascii="宋体" w:hAnsi="宋体" w:cs="宋体"/>
          <w:bCs/>
          <w:sz w:val="24"/>
        </w:rPr>
      </w:pPr>
      <w:r>
        <w:rPr>
          <w:rFonts w:hint="eastAsia" w:ascii="宋体" w:hAnsi="宋体" w:cs="宋体"/>
          <w:bCs/>
          <w:sz w:val="24"/>
        </w:rPr>
        <w:t>基金份额持有人大会的决议，召集人应当自通过之日起5日内报中国证监会备案。</w:t>
      </w:r>
    </w:p>
    <w:p>
      <w:pPr>
        <w:spacing w:line="360" w:lineRule="auto"/>
        <w:ind w:firstLine="480" w:firstLineChars="200"/>
        <w:rPr>
          <w:rFonts w:ascii="宋体" w:hAnsi="宋体" w:cs="宋体"/>
          <w:bCs/>
          <w:sz w:val="24"/>
        </w:rPr>
      </w:pPr>
      <w:r>
        <w:rPr>
          <w:rFonts w:hint="eastAsia" w:ascii="宋体" w:hAnsi="宋体" w:cs="宋体"/>
          <w:bCs/>
          <w:sz w:val="24"/>
        </w:rPr>
        <w:t>基金份额持有人大会决议自表决通过之日起生效。</w:t>
      </w:r>
    </w:p>
    <w:p>
      <w:pPr>
        <w:spacing w:line="360" w:lineRule="auto"/>
        <w:ind w:firstLine="480" w:firstLineChars="200"/>
        <w:rPr>
          <w:rFonts w:ascii="宋体" w:hAnsi="宋体" w:cs="宋体"/>
          <w:bCs/>
          <w:sz w:val="24"/>
        </w:rPr>
      </w:pPr>
      <w:r>
        <w:rPr>
          <w:rFonts w:hint="eastAsia" w:ascii="宋体" w:hAnsi="宋体" w:cs="宋体"/>
          <w:bCs/>
          <w:sz w:val="24"/>
        </w:rPr>
        <w:t>基金份额持有人大会决议自生效之日起2日内在规定媒介上公告。如果采用通讯方式进行表决，在公告基金份额持有人大会决议时，必须将公证书全文、公证机构、公证员姓名等一同公告。</w:t>
      </w:r>
    </w:p>
    <w:p>
      <w:pPr>
        <w:spacing w:line="360" w:lineRule="auto"/>
        <w:ind w:firstLine="480" w:firstLineChars="200"/>
        <w:rPr>
          <w:rFonts w:ascii="宋体" w:hAnsi="宋体" w:cs="宋体"/>
          <w:bCs/>
          <w:sz w:val="24"/>
        </w:rPr>
      </w:pPr>
      <w:r>
        <w:rPr>
          <w:rFonts w:hint="eastAsia" w:ascii="宋体" w:hAnsi="宋体" w:cs="宋体"/>
          <w:bCs/>
          <w:sz w:val="24"/>
        </w:rPr>
        <w:t>基金管理人、基金托管人和基金份额持有人应当执行生效的基金份额持有人大会的决议。生效的基金份额持有人大会决议对全体基金份额持有人、基金管理人、基金托管人均有约束力。</w:t>
      </w:r>
    </w:p>
    <w:p>
      <w:pPr>
        <w:numPr>
          <w:ilvl w:val="0"/>
          <w:numId w:val="7"/>
        </w:numPr>
        <w:spacing w:line="360" w:lineRule="auto"/>
        <w:ind w:firstLine="480" w:firstLineChars="200"/>
        <w:rPr>
          <w:rFonts w:ascii="宋体" w:hAnsi="宋体" w:cs="宋体"/>
          <w:bCs/>
          <w:sz w:val="24"/>
        </w:rPr>
      </w:pPr>
      <w:r>
        <w:rPr>
          <w:rFonts w:hint="eastAsia" w:ascii="宋体" w:hAnsi="宋体" w:cs="宋体"/>
          <w:bCs/>
          <w:sz w:val="24"/>
        </w:rPr>
        <w:t>本部分关于基金份额持有人大会召开事由、召开条件、议事程序、表决条件等规定，凡是直接引用法律法规或监管规定的部分，如将来法律法规或监管规定修改导致相关内容被取消或变更的，经与基金托管人协商一致，基金管理人提前公告后，可直接对本部分内容进行修改和调整，无需召开基金份额持有人大会审议。</w:t>
      </w:r>
    </w:p>
    <w:p>
      <w:pPr>
        <w:numPr>
          <w:ilvl w:val="255"/>
          <w:numId w:val="0"/>
        </w:numPr>
        <w:spacing w:line="360" w:lineRule="auto"/>
        <w:rPr>
          <w:rFonts w:ascii="宋体" w:hAnsi="宋体" w:cs="宋体"/>
          <w:bCs/>
          <w:sz w:val="24"/>
        </w:rPr>
      </w:pPr>
    </w:p>
    <w:p>
      <w:pPr>
        <w:spacing w:line="360" w:lineRule="auto"/>
        <w:rPr>
          <w:rFonts w:ascii="宋体" w:hAnsi="宋体" w:cs="宋体"/>
          <w:b/>
          <w:sz w:val="28"/>
          <w:szCs w:val="24"/>
        </w:rPr>
      </w:pPr>
      <w:r>
        <w:rPr>
          <w:rFonts w:hint="eastAsia" w:ascii="宋体" w:hAnsi="宋体" w:cs="宋体"/>
          <w:b/>
          <w:sz w:val="28"/>
          <w:szCs w:val="24"/>
        </w:rPr>
        <w:t>三、基金收益分配原则、执行方式</w:t>
      </w:r>
    </w:p>
    <w:p>
      <w:pPr>
        <w:spacing w:line="360" w:lineRule="auto"/>
        <w:ind w:firstLine="540" w:firstLineChars="225"/>
        <w:rPr>
          <w:rFonts w:ascii="宋体" w:hAnsi="宋体" w:cs="宋体"/>
          <w:sz w:val="24"/>
        </w:rPr>
      </w:pPr>
      <w:r>
        <w:rPr>
          <w:rFonts w:hint="eastAsia" w:ascii="宋体" w:hAnsi="宋体" w:cs="宋体"/>
          <w:sz w:val="24"/>
        </w:rPr>
        <w:t>（一）基金利润的构成</w:t>
      </w:r>
    </w:p>
    <w:p>
      <w:pPr>
        <w:spacing w:line="360" w:lineRule="auto"/>
        <w:ind w:firstLine="540" w:firstLineChars="225"/>
        <w:rPr>
          <w:rFonts w:ascii="宋体" w:hAnsi="宋体" w:cs="宋体"/>
          <w:bCs/>
          <w:sz w:val="24"/>
        </w:rPr>
      </w:pPr>
      <w:r>
        <w:rPr>
          <w:rFonts w:hint="eastAsia" w:ascii="宋体" w:hAnsi="宋体" w:cs="宋体"/>
          <w:bCs/>
          <w:sz w:val="24"/>
        </w:rPr>
        <w:t>基金利润指基金利息收入、投资收益、公允价值变动收益和其他收入扣除相关费用后的余额，基金已实现收益指基金利润减去公允价值变动收益后的余额。</w:t>
      </w:r>
    </w:p>
    <w:p>
      <w:pPr>
        <w:spacing w:line="360" w:lineRule="auto"/>
        <w:ind w:firstLine="540" w:firstLineChars="225"/>
        <w:rPr>
          <w:rFonts w:ascii="宋体" w:hAnsi="宋体" w:cs="宋体"/>
          <w:sz w:val="24"/>
        </w:rPr>
      </w:pPr>
      <w:r>
        <w:rPr>
          <w:rFonts w:hint="eastAsia" w:ascii="宋体" w:hAnsi="宋体" w:cs="宋体"/>
          <w:sz w:val="24"/>
        </w:rPr>
        <w:t>（二）基金可供分配利润</w:t>
      </w:r>
    </w:p>
    <w:p>
      <w:pPr>
        <w:spacing w:line="360" w:lineRule="auto"/>
        <w:ind w:firstLine="540" w:firstLineChars="225"/>
        <w:rPr>
          <w:rFonts w:ascii="宋体" w:hAnsi="宋体" w:cs="宋体"/>
          <w:bCs/>
          <w:sz w:val="24"/>
        </w:rPr>
      </w:pPr>
      <w:r>
        <w:rPr>
          <w:rFonts w:hint="eastAsia" w:ascii="宋体" w:hAnsi="宋体" w:cs="宋体"/>
          <w:bCs/>
          <w:sz w:val="24"/>
        </w:rPr>
        <w:t>基金可供分配利润指截至收益分配基准日基金未分配利润与未分配利润中已实现收益的孰低数。</w:t>
      </w:r>
    </w:p>
    <w:p>
      <w:pPr>
        <w:spacing w:line="360" w:lineRule="auto"/>
        <w:ind w:firstLine="540" w:firstLineChars="225"/>
        <w:rPr>
          <w:rFonts w:ascii="宋体" w:hAnsi="宋体" w:cs="宋体"/>
          <w:sz w:val="24"/>
        </w:rPr>
      </w:pPr>
      <w:r>
        <w:rPr>
          <w:rFonts w:hint="eastAsia" w:ascii="宋体" w:hAnsi="宋体" w:cs="宋体"/>
          <w:sz w:val="24"/>
        </w:rPr>
        <w:t>（三）基金收益分配原则</w:t>
      </w:r>
    </w:p>
    <w:p>
      <w:pPr>
        <w:spacing w:line="360" w:lineRule="auto"/>
        <w:ind w:firstLine="540" w:firstLineChars="225"/>
        <w:rPr>
          <w:rFonts w:ascii="宋体" w:hAnsi="宋体" w:cs="宋体"/>
          <w:bCs/>
          <w:sz w:val="24"/>
        </w:rPr>
      </w:pPr>
      <w:r>
        <w:rPr>
          <w:rFonts w:hint="eastAsia" w:ascii="宋体" w:hAnsi="宋体" w:cs="宋体"/>
          <w:bCs/>
          <w:sz w:val="24"/>
        </w:rPr>
        <w:t>1、在符合有关基金分红条件的前提下，本基金每年至少进行收益分配1次，每次收益分配的比例应不低于基金年度可供分配金额的90%，具体分配方案以公告为准，若《基金合同》生效不满3个月可不进行收益分配；</w:t>
      </w:r>
    </w:p>
    <w:p>
      <w:pPr>
        <w:spacing w:line="360" w:lineRule="auto"/>
        <w:ind w:firstLine="540" w:firstLineChars="225"/>
        <w:rPr>
          <w:rFonts w:ascii="宋体" w:hAnsi="宋体" w:cs="宋体"/>
          <w:bCs/>
          <w:sz w:val="24"/>
        </w:rPr>
      </w:pPr>
      <w:r>
        <w:rPr>
          <w:rFonts w:hint="eastAsia" w:ascii="宋体" w:hAnsi="宋体" w:cs="宋体"/>
          <w:bCs/>
          <w:sz w:val="24"/>
        </w:rPr>
        <w:t>2、本基金收益分配采取现金分红方式；</w:t>
      </w:r>
    </w:p>
    <w:p>
      <w:pPr>
        <w:spacing w:line="360" w:lineRule="auto"/>
        <w:ind w:firstLine="540" w:firstLineChars="225"/>
        <w:rPr>
          <w:rFonts w:ascii="宋体" w:hAnsi="宋体" w:cs="宋体"/>
          <w:bCs/>
          <w:sz w:val="24"/>
        </w:rPr>
      </w:pPr>
      <w:r>
        <w:rPr>
          <w:rFonts w:hint="eastAsia" w:ascii="宋体" w:hAnsi="宋体" w:cs="宋体"/>
          <w:bCs/>
          <w:sz w:val="24"/>
        </w:rPr>
        <w:t>3、基金收益分配后基金份额净值不能低于面值，即基金收益分配基准日的 基金份额净值减去每单位基金份额收益分配金额后不能低于面值；</w:t>
      </w:r>
    </w:p>
    <w:p>
      <w:pPr>
        <w:spacing w:line="360" w:lineRule="auto"/>
        <w:ind w:firstLine="540" w:firstLineChars="225"/>
        <w:rPr>
          <w:rFonts w:ascii="宋体" w:hAnsi="宋体" w:cs="宋体"/>
          <w:bCs/>
          <w:sz w:val="24"/>
        </w:rPr>
      </w:pPr>
      <w:r>
        <w:rPr>
          <w:rFonts w:hint="eastAsia" w:ascii="宋体" w:hAnsi="宋体" w:cs="宋体"/>
          <w:bCs/>
          <w:sz w:val="24"/>
        </w:rPr>
        <w:t>4、每一基金份额享有同等分配权；</w:t>
      </w:r>
    </w:p>
    <w:p>
      <w:pPr>
        <w:spacing w:line="360" w:lineRule="auto"/>
        <w:ind w:firstLine="540" w:firstLineChars="225"/>
        <w:rPr>
          <w:rFonts w:ascii="宋体" w:hAnsi="宋体" w:cs="宋体"/>
          <w:bCs/>
          <w:sz w:val="24"/>
        </w:rPr>
      </w:pPr>
      <w:r>
        <w:rPr>
          <w:rFonts w:hint="eastAsia" w:ascii="宋体" w:hAnsi="宋体" w:cs="宋体"/>
          <w:bCs/>
          <w:sz w:val="24"/>
        </w:rPr>
        <w:t>5、法律法规或监管机关另有规定的，从其规定。</w:t>
      </w:r>
    </w:p>
    <w:p>
      <w:pPr>
        <w:spacing w:line="360" w:lineRule="auto"/>
        <w:ind w:firstLine="540" w:firstLineChars="225"/>
        <w:rPr>
          <w:rFonts w:ascii="宋体" w:hAnsi="宋体" w:cs="宋体"/>
          <w:sz w:val="24"/>
        </w:rPr>
      </w:pPr>
      <w:r>
        <w:rPr>
          <w:rFonts w:hint="eastAsia" w:ascii="宋体" w:hAnsi="宋体" w:cs="宋体"/>
          <w:bCs/>
          <w:sz w:val="24"/>
        </w:rPr>
        <w:t>本基金每次收益分配比例详见届时基金管理人发布的公告。在不违反法律法规及基金合同约定，并对基金份额持有人利益无实质不利影响的前提下，</w:t>
      </w:r>
      <w:r>
        <w:rPr>
          <w:rFonts w:hint="eastAsia"/>
          <w:bCs/>
          <w:sz w:val="24"/>
        </w:rPr>
        <w:t>履行适当程序后，</w:t>
      </w:r>
      <w:r>
        <w:rPr>
          <w:rFonts w:hint="eastAsia" w:ascii="宋体" w:hAnsi="宋体" w:cs="宋体"/>
          <w:bCs/>
          <w:sz w:val="24"/>
        </w:rPr>
        <w:t>基金管理人可对基金收益分配原则和支付方式进行调整。</w:t>
      </w:r>
    </w:p>
    <w:p>
      <w:pPr>
        <w:spacing w:line="360" w:lineRule="auto"/>
        <w:ind w:firstLine="540" w:firstLineChars="225"/>
        <w:rPr>
          <w:rFonts w:ascii="宋体" w:hAnsi="宋体" w:cs="宋体"/>
          <w:sz w:val="24"/>
        </w:rPr>
      </w:pPr>
      <w:r>
        <w:rPr>
          <w:rFonts w:hint="eastAsia" w:ascii="宋体" w:hAnsi="宋体" w:cs="宋体"/>
          <w:sz w:val="24"/>
        </w:rPr>
        <w:t>（四）收益分配方案</w:t>
      </w:r>
    </w:p>
    <w:p>
      <w:pPr>
        <w:spacing w:line="360" w:lineRule="auto"/>
        <w:ind w:firstLine="540" w:firstLineChars="225"/>
        <w:rPr>
          <w:rFonts w:ascii="宋体" w:hAnsi="宋体" w:cs="宋体"/>
          <w:bCs/>
          <w:sz w:val="24"/>
        </w:rPr>
      </w:pPr>
      <w:r>
        <w:rPr>
          <w:rFonts w:hint="eastAsia" w:ascii="宋体" w:hAnsi="宋体" w:cs="宋体"/>
          <w:bCs/>
          <w:sz w:val="24"/>
        </w:rPr>
        <w:t>基金收益分配方案中应载明截止收益分配基准日的可供分配利润、基金收益分配对象、分配时间、分配数额及比例、分配方式等内容。</w:t>
      </w:r>
    </w:p>
    <w:p>
      <w:pPr>
        <w:spacing w:line="360" w:lineRule="auto"/>
        <w:ind w:firstLine="540" w:firstLineChars="225"/>
        <w:rPr>
          <w:rFonts w:ascii="宋体" w:hAnsi="宋体" w:cs="宋体"/>
          <w:sz w:val="24"/>
        </w:rPr>
      </w:pPr>
      <w:r>
        <w:rPr>
          <w:rFonts w:hint="eastAsia" w:ascii="宋体" w:hAnsi="宋体" w:cs="宋体"/>
          <w:sz w:val="24"/>
        </w:rPr>
        <w:t>（五）收益分配方案的确定、公告与实施</w:t>
      </w:r>
    </w:p>
    <w:p>
      <w:pPr>
        <w:spacing w:line="360" w:lineRule="auto"/>
        <w:ind w:firstLine="540" w:firstLineChars="225"/>
        <w:rPr>
          <w:rFonts w:ascii="宋体" w:hAnsi="宋体" w:cs="宋体"/>
          <w:bCs/>
          <w:sz w:val="24"/>
        </w:rPr>
      </w:pPr>
      <w:r>
        <w:rPr>
          <w:rFonts w:hint="eastAsia" w:ascii="宋体" w:hAnsi="宋体" w:cs="宋体"/>
          <w:bCs/>
          <w:sz w:val="24"/>
        </w:rPr>
        <w:t>本基金收益分配方案由基金管理人拟定，并由基金托管人复核，依照《信息披露办法》的有关规定在规定媒介公告。</w:t>
      </w:r>
    </w:p>
    <w:p>
      <w:pPr>
        <w:spacing w:line="360" w:lineRule="auto"/>
        <w:ind w:firstLine="540" w:firstLineChars="225"/>
        <w:rPr>
          <w:rFonts w:ascii="宋体" w:hAnsi="宋体" w:cs="宋体"/>
          <w:sz w:val="24"/>
        </w:rPr>
      </w:pPr>
      <w:r>
        <w:rPr>
          <w:rFonts w:hint="eastAsia" w:ascii="宋体" w:hAnsi="宋体" w:cs="宋体"/>
          <w:sz w:val="24"/>
        </w:rPr>
        <w:t>（六）基金收益分配中发生的费用</w:t>
      </w:r>
    </w:p>
    <w:p>
      <w:pPr>
        <w:spacing w:line="360" w:lineRule="auto"/>
        <w:ind w:firstLine="540" w:firstLineChars="225"/>
        <w:rPr>
          <w:rFonts w:ascii="宋体" w:hAnsi="宋体" w:cs="宋体"/>
          <w:bCs/>
          <w:sz w:val="24"/>
        </w:rPr>
      </w:pPr>
      <w:r>
        <w:rPr>
          <w:rFonts w:hint="eastAsia" w:ascii="宋体" w:hAnsi="宋体" w:cs="宋体"/>
          <w:bCs/>
          <w:sz w:val="24"/>
        </w:rPr>
        <w:t>基金收益分配时所发生的银行转账或其他手续费用由投资者自行承担。</w:t>
      </w:r>
    </w:p>
    <w:p>
      <w:pPr>
        <w:spacing w:line="360" w:lineRule="auto"/>
        <w:ind w:firstLine="540" w:firstLineChars="225"/>
        <w:rPr>
          <w:rFonts w:ascii="宋体" w:hAnsi="宋体" w:cs="宋体"/>
          <w:bCs/>
          <w:sz w:val="24"/>
        </w:rPr>
      </w:pPr>
    </w:p>
    <w:p>
      <w:pPr>
        <w:spacing w:line="360" w:lineRule="auto"/>
        <w:rPr>
          <w:rFonts w:ascii="宋体" w:hAnsi="宋体" w:cs="宋体"/>
          <w:b/>
          <w:sz w:val="24"/>
          <w:szCs w:val="24"/>
        </w:rPr>
      </w:pPr>
      <w:r>
        <w:rPr>
          <w:rFonts w:hint="eastAsia" w:ascii="宋体" w:hAnsi="宋体" w:cs="宋体"/>
          <w:b/>
          <w:sz w:val="28"/>
          <w:szCs w:val="24"/>
        </w:rPr>
        <w:t>四、与基金财产管理、运营有关费用的提取、支付方式与比例</w:t>
      </w:r>
    </w:p>
    <w:p>
      <w:pPr>
        <w:spacing w:line="360" w:lineRule="auto"/>
        <w:ind w:firstLine="480" w:firstLineChars="200"/>
        <w:rPr>
          <w:rFonts w:ascii="宋体" w:hAnsi="宋体" w:cs="宋体"/>
          <w:sz w:val="24"/>
        </w:rPr>
      </w:pPr>
      <w:r>
        <w:rPr>
          <w:rFonts w:hint="eastAsia" w:ascii="宋体" w:hAnsi="宋体" w:cs="宋体"/>
          <w:sz w:val="24"/>
        </w:rPr>
        <w:t>（一）基金费用的种类</w:t>
      </w:r>
    </w:p>
    <w:p>
      <w:pPr>
        <w:spacing w:line="360" w:lineRule="auto"/>
        <w:ind w:firstLine="480" w:firstLineChars="200"/>
        <w:rPr>
          <w:rFonts w:ascii="宋体" w:hAnsi="宋体" w:cs="宋体"/>
          <w:bCs/>
          <w:sz w:val="24"/>
        </w:rPr>
      </w:pPr>
      <w:r>
        <w:rPr>
          <w:rFonts w:hint="eastAsia" w:ascii="宋体" w:hAnsi="宋体" w:cs="宋体"/>
          <w:bCs/>
          <w:sz w:val="24"/>
        </w:rPr>
        <w:t>1、基金管理人的管理费；</w:t>
      </w:r>
    </w:p>
    <w:p>
      <w:pPr>
        <w:spacing w:line="360" w:lineRule="auto"/>
        <w:ind w:firstLine="480" w:firstLineChars="200"/>
        <w:rPr>
          <w:rFonts w:ascii="宋体" w:hAnsi="宋体" w:cs="宋体"/>
          <w:bCs/>
          <w:sz w:val="24"/>
        </w:rPr>
      </w:pPr>
      <w:r>
        <w:rPr>
          <w:rFonts w:hint="eastAsia" w:ascii="宋体" w:hAnsi="宋体" w:cs="宋体"/>
          <w:bCs/>
          <w:sz w:val="24"/>
        </w:rPr>
        <w:t>2、基金托管人的托管费；</w:t>
      </w:r>
    </w:p>
    <w:p>
      <w:pPr>
        <w:spacing w:line="360" w:lineRule="auto"/>
        <w:ind w:firstLine="480" w:firstLineChars="200"/>
        <w:rPr>
          <w:rFonts w:ascii="宋体" w:hAnsi="宋体" w:cs="宋体"/>
          <w:bCs/>
          <w:sz w:val="24"/>
        </w:rPr>
      </w:pPr>
      <w:r>
        <w:rPr>
          <w:rFonts w:hint="eastAsia" w:ascii="宋体" w:hAnsi="宋体" w:cs="宋体"/>
          <w:bCs/>
          <w:sz w:val="24"/>
        </w:rPr>
        <w:t>3、《基金合同》生效后与基金相关的信息披露费用；</w:t>
      </w:r>
    </w:p>
    <w:p>
      <w:pPr>
        <w:spacing w:line="360" w:lineRule="auto"/>
        <w:ind w:firstLine="480" w:firstLineChars="200"/>
        <w:rPr>
          <w:rFonts w:ascii="宋体" w:hAnsi="宋体" w:cs="宋体"/>
          <w:bCs/>
          <w:sz w:val="24"/>
        </w:rPr>
      </w:pPr>
      <w:r>
        <w:rPr>
          <w:rFonts w:hint="eastAsia" w:ascii="宋体" w:hAnsi="宋体" w:cs="宋体"/>
          <w:bCs/>
          <w:sz w:val="24"/>
        </w:rPr>
        <w:t>4、《基金合同》生效后与基金相关的会计师费、律师费、诉讼费和仲裁费；</w:t>
      </w:r>
    </w:p>
    <w:p>
      <w:pPr>
        <w:spacing w:line="360" w:lineRule="auto"/>
        <w:ind w:firstLine="480" w:firstLineChars="200"/>
        <w:rPr>
          <w:rFonts w:ascii="宋体" w:hAnsi="宋体" w:cs="宋体"/>
          <w:bCs/>
          <w:sz w:val="24"/>
        </w:rPr>
      </w:pPr>
      <w:r>
        <w:rPr>
          <w:rFonts w:hint="eastAsia" w:ascii="宋体" w:hAnsi="宋体" w:cs="宋体"/>
          <w:bCs/>
          <w:sz w:val="24"/>
        </w:rPr>
        <w:t>5、基金份额持有人大会费用；</w:t>
      </w:r>
    </w:p>
    <w:p>
      <w:pPr>
        <w:spacing w:line="360" w:lineRule="auto"/>
        <w:ind w:firstLine="480" w:firstLineChars="200"/>
        <w:rPr>
          <w:rFonts w:ascii="宋体" w:hAnsi="宋体" w:cs="宋体"/>
          <w:bCs/>
          <w:sz w:val="24"/>
        </w:rPr>
      </w:pPr>
      <w:r>
        <w:rPr>
          <w:rFonts w:hint="eastAsia" w:ascii="宋体" w:hAnsi="宋体" w:cs="宋体"/>
          <w:bCs/>
          <w:sz w:val="24"/>
        </w:rPr>
        <w:t>6、基金的证券交易费用；</w:t>
      </w:r>
    </w:p>
    <w:p>
      <w:pPr>
        <w:spacing w:line="360" w:lineRule="auto"/>
        <w:ind w:firstLine="480" w:firstLineChars="200"/>
        <w:rPr>
          <w:rFonts w:ascii="宋体" w:hAnsi="宋体" w:cs="宋体"/>
          <w:bCs/>
          <w:sz w:val="24"/>
        </w:rPr>
      </w:pPr>
      <w:r>
        <w:rPr>
          <w:rFonts w:hint="eastAsia" w:ascii="宋体" w:hAnsi="宋体" w:cs="宋体"/>
          <w:bCs/>
          <w:sz w:val="24"/>
        </w:rPr>
        <w:t>7、基金的银行汇划费用；</w:t>
      </w:r>
    </w:p>
    <w:p>
      <w:pPr>
        <w:spacing w:line="360" w:lineRule="auto"/>
        <w:ind w:firstLine="480" w:firstLineChars="200"/>
        <w:rPr>
          <w:rFonts w:ascii="宋体" w:hAnsi="宋体" w:cs="宋体"/>
          <w:bCs/>
          <w:sz w:val="24"/>
        </w:rPr>
      </w:pPr>
      <w:r>
        <w:rPr>
          <w:rFonts w:hint="eastAsia" w:ascii="宋体" w:hAnsi="宋体" w:cs="宋体"/>
          <w:bCs/>
          <w:sz w:val="24"/>
        </w:rPr>
        <w:t>8、基金相关账户开户费用、账户维护费用；</w:t>
      </w:r>
    </w:p>
    <w:p>
      <w:pPr>
        <w:spacing w:line="360" w:lineRule="auto"/>
        <w:ind w:firstLine="480" w:firstLineChars="200"/>
        <w:rPr>
          <w:rFonts w:ascii="宋体" w:hAnsi="宋体" w:cs="宋体"/>
          <w:bCs/>
          <w:sz w:val="24"/>
        </w:rPr>
      </w:pPr>
      <w:r>
        <w:rPr>
          <w:rFonts w:hint="eastAsia" w:ascii="宋体" w:hAnsi="宋体" w:cs="宋体"/>
          <w:bCs/>
          <w:sz w:val="24"/>
        </w:rPr>
        <w:t>9、按照国家有关规定和《基金合同》约定，可以在基金财产中列支的其他 费用。</w:t>
      </w:r>
    </w:p>
    <w:p>
      <w:pPr>
        <w:spacing w:line="360" w:lineRule="auto"/>
        <w:ind w:firstLine="480" w:firstLineChars="200"/>
        <w:rPr>
          <w:rFonts w:ascii="宋体" w:hAnsi="宋体" w:cs="宋体"/>
          <w:sz w:val="24"/>
        </w:rPr>
      </w:pPr>
      <w:r>
        <w:rPr>
          <w:rFonts w:hint="eastAsia" w:ascii="宋体" w:hAnsi="宋体" w:cs="宋体"/>
          <w:sz w:val="24"/>
        </w:rPr>
        <w:t>（二）基金费用计提方法、计提标准和支付方式</w:t>
      </w:r>
    </w:p>
    <w:p>
      <w:pPr>
        <w:spacing w:line="360" w:lineRule="auto"/>
        <w:ind w:firstLine="480" w:firstLineChars="200"/>
        <w:rPr>
          <w:rFonts w:ascii="宋体" w:hAnsi="宋体" w:cs="宋体"/>
          <w:bCs/>
          <w:sz w:val="24"/>
        </w:rPr>
      </w:pPr>
      <w:r>
        <w:rPr>
          <w:rFonts w:hint="eastAsia" w:ascii="宋体" w:hAnsi="宋体" w:cs="宋体"/>
          <w:bCs/>
          <w:sz w:val="24"/>
        </w:rPr>
        <w:t xml:space="preserve">1、基金管理人的管理费 </w:t>
      </w:r>
    </w:p>
    <w:p>
      <w:pPr>
        <w:spacing w:line="360" w:lineRule="auto"/>
        <w:ind w:firstLine="480" w:firstLineChars="200"/>
        <w:rPr>
          <w:rFonts w:ascii="宋体" w:hAnsi="宋体" w:cs="宋体"/>
          <w:bCs/>
          <w:sz w:val="24"/>
        </w:rPr>
      </w:pPr>
      <w:r>
        <w:rPr>
          <w:rFonts w:hint="eastAsia" w:ascii="宋体" w:hAnsi="宋体" w:cs="宋体"/>
          <w:bCs/>
          <w:sz w:val="24"/>
        </w:rPr>
        <w:t>本基金的管理费按前一日基金资产净值的0.15%年费率计提。管理费的计算方法如下：</w:t>
      </w:r>
    </w:p>
    <w:p>
      <w:pPr>
        <w:spacing w:line="360" w:lineRule="auto"/>
        <w:ind w:firstLine="480" w:firstLineChars="200"/>
        <w:rPr>
          <w:rFonts w:ascii="宋体" w:hAnsi="宋体" w:cs="宋体"/>
          <w:bCs/>
          <w:sz w:val="24"/>
        </w:rPr>
      </w:pPr>
      <w:r>
        <w:rPr>
          <w:rFonts w:hint="eastAsia" w:ascii="宋体" w:hAnsi="宋体" w:cs="宋体"/>
          <w:bCs/>
          <w:sz w:val="24"/>
        </w:rPr>
        <w:t>H＝E×0.15%÷当年天数</w:t>
      </w:r>
    </w:p>
    <w:p>
      <w:pPr>
        <w:spacing w:line="360" w:lineRule="auto"/>
        <w:ind w:firstLine="480" w:firstLineChars="200"/>
        <w:rPr>
          <w:rFonts w:ascii="宋体" w:hAnsi="宋体" w:cs="宋体"/>
          <w:bCs/>
          <w:sz w:val="24"/>
        </w:rPr>
      </w:pPr>
      <w:r>
        <w:rPr>
          <w:rFonts w:hint="eastAsia" w:ascii="宋体" w:hAnsi="宋体" w:cs="宋体"/>
          <w:bCs/>
          <w:sz w:val="24"/>
        </w:rPr>
        <w:t>H为每日应计提的基金管理费</w:t>
      </w:r>
    </w:p>
    <w:p>
      <w:pPr>
        <w:spacing w:line="360" w:lineRule="auto"/>
        <w:ind w:firstLine="480" w:firstLineChars="200"/>
        <w:rPr>
          <w:rFonts w:ascii="宋体" w:hAnsi="宋体" w:cs="宋体"/>
          <w:bCs/>
          <w:sz w:val="24"/>
        </w:rPr>
      </w:pPr>
      <w:r>
        <w:rPr>
          <w:rFonts w:hint="eastAsia" w:ascii="宋体" w:hAnsi="宋体" w:cs="宋体"/>
          <w:bCs/>
          <w:sz w:val="24"/>
        </w:rPr>
        <w:t>E为前一日的基金资产净值</w:t>
      </w:r>
    </w:p>
    <w:p>
      <w:pPr>
        <w:spacing w:line="360" w:lineRule="auto"/>
        <w:ind w:firstLine="480" w:firstLineChars="200"/>
        <w:rPr>
          <w:rFonts w:ascii="宋体" w:hAnsi="宋体" w:cs="宋体"/>
          <w:bCs/>
          <w:sz w:val="24"/>
        </w:rPr>
      </w:pPr>
      <w:r>
        <w:rPr>
          <w:rFonts w:hint="eastAsia" w:ascii="宋体" w:hAnsi="宋体" w:cs="宋体"/>
          <w:bCs/>
          <w:sz w:val="24"/>
        </w:rPr>
        <w:t>基金管理费每日计提，逐日累计至每月月末，按月支付，经基金管理人与基金托管人双方核对无误后，基金托管人按照与基金管理人协商一致的方式于次月首日起5个工作日内从基金财产中一次性支付给基金管理人。若遇法定节假日、公休假或不可抗力等，支付日期顺延。</w:t>
      </w:r>
    </w:p>
    <w:p>
      <w:pPr>
        <w:spacing w:line="360" w:lineRule="auto"/>
        <w:ind w:firstLine="480" w:firstLineChars="200"/>
        <w:rPr>
          <w:rFonts w:ascii="宋体" w:hAnsi="宋体" w:cs="宋体"/>
          <w:bCs/>
          <w:sz w:val="24"/>
        </w:rPr>
      </w:pPr>
      <w:r>
        <w:rPr>
          <w:rFonts w:hint="eastAsia" w:ascii="宋体" w:hAnsi="宋体" w:cs="宋体"/>
          <w:bCs/>
          <w:sz w:val="24"/>
        </w:rPr>
        <w:t>2、基金托管人的托管费</w:t>
      </w:r>
    </w:p>
    <w:p>
      <w:pPr>
        <w:spacing w:line="360" w:lineRule="auto"/>
        <w:ind w:firstLine="480" w:firstLineChars="200"/>
        <w:rPr>
          <w:rFonts w:ascii="宋体" w:hAnsi="宋体" w:cs="宋体"/>
          <w:bCs/>
          <w:sz w:val="24"/>
        </w:rPr>
      </w:pPr>
      <w:r>
        <w:rPr>
          <w:rFonts w:hint="eastAsia" w:ascii="宋体" w:hAnsi="宋体" w:cs="宋体"/>
          <w:bCs/>
          <w:sz w:val="24"/>
        </w:rPr>
        <w:t>本基金的托管费按前一日基金资产净值的0.05%的年费率计提。托管费的计算方法如下：</w:t>
      </w:r>
    </w:p>
    <w:p>
      <w:pPr>
        <w:spacing w:line="360" w:lineRule="auto"/>
        <w:ind w:firstLine="480" w:firstLineChars="200"/>
        <w:rPr>
          <w:rFonts w:ascii="宋体" w:hAnsi="宋体" w:cs="宋体"/>
          <w:bCs/>
          <w:sz w:val="24"/>
        </w:rPr>
      </w:pPr>
      <w:r>
        <w:rPr>
          <w:rFonts w:hint="eastAsia" w:ascii="宋体" w:hAnsi="宋体" w:cs="宋体"/>
          <w:bCs/>
          <w:sz w:val="24"/>
        </w:rPr>
        <w:t>H＝E×0.05%÷当年天数</w:t>
      </w:r>
    </w:p>
    <w:p>
      <w:pPr>
        <w:spacing w:line="360" w:lineRule="auto"/>
        <w:ind w:firstLine="480" w:firstLineChars="200"/>
        <w:rPr>
          <w:rFonts w:ascii="宋体" w:hAnsi="宋体" w:cs="宋体"/>
          <w:bCs/>
          <w:sz w:val="24"/>
        </w:rPr>
      </w:pPr>
      <w:r>
        <w:rPr>
          <w:rFonts w:hint="eastAsia" w:ascii="宋体" w:hAnsi="宋体" w:cs="宋体"/>
          <w:bCs/>
          <w:sz w:val="24"/>
        </w:rPr>
        <w:t>H为每日应计提的基金托管费</w:t>
      </w:r>
    </w:p>
    <w:p>
      <w:pPr>
        <w:spacing w:line="360" w:lineRule="auto"/>
        <w:ind w:firstLine="480" w:firstLineChars="200"/>
        <w:rPr>
          <w:rFonts w:ascii="宋体" w:hAnsi="宋体" w:cs="宋体"/>
          <w:bCs/>
          <w:sz w:val="24"/>
        </w:rPr>
      </w:pPr>
      <w:r>
        <w:rPr>
          <w:rFonts w:hint="eastAsia" w:ascii="宋体" w:hAnsi="宋体" w:cs="宋体"/>
          <w:bCs/>
          <w:sz w:val="24"/>
        </w:rPr>
        <w:t>E为前一日的基金资产净值</w:t>
      </w:r>
    </w:p>
    <w:p>
      <w:pPr>
        <w:spacing w:line="360" w:lineRule="auto"/>
        <w:ind w:firstLine="480" w:firstLineChars="200"/>
        <w:rPr>
          <w:rFonts w:ascii="宋体" w:hAnsi="宋体" w:cs="宋体"/>
          <w:bCs/>
          <w:sz w:val="24"/>
        </w:rPr>
      </w:pPr>
      <w:r>
        <w:rPr>
          <w:rFonts w:hint="eastAsia" w:ascii="宋体" w:hAnsi="宋体" w:cs="宋体"/>
          <w:bCs/>
          <w:sz w:val="24"/>
        </w:rPr>
        <w:t>基金托管费每日计提，逐日累计至每月月末，按月支付，经基金管理人与基金托管人双方核对无误后，基金托管人按照与基金管理人协商一致的方式于次月首日起5个工作日内从基金财产中一次性支取。若遇法定节假日、公休假或不可抗力等，支付日期顺延。</w:t>
      </w:r>
    </w:p>
    <w:p>
      <w:pPr>
        <w:spacing w:line="360" w:lineRule="auto"/>
        <w:ind w:firstLine="480" w:firstLineChars="200"/>
        <w:rPr>
          <w:rFonts w:ascii="宋体" w:hAnsi="宋体" w:cs="宋体"/>
          <w:bCs/>
          <w:sz w:val="24"/>
        </w:rPr>
      </w:pPr>
      <w:r>
        <w:rPr>
          <w:rFonts w:hint="eastAsia" w:ascii="宋体" w:hAnsi="宋体" w:cs="宋体"/>
          <w:bCs/>
          <w:sz w:val="24"/>
        </w:rPr>
        <w:t>上述“一、基金费用的种类”中第3-9项费用，根据有关法规及相应协议规定，按费用实际支出金额列入当期费用，由基金托管人从基金财产中支付。</w:t>
      </w:r>
    </w:p>
    <w:p>
      <w:pPr>
        <w:spacing w:line="360" w:lineRule="auto"/>
        <w:ind w:firstLine="480" w:firstLineChars="200"/>
        <w:rPr>
          <w:rFonts w:ascii="宋体" w:hAnsi="宋体" w:cs="宋体"/>
          <w:bCs/>
          <w:sz w:val="24"/>
        </w:rPr>
      </w:pPr>
      <w:r>
        <w:rPr>
          <w:rFonts w:hint="eastAsia" w:ascii="宋体" w:hAnsi="宋体" w:cs="宋体"/>
          <w:bCs/>
          <w:sz w:val="24"/>
        </w:rPr>
        <w:t>（三）不列入基金费用的项目</w:t>
      </w:r>
    </w:p>
    <w:p>
      <w:pPr>
        <w:spacing w:line="360" w:lineRule="auto"/>
        <w:ind w:firstLine="480" w:firstLineChars="200"/>
        <w:rPr>
          <w:rFonts w:ascii="宋体" w:hAnsi="宋体" w:cs="宋体"/>
          <w:bCs/>
          <w:sz w:val="24"/>
        </w:rPr>
      </w:pPr>
      <w:r>
        <w:rPr>
          <w:rFonts w:hint="eastAsia" w:ascii="宋体" w:hAnsi="宋体" w:cs="宋体"/>
          <w:bCs/>
          <w:sz w:val="24"/>
        </w:rPr>
        <w:t>下列费用不列入基金费用：</w:t>
      </w:r>
    </w:p>
    <w:p>
      <w:pPr>
        <w:spacing w:line="360" w:lineRule="auto"/>
        <w:ind w:firstLine="480" w:firstLineChars="200"/>
        <w:rPr>
          <w:rFonts w:ascii="宋体" w:hAnsi="宋体" w:cs="宋体"/>
          <w:bCs/>
          <w:sz w:val="24"/>
        </w:rPr>
      </w:pPr>
      <w:r>
        <w:rPr>
          <w:rFonts w:hint="eastAsia" w:ascii="宋体" w:hAnsi="宋体" w:cs="宋体"/>
          <w:bCs/>
          <w:sz w:val="24"/>
        </w:rPr>
        <w:t>1、基金管理人和基金托管人因未履行或未完全履行义务导致的费用支出或基金财产的损失；</w:t>
      </w:r>
    </w:p>
    <w:p>
      <w:pPr>
        <w:spacing w:line="360" w:lineRule="auto"/>
        <w:ind w:firstLine="480" w:firstLineChars="200"/>
        <w:rPr>
          <w:rFonts w:ascii="宋体" w:hAnsi="宋体" w:cs="宋体"/>
          <w:bCs/>
          <w:sz w:val="24"/>
        </w:rPr>
      </w:pPr>
      <w:r>
        <w:rPr>
          <w:rFonts w:hint="eastAsia" w:ascii="宋体" w:hAnsi="宋体" w:cs="宋体"/>
          <w:bCs/>
          <w:sz w:val="24"/>
        </w:rPr>
        <w:t>2、基金管理人和基金托管人处理与基金运作无关的事项发生的费用；</w:t>
      </w:r>
    </w:p>
    <w:p>
      <w:pPr>
        <w:spacing w:line="360" w:lineRule="auto"/>
        <w:ind w:firstLine="480" w:firstLineChars="200"/>
        <w:rPr>
          <w:rFonts w:ascii="宋体" w:hAnsi="宋体" w:cs="宋体"/>
          <w:bCs/>
          <w:sz w:val="24"/>
        </w:rPr>
      </w:pPr>
      <w:r>
        <w:rPr>
          <w:rFonts w:hint="eastAsia" w:ascii="宋体" w:hAnsi="宋体" w:cs="宋体"/>
          <w:bCs/>
          <w:sz w:val="24"/>
        </w:rPr>
        <w:t>3、《基金合同》生效前的相关费用；</w:t>
      </w:r>
    </w:p>
    <w:p>
      <w:pPr>
        <w:spacing w:line="360" w:lineRule="auto"/>
        <w:ind w:firstLine="480" w:firstLineChars="200"/>
        <w:rPr>
          <w:rFonts w:ascii="宋体" w:hAnsi="宋体" w:cs="宋体"/>
          <w:bCs/>
          <w:sz w:val="24"/>
        </w:rPr>
      </w:pPr>
      <w:r>
        <w:rPr>
          <w:rFonts w:hint="eastAsia" w:ascii="宋体" w:hAnsi="宋体" w:cs="宋体"/>
          <w:bCs/>
          <w:sz w:val="24"/>
        </w:rPr>
        <w:t>4、其他根据相关法律法规及中国证监会的有关规定不得列入基金费用的项目。</w:t>
      </w:r>
    </w:p>
    <w:p>
      <w:pPr>
        <w:spacing w:line="360" w:lineRule="auto"/>
        <w:ind w:firstLine="480" w:firstLineChars="200"/>
        <w:rPr>
          <w:rFonts w:ascii="宋体" w:hAnsi="宋体" w:cs="宋体"/>
          <w:bCs/>
          <w:sz w:val="24"/>
        </w:rPr>
      </w:pPr>
      <w:r>
        <w:rPr>
          <w:rFonts w:hint="eastAsia" w:ascii="宋体" w:hAnsi="宋体" w:cs="宋体"/>
          <w:bCs/>
          <w:sz w:val="24"/>
        </w:rPr>
        <w:t>（四）基金综合费用水平</w:t>
      </w:r>
    </w:p>
    <w:p>
      <w:pPr>
        <w:spacing w:line="360" w:lineRule="auto"/>
        <w:ind w:firstLine="480" w:firstLineChars="200"/>
        <w:rPr>
          <w:rFonts w:ascii="宋体" w:hAnsi="宋体" w:cs="宋体"/>
          <w:sz w:val="24"/>
        </w:rPr>
      </w:pPr>
      <w:r>
        <w:rPr>
          <w:rFonts w:hint="eastAsia" w:ascii="宋体" w:hAnsi="宋体" w:cs="宋体"/>
          <w:bCs/>
          <w:sz w:val="24"/>
        </w:rPr>
        <w:t>本基金综合费用水平在招募说明书及产品资料概要中列示。</w:t>
      </w:r>
    </w:p>
    <w:p>
      <w:pPr>
        <w:spacing w:line="360" w:lineRule="auto"/>
        <w:ind w:firstLine="480" w:firstLineChars="200"/>
        <w:rPr>
          <w:rFonts w:ascii="宋体" w:hAnsi="宋体" w:cs="宋体"/>
          <w:sz w:val="24"/>
        </w:rPr>
      </w:pPr>
      <w:r>
        <w:rPr>
          <w:rFonts w:hint="eastAsia" w:ascii="宋体" w:hAnsi="宋体" w:cs="宋体"/>
          <w:sz w:val="24"/>
        </w:rPr>
        <w:t>（五）基金税收</w:t>
      </w:r>
    </w:p>
    <w:p>
      <w:pPr>
        <w:spacing w:line="360" w:lineRule="auto"/>
        <w:ind w:firstLine="480" w:firstLineChars="200"/>
        <w:rPr>
          <w:rFonts w:ascii="宋体" w:hAnsi="宋体" w:cs="宋体"/>
          <w:sz w:val="24"/>
        </w:rPr>
      </w:pPr>
      <w:r>
        <w:rPr>
          <w:rFonts w:hint="eastAsia" w:ascii="宋体" w:hAnsi="宋体" w:cs="宋体"/>
          <w:sz w:val="24"/>
        </w:rPr>
        <w:t>本基金运作过程中涉及的各纳税主体，其纳税义务按国家税收法律、法规执行。基金财产投资的相关税收，由基金份额持有人承担，基金管理人或者其他扣缴义务人按照国家有关税收征收的规定代扣代缴。</w:t>
      </w:r>
    </w:p>
    <w:p>
      <w:pPr>
        <w:spacing w:line="360" w:lineRule="auto"/>
        <w:ind w:firstLine="480" w:firstLineChars="200"/>
        <w:rPr>
          <w:rFonts w:ascii="宋体" w:hAnsi="宋体" w:cs="宋体"/>
          <w:sz w:val="24"/>
        </w:rPr>
      </w:pPr>
    </w:p>
    <w:p>
      <w:pPr>
        <w:spacing w:line="360" w:lineRule="auto"/>
        <w:ind w:firstLine="562" w:firstLineChars="200"/>
        <w:rPr>
          <w:rFonts w:ascii="宋体" w:hAnsi="宋体" w:cs="宋体"/>
          <w:b/>
          <w:sz w:val="24"/>
          <w:szCs w:val="24"/>
        </w:rPr>
      </w:pPr>
      <w:r>
        <w:rPr>
          <w:rFonts w:hint="eastAsia" w:ascii="宋体" w:hAnsi="宋体" w:cs="宋体"/>
          <w:b/>
          <w:sz w:val="28"/>
          <w:szCs w:val="24"/>
        </w:rPr>
        <w:t>五、基金财产的投资方向和投资限制</w:t>
      </w:r>
    </w:p>
    <w:p>
      <w:pPr>
        <w:spacing w:line="360" w:lineRule="auto"/>
        <w:ind w:firstLine="480" w:firstLineChars="200"/>
        <w:rPr>
          <w:rFonts w:ascii="宋体" w:hAnsi="宋体" w:cs="宋体"/>
          <w:sz w:val="24"/>
        </w:rPr>
      </w:pPr>
      <w:r>
        <w:rPr>
          <w:rFonts w:hint="eastAsia" w:ascii="宋体" w:hAnsi="宋体" w:cs="宋体"/>
          <w:sz w:val="24"/>
        </w:rPr>
        <w:t>（一）投资目标</w:t>
      </w:r>
    </w:p>
    <w:p>
      <w:pPr>
        <w:spacing w:line="360" w:lineRule="auto"/>
        <w:ind w:left="479" w:leftChars="228"/>
        <w:rPr>
          <w:rFonts w:ascii="宋体" w:hAnsi="宋体" w:cs="宋体"/>
          <w:sz w:val="24"/>
        </w:rPr>
      </w:pPr>
      <w:r>
        <w:rPr>
          <w:rFonts w:hint="eastAsia" w:ascii="宋体" w:hAnsi="宋体" w:cs="宋体"/>
          <w:bCs/>
          <w:sz w:val="24"/>
        </w:rPr>
        <w:t>本基金在严格控制投资组合风险的前提下,追求基金资产的长期稳健增值。</w:t>
      </w:r>
      <w:r>
        <w:rPr>
          <w:rFonts w:hint="eastAsia" w:ascii="宋体" w:hAnsi="宋体" w:cs="宋体"/>
          <w:sz w:val="24"/>
        </w:rPr>
        <w:t>（二）投资范围</w:t>
      </w:r>
    </w:p>
    <w:p>
      <w:pPr>
        <w:spacing w:line="360" w:lineRule="auto"/>
        <w:ind w:firstLine="480" w:firstLineChars="200"/>
        <w:rPr>
          <w:rFonts w:ascii="宋体" w:hAnsi="宋体" w:cs="宋体"/>
          <w:sz w:val="24"/>
          <w:szCs w:val="24"/>
        </w:rPr>
      </w:pPr>
      <w:r>
        <w:rPr>
          <w:rFonts w:hint="eastAsia" w:ascii="宋体" w:hAnsi="宋体" w:cs="宋体"/>
          <w:sz w:val="24"/>
          <w:szCs w:val="24"/>
        </w:rPr>
        <w:t>本基金的投资范围为具有良好流动性的金融工具，包括国内依法发行的债券（国债、金融债、央行票据、地方政府债、企业债、公司债、中期票据、短期融资券、超短期融资券、政府支持机构债券、政府支持债券、证券公司短期公司债券、公开发行的次级债）、资产支持证券、债券回购、银行存款（包括协议存款、通知存款、定期存款及其他银行存款）、货币市场工具、同业存单以及法律法规或中国证监会允许基金投资的其他金融工具（但须符合中国证监会的相关规定）。</w:t>
      </w:r>
    </w:p>
    <w:p>
      <w:pPr>
        <w:spacing w:line="360" w:lineRule="auto"/>
        <w:ind w:firstLine="480" w:firstLineChars="200"/>
        <w:rPr>
          <w:rFonts w:ascii="宋体" w:hAnsi="宋体" w:cs="宋体"/>
          <w:sz w:val="24"/>
          <w:szCs w:val="24"/>
        </w:rPr>
      </w:pPr>
      <w:r>
        <w:rPr>
          <w:rFonts w:hint="eastAsia" w:ascii="宋体" w:hAnsi="宋体" w:cs="宋体"/>
          <w:sz w:val="24"/>
          <w:szCs w:val="24"/>
        </w:rPr>
        <w:t>本基金不投资于股票等权益类资产，也不投资于可转换债券、可交换债券。</w:t>
      </w:r>
    </w:p>
    <w:p>
      <w:pPr>
        <w:spacing w:line="360" w:lineRule="auto"/>
        <w:ind w:firstLine="480" w:firstLineChars="200"/>
        <w:rPr>
          <w:rFonts w:ascii="宋体" w:hAnsi="宋体" w:cs="宋体"/>
          <w:sz w:val="24"/>
          <w:szCs w:val="24"/>
        </w:rPr>
      </w:pPr>
      <w:r>
        <w:rPr>
          <w:rFonts w:hint="eastAsia" w:ascii="宋体" w:hAnsi="宋体" w:cs="宋体"/>
          <w:sz w:val="24"/>
          <w:szCs w:val="24"/>
        </w:rPr>
        <w:t>如法律法规或监管机构以后允许基金投资其他品种，基金管理人在履行适当程序后，可以将其纳入投资范围。</w:t>
      </w:r>
    </w:p>
    <w:p>
      <w:pPr>
        <w:spacing w:line="360" w:lineRule="auto"/>
        <w:ind w:firstLine="480"/>
        <w:rPr>
          <w:rFonts w:ascii="宋体" w:hAnsi="宋体" w:cs="宋体"/>
          <w:sz w:val="24"/>
          <w:szCs w:val="24"/>
        </w:rPr>
      </w:pPr>
      <w:r>
        <w:rPr>
          <w:rFonts w:hint="eastAsia" w:ascii="宋体" w:hAnsi="宋体" w:cs="宋体"/>
          <w:sz w:val="24"/>
          <w:szCs w:val="24"/>
        </w:rPr>
        <w:t>基金的投资组合比例为：本基金投资于债券资产的比例不低于基金资产的80%，但在封闭期结束前3个月可不受前述投资组合比例的限制。</w:t>
      </w:r>
    </w:p>
    <w:p>
      <w:pPr>
        <w:spacing w:line="360" w:lineRule="auto"/>
        <w:ind w:firstLine="480"/>
        <w:rPr>
          <w:rFonts w:ascii="宋体" w:hAnsi="宋体" w:cs="宋体"/>
          <w:sz w:val="24"/>
          <w:szCs w:val="24"/>
        </w:rPr>
      </w:pPr>
      <w:r>
        <w:rPr>
          <w:rFonts w:hint="eastAsia" w:ascii="宋体" w:hAnsi="宋体" w:cs="宋体"/>
          <w:sz w:val="24"/>
          <w:szCs w:val="24"/>
        </w:rPr>
        <w:t>如法律法规或中国证监会变更投资品种的投资比例限制，基金管理人在履 行适当程序后，可以调整上述投资品种的投资比例。</w:t>
      </w:r>
    </w:p>
    <w:p>
      <w:pPr>
        <w:spacing w:line="360" w:lineRule="auto"/>
        <w:ind w:firstLine="480" w:firstLineChars="200"/>
        <w:rPr>
          <w:rFonts w:ascii="宋体" w:hAnsi="宋体" w:cs="宋体"/>
          <w:sz w:val="24"/>
        </w:rPr>
      </w:pPr>
    </w:p>
    <w:p>
      <w:pPr>
        <w:spacing w:line="360" w:lineRule="auto"/>
        <w:ind w:firstLine="480" w:firstLineChars="200"/>
        <w:rPr>
          <w:rFonts w:ascii="宋体" w:hAnsi="宋体" w:cs="宋体"/>
          <w:bCs/>
          <w:sz w:val="24"/>
          <w:szCs w:val="24"/>
        </w:rPr>
      </w:pPr>
      <w:r>
        <w:rPr>
          <w:rFonts w:hint="eastAsia" w:ascii="宋体" w:hAnsi="宋体" w:cs="宋体"/>
          <w:bCs/>
          <w:sz w:val="24"/>
          <w:szCs w:val="24"/>
        </w:rPr>
        <w:t>（三）投资策略</w:t>
      </w:r>
    </w:p>
    <w:p>
      <w:pPr>
        <w:numPr>
          <w:ilvl w:val="255"/>
          <w:numId w:val="0"/>
        </w:numPr>
        <w:spacing w:line="360" w:lineRule="auto"/>
        <w:ind w:firstLine="480" w:firstLineChars="200"/>
        <w:rPr>
          <w:rFonts w:ascii="宋体" w:hAnsi="宋体" w:cs="宋体"/>
          <w:sz w:val="24"/>
          <w:szCs w:val="24"/>
        </w:rPr>
      </w:pPr>
      <w:r>
        <w:rPr>
          <w:rFonts w:hint="eastAsia" w:ascii="宋体" w:hAnsi="宋体" w:cs="宋体"/>
          <w:sz w:val="24"/>
        </w:rPr>
        <w:t>1、</w:t>
      </w:r>
      <w:r>
        <w:rPr>
          <w:rFonts w:hint="eastAsia" w:ascii="宋体" w:hAnsi="宋体" w:cs="宋体"/>
          <w:sz w:val="24"/>
          <w:szCs w:val="24"/>
        </w:rPr>
        <w:t>封闭期投资策略</w:t>
      </w:r>
    </w:p>
    <w:p>
      <w:pPr>
        <w:numPr>
          <w:ilvl w:val="255"/>
          <w:numId w:val="0"/>
        </w:numPr>
        <w:spacing w:line="360" w:lineRule="auto"/>
        <w:ind w:firstLine="480" w:firstLineChars="200"/>
        <w:rPr>
          <w:rFonts w:ascii="宋体" w:hAnsi="宋体" w:cs="宋体"/>
          <w:sz w:val="24"/>
          <w:szCs w:val="24"/>
        </w:rPr>
      </w:pPr>
      <w:r>
        <w:rPr>
          <w:rFonts w:hint="eastAsia" w:ascii="宋体" w:hAnsi="宋体" w:cs="宋体"/>
          <w:sz w:val="24"/>
          <w:szCs w:val="24"/>
        </w:rPr>
        <w:t>为力争基金资产在封闭期结束前可完全变现，本基金在封闭期内采用买入并持有到期投资策略，所投金融资产以收取合同现金流量为目的并持有到期，所投资产到期日（或回售日）不得晚于封闭期到期日。本基金投资含回售权的债券时，应在投资该债券前，确定行使回售权或持有至到期的时间；债券到期日晚于封闭期到期日的，基金管理人应当行使回售权而不得持有至到期日。基金管理人可以基于持有人利益优先原则，在不违反《企业会计准则》的前提下，对尚未到期的固定收益类品种进行处置。</w:t>
      </w:r>
    </w:p>
    <w:p>
      <w:pPr>
        <w:numPr>
          <w:ilvl w:val="255"/>
          <w:numId w:val="0"/>
        </w:numPr>
        <w:spacing w:line="360" w:lineRule="auto"/>
        <w:ind w:firstLine="480" w:firstLineChars="200"/>
        <w:rPr>
          <w:rFonts w:ascii="宋体" w:hAnsi="宋体" w:cs="宋体"/>
          <w:sz w:val="24"/>
          <w:szCs w:val="24"/>
        </w:rPr>
      </w:pPr>
      <w:r>
        <w:rPr>
          <w:rFonts w:hint="eastAsia" w:ascii="宋体" w:hAnsi="宋体" w:cs="宋体"/>
          <w:sz w:val="24"/>
          <w:szCs w:val="24"/>
        </w:rPr>
        <w:t>2、信用债投资策略</w:t>
      </w:r>
    </w:p>
    <w:p>
      <w:pPr>
        <w:numPr>
          <w:ilvl w:val="255"/>
          <w:numId w:val="0"/>
        </w:numPr>
        <w:spacing w:line="360" w:lineRule="auto"/>
        <w:ind w:firstLine="480" w:firstLineChars="200"/>
        <w:rPr>
          <w:rFonts w:ascii="宋体" w:hAnsi="宋体" w:cs="宋体"/>
          <w:sz w:val="24"/>
          <w:szCs w:val="24"/>
        </w:rPr>
      </w:pPr>
      <w:r>
        <w:rPr>
          <w:rFonts w:hint="eastAsia" w:ascii="宋体" w:hAnsi="宋体" w:cs="宋体"/>
          <w:sz w:val="24"/>
          <w:szCs w:val="24"/>
        </w:rPr>
        <w:t>本基金将根据对宏观经济形势、发行人公司所在行业状况、以及公司自身在行业内的竞争力、公司财务状况和现金流状况、公司治理等信息，进一步结合债券发行具体条款对债券进行分析，评估信用风险溢价，发掘具备相对价值的个券。</w:t>
      </w:r>
    </w:p>
    <w:p>
      <w:pPr>
        <w:numPr>
          <w:ilvl w:val="255"/>
          <w:numId w:val="0"/>
        </w:numPr>
        <w:spacing w:line="360" w:lineRule="auto"/>
        <w:ind w:firstLine="480" w:firstLineChars="200"/>
        <w:rPr>
          <w:rFonts w:ascii="宋体" w:hAnsi="宋体" w:cs="宋体"/>
          <w:sz w:val="24"/>
          <w:szCs w:val="24"/>
        </w:rPr>
      </w:pPr>
      <w:r>
        <w:rPr>
          <w:rFonts w:hint="eastAsia" w:ascii="宋体" w:hAnsi="宋体" w:cs="宋体"/>
          <w:sz w:val="24"/>
          <w:szCs w:val="24"/>
        </w:rPr>
        <w:t>在信用风险控制方面，本基金将以内部信用评级为主、外部信用评级为辅，即采用内外结合的信用研究和评级制度，研究债券发行主体企业的基本面，以确定企业主体债的实际信用状况。本基金将根据发行人的公司背景、行业特性、盈利能力、偿债能力、流动性等因素，对信用债进行信用风险评估，依据不同信用债发行主体所处行业未来发展前景及其自身在行业内的竞争能力，对不同发行主体的债券进行内部评级分类。在实际投资中，本基金还将结合个券流动性、到期收益率、税收因素、市场偏好等多方面因素进行个券选择，以平衡信用债投资的风险与收益。同时，本基金将采取分散化投资策略，严格控制组合整体的违约风险水平。</w:t>
      </w:r>
    </w:p>
    <w:p>
      <w:pPr>
        <w:numPr>
          <w:ilvl w:val="255"/>
          <w:numId w:val="0"/>
        </w:numPr>
        <w:spacing w:line="360" w:lineRule="auto"/>
        <w:ind w:firstLine="480" w:firstLineChars="200"/>
        <w:rPr>
          <w:rFonts w:ascii="宋体" w:hAnsi="宋体" w:cs="宋体"/>
          <w:sz w:val="24"/>
          <w:szCs w:val="24"/>
        </w:rPr>
      </w:pPr>
      <w:r>
        <w:rPr>
          <w:rFonts w:hint="eastAsia" w:ascii="宋体" w:hAnsi="宋体" w:cs="宋体"/>
          <w:sz w:val="24"/>
          <w:szCs w:val="24"/>
        </w:rPr>
        <w:t>本基金投资的信用债的信用评级应为AA级及以上，其中投资于信用评级为AAA级及以上的信用债占信用债资产的比例不低于50%，投资于信用评级为AA+级及以下的信用债占信用债资产的比例不超过50%，投资于信用评级为AA级的信用债占信用债资产的比例不超过20%（信用债包含资产支持证券，且资产支持证券也受上述投资比例的约束）。</w:t>
      </w:r>
      <w:r>
        <w:rPr>
          <w:rFonts w:ascii="宋体" w:hAnsi="宋体" w:cs="宋体"/>
          <w:sz w:val="24"/>
          <w:szCs w:val="24"/>
        </w:rPr>
        <w:t>基金持有信用债期间，如果其评级下降、基金规模变动等使得投资比例不再符合上述约定，基金管理人应在评级报告发布之日或不再符合上述约定之日起3个月内调整至符合合同约定范围，中国证监会规定的特殊情形除外。</w:t>
      </w:r>
    </w:p>
    <w:p>
      <w:pPr>
        <w:numPr>
          <w:ilvl w:val="255"/>
          <w:numId w:val="0"/>
        </w:numPr>
        <w:spacing w:line="360" w:lineRule="auto"/>
        <w:ind w:firstLine="480" w:firstLineChars="200"/>
        <w:rPr>
          <w:rFonts w:ascii="宋体" w:hAnsi="宋体" w:cs="宋体"/>
          <w:sz w:val="24"/>
          <w:szCs w:val="24"/>
        </w:rPr>
      </w:pPr>
      <w:r>
        <w:rPr>
          <w:rFonts w:hint="eastAsia" w:ascii="宋体" w:hAnsi="宋体" w:cs="宋体"/>
          <w:sz w:val="24"/>
          <w:szCs w:val="24"/>
        </w:rPr>
        <w:t>本基金对信用债评级的认定参照国内依法成立并拥有证券评级资质的评级机构所出具的信用评级，评级机构以基金管理人选定为准。上述信用评级为债项评级，短期融资券、超短期融资券等短期信用债的信用评级依照评级机构出具的主体信用评级，本基金投资的信用债若无债项评级的，参照主体信用评级。若有担保方或提供担保同等效力的机构，其信用评级可参考担保人或提供担保同等效力的机构的评级。如出现多家评级机构出具的信用评级不同的情况，基金管理人可结合内部信用评级进行独立判断与认定。</w:t>
      </w:r>
    </w:p>
    <w:p>
      <w:pPr>
        <w:numPr>
          <w:ilvl w:val="255"/>
          <w:numId w:val="0"/>
        </w:numPr>
        <w:spacing w:line="360" w:lineRule="auto"/>
        <w:ind w:firstLine="480" w:firstLineChars="200"/>
        <w:rPr>
          <w:rFonts w:ascii="宋体" w:hAnsi="宋体" w:cs="宋体"/>
          <w:sz w:val="24"/>
          <w:szCs w:val="24"/>
        </w:rPr>
      </w:pPr>
      <w:r>
        <w:rPr>
          <w:rFonts w:hint="eastAsia" w:ascii="宋体" w:hAnsi="宋体" w:cs="宋体"/>
          <w:sz w:val="24"/>
          <w:szCs w:val="24"/>
        </w:rPr>
        <w:t>本基金将定期对所投债券的信用资质和发行人的偿付能力进行评估。对于存在信用风险隐患的发行人所发行的债券，及时制定风险处置预案。封闭期内，如本基金持有债券的信用风险显著增加时，为减少信用损失，本基金将对该债券进行处置。</w:t>
      </w:r>
    </w:p>
    <w:p>
      <w:pPr>
        <w:numPr>
          <w:ilvl w:val="255"/>
          <w:numId w:val="0"/>
        </w:numPr>
        <w:spacing w:line="360" w:lineRule="auto"/>
        <w:ind w:firstLine="480" w:firstLineChars="200"/>
        <w:rPr>
          <w:rFonts w:ascii="宋体" w:hAnsi="宋体" w:cs="宋体"/>
          <w:sz w:val="24"/>
          <w:szCs w:val="24"/>
        </w:rPr>
      </w:pPr>
      <w:r>
        <w:rPr>
          <w:rFonts w:hint="eastAsia" w:ascii="宋体" w:hAnsi="宋体" w:cs="宋体"/>
          <w:sz w:val="24"/>
          <w:szCs w:val="24"/>
        </w:rPr>
        <w:t>3、杠杆投资策略</w:t>
      </w:r>
    </w:p>
    <w:p>
      <w:pPr>
        <w:numPr>
          <w:ilvl w:val="255"/>
          <w:numId w:val="0"/>
        </w:numPr>
        <w:spacing w:line="360" w:lineRule="auto"/>
        <w:ind w:firstLine="480" w:firstLineChars="200"/>
        <w:rPr>
          <w:rFonts w:ascii="宋体" w:hAnsi="宋体" w:cs="宋体"/>
          <w:sz w:val="24"/>
          <w:szCs w:val="24"/>
        </w:rPr>
      </w:pPr>
      <w:r>
        <w:rPr>
          <w:rFonts w:hint="eastAsia" w:ascii="宋体" w:hAnsi="宋体" w:cs="宋体"/>
          <w:sz w:val="24"/>
          <w:szCs w:val="24"/>
        </w:rPr>
        <w:t>本基金将在考虑债券投资的风险收益情况，以及回购成本等因素的情况下，在风险可控以及法律法规允许的范围内进行债券回购。</w:t>
      </w:r>
    </w:p>
    <w:p>
      <w:pPr>
        <w:numPr>
          <w:ilvl w:val="255"/>
          <w:numId w:val="0"/>
        </w:numPr>
        <w:spacing w:line="360" w:lineRule="auto"/>
        <w:ind w:firstLine="480" w:firstLineChars="200"/>
        <w:rPr>
          <w:rFonts w:ascii="宋体" w:hAnsi="宋体" w:cs="宋体"/>
          <w:sz w:val="24"/>
          <w:szCs w:val="24"/>
        </w:rPr>
      </w:pPr>
      <w:r>
        <w:rPr>
          <w:rFonts w:hint="eastAsia" w:ascii="宋体" w:hAnsi="宋体" w:cs="宋体"/>
          <w:sz w:val="24"/>
          <w:szCs w:val="24"/>
        </w:rPr>
        <w:t>4、资产支持证券投资策略</w:t>
      </w:r>
    </w:p>
    <w:p>
      <w:pPr>
        <w:numPr>
          <w:ilvl w:val="255"/>
          <w:numId w:val="0"/>
        </w:numPr>
        <w:spacing w:line="360" w:lineRule="auto"/>
        <w:ind w:firstLine="480" w:firstLineChars="200"/>
        <w:rPr>
          <w:rFonts w:ascii="宋体" w:hAnsi="宋体" w:cs="宋体"/>
          <w:sz w:val="24"/>
          <w:szCs w:val="24"/>
        </w:rPr>
      </w:pPr>
      <w:r>
        <w:rPr>
          <w:rFonts w:hint="eastAsia" w:ascii="宋体" w:hAnsi="宋体" w:cs="宋体"/>
          <w:sz w:val="24"/>
          <w:szCs w:val="24"/>
        </w:rPr>
        <w:t>资产支持证券投资关键在于对基础资产质量及未来现金流的分析，本基金将在国内资产证券化产品具体政策框架下，采用基本面分析和数量化模型相结合，对个券进行风险分析和价值评估后进行投资。本基金将严格控制资产支持证券的总体投资规模并进行分散投资，以降低流动性风险。</w:t>
      </w:r>
    </w:p>
    <w:p>
      <w:pPr>
        <w:numPr>
          <w:ilvl w:val="255"/>
          <w:numId w:val="0"/>
        </w:numPr>
        <w:spacing w:line="360" w:lineRule="auto"/>
        <w:ind w:firstLine="480" w:firstLineChars="200"/>
        <w:rPr>
          <w:rFonts w:ascii="宋体" w:hAnsi="宋体" w:cs="宋体"/>
          <w:sz w:val="24"/>
          <w:szCs w:val="24"/>
        </w:rPr>
      </w:pPr>
      <w:r>
        <w:rPr>
          <w:rFonts w:hint="eastAsia" w:ascii="宋体" w:hAnsi="宋体" w:cs="宋体"/>
          <w:sz w:val="24"/>
          <w:szCs w:val="24"/>
        </w:rPr>
        <w:t>5、封闭期现金管理策略</w:t>
      </w:r>
    </w:p>
    <w:p>
      <w:pPr>
        <w:numPr>
          <w:ilvl w:val="255"/>
          <w:numId w:val="0"/>
        </w:numPr>
        <w:spacing w:line="360" w:lineRule="auto"/>
        <w:ind w:firstLine="480" w:firstLineChars="200"/>
        <w:rPr>
          <w:rFonts w:ascii="宋体" w:hAnsi="宋体" w:cs="宋体"/>
          <w:sz w:val="24"/>
          <w:szCs w:val="24"/>
        </w:rPr>
      </w:pPr>
      <w:r>
        <w:rPr>
          <w:rFonts w:hint="eastAsia" w:ascii="宋体" w:hAnsi="宋体" w:cs="宋体"/>
          <w:sz w:val="24"/>
          <w:szCs w:val="24"/>
        </w:rPr>
        <w:t>在封闭期内完成组合的构建之前，本基金将根据届时的市场环境对组合的现金头寸进行管理，选择到期日（或回售日）在建仓期之内的债券、回购、银行存款、同业存单等进行投资，并采用买入持有到期投资策略。由于在建仓期本基金的投资难以做到与封闭期剩余期限完美匹配，因此可能存在持有的部分投资品种在封闭期结束前到期兑付本息的情形。另一方面，本基金持有的部分投资品种的付息也将增加基金的现金头寸。对于现金头寸，本基金将根据届时的市场环境和封闭期剩余期限，选择到期日（或回售日）在封闭期结束之前的债券、回购、银行存款、同业存单等进行投资或进行基金现金分红。</w:t>
      </w:r>
    </w:p>
    <w:p>
      <w:pPr>
        <w:widowControl/>
        <w:numPr>
          <w:ilvl w:val="255"/>
          <w:numId w:val="0"/>
        </w:numPr>
        <w:spacing w:line="360" w:lineRule="auto"/>
        <w:ind w:firstLine="480" w:firstLineChars="200"/>
        <w:jc w:val="left"/>
        <w:rPr>
          <w:rFonts w:ascii="宋体" w:hAnsi="宋体" w:cs="宋体"/>
          <w:sz w:val="24"/>
          <w:szCs w:val="24"/>
        </w:rPr>
      </w:pPr>
      <w:r>
        <w:rPr>
          <w:rFonts w:hint="eastAsia" w:ascii="宋体" w:hAnsi="宋体" w:cs="宋体"/>
          <w:sz w:val="24"/>
          <w:szCs w:val="24"/>
        </w:rPr>
        <w:t>6、</w:t>
      </w:r>
      <w:r>
        <w:rPr>
          <w:rFonts w:hint="eastAsia" w:ascii="宋体" w:hAnsi="宋体" w:cs="宋体"/>
          <w:sz w:val="24"/>
          <w:szCs w:val="24"/>
          <w:lang w:bidi="ar"/>
        </w:rPr>
        <w:t xml:space="preserve">证券公司短期公司债券投资策略 </w:t>
      </w:r>
    </w:p>
    <w:p>
      <w:pPr>
        <w:spacing w:line="360" w:lineRule="auto"/>
        <w:ind w:firstLine="480" w:firstLineChars="200"/>
        <w:rPr>
          <w:rFonts w:ascii="宋体" w:hAnsi="宋体" w:cs="宋体"/>
          <w:sz w:val="24"/>
          <w:szCs w:val="24"/>
          <w:lang w:bidi="ar"/>
        </w:rPr>
      </w:pPr>
      <w:r>
        <w:rPr>
          <w:rFonts w:hint="eastAsia" w:ascii="宋体" w:hAnsi="宋体" w:cs="宋体"/>
          <w:sz w:val="24"/>
          <w:szCs w:val="24"/>
          <w:lang w:bidi="ar"/>
        </w:rPr>
        <w:t>本基金通过对证券公司短期公司债券发行人基本面的深入调研分析，结合发行人资产负债状况、盈利能力、现金流、经营稳定性以及债券流动性、信用利差、信用评级、违约风险等综合评估结果，在持有到期策略下选取具有价格优势和套利机会的优质信用债券进行投资。</w:t>
      </w:r>
    </w:p>
    <w:p>
      <w:pPr>
        <w:spacing w:line="360" w:lineRule="auto"/>
        <w:ind w:firstLine="480" w:firstLineChars="200"/>
        <w:rPr>
          <w:rFonts w:ascii="宋体" w:hAnsi="宋体" w:cs="宋体"/>
          <w:bCs/>
          <w:sz w:val="24"/>
          <w:szCs w:val="24"/>
        </w:rPr>
      </w:pPr>
    </w:p>
    <w:p>
      <w:pPr>
        <w:spacing w:line="360" w:lineRule="auto"/>
        <w:ind w:firstLine="480" w:firstLineChars="200"/>
        <w:rPr>
          <w:rFonts w:ascii="宋体" w:hAnsi="宋体" w:cs="宋体"/>
          <w:bCs/>
          <w:sz w:val="24"/>
          <w:szCs w:val="24"/>
        </w:rPr>
      </w:pPr>
      <w:r>
        <w:rPr>
          <w:rFonts w:hint="eastAsia" w:ascii="宋体" w:hAnsi="宋体" w:cs="宋体"/>
          <w:bCs/>
          <w:sz w:val="24"/>
          <w:szCs w:val="24"/>
        </w:rPr>
        <w:t>（四）投资限制</w:t>
      </w:r>
    </w:p>
    <w:p>
      <w:pPr>
        <w:spacing w:line="360" w:lineRule="auto"/>
        <w:ind w:firstLine="480" w:firstLineChars="200"/>
        <w:rPr>
          <w:rFonts w:ascii="宋体" w:hAnsi="宋体" w:cs="宋体"/>
          <w:sz w:val="24"/>
        </w:rPr>
      </w:pPr>
      <w:r>
        <w:rPr>
          <w:rFonts w:hint="eastAsia" w:ascii="宋体" w:hAnsi="宋体" w:cs="宋体"/>
          <w:sz w:val="24"/>
        </w:rPr>
        <w:t>1、组合限制</w:t>
      </w:r>
    </w:p>
    <w:p>
      <w:pPr>
        <w:spacing w:line="360" w:lineRule="auto"/>
        <w:ind w:firstLine="480" w:firstLineChars="200"/>
        <w:rPr>
          <w:rFonts w:ascii="宋体" w:hAnsi="宋体" w:cs="宋体"/>
          <w:sz w:val="24"/>
        </w:rPr>
      </w:pPr>
      <w:r>
        <w:rPr>
          <w:rFonts w:hint="eastAsia" w:ascii="宋体" w:hAnsi="宋体" w:cs="宋体"/>
          <w:sz w:val="24"/>
        </w:rPr>
        <w:t>基金的投资组合应遵循以下限制：</w:t>
      </w:r>
    </w:p>
    <w:p>
      <w:pPr>
        <w:spacing w:line="360" w:lineRule="auto"/>
        <w:ind w:firstLine="480" w:firstLineChars="200"/>
        <w:rPr>
          <w:rFonts w:ascii="宋体" w:hAnsi="宋体" w:cs="宋体"/>
          <w:sz w:val="24"/>
        </w:rPr>
      </w:pPr>
      <w:r>
        <w:rPr>
          <w:rFonts w:hint="eastAsia" w:ascii="宋体" w:hAnsi="宋体" w:cs="宋体"/>
          <w:sz w:val="24"/>
        </w:rPr>
        <w:t>（1）在封闭期内，本基金投资的各类金融工具的到期日（或回售日）不得晚于该封闭期的最后一日；</w:t>
      </w:r>
    </w:p>
    <w:p>
      <w:pPr>
        <w:spacing w:line="360" w:lineRule="auto"/>
        <w:ind w:firstLine="480" w:firstLineChars="200"/>
        <w:rPr>
          <w:rFonts w:ascii="宋体" w:hAnsi="宋体" w:cs="宋体"/>
          <w:sz w:val="24"/>
        </w:rPr>
      </w:pPr>
      <w:r>
        <w:rPr>
          <w:rFonts w:hint="eastAsia" w:ascii="宋体" w:hAnsi="宋体" w:cs="宋体"/>
          <w:sz w:val="24"/>
        </w:rPr>
        <w:t>（2）本基金投资于债券资产的比例不低于基金资产的80%，但在封闭期结束前3个月可不受前述投资组合比例的限制；</w:t>
      </w:r>
    </w:p>
    <w:p>
      <w:pPr>
        <w:spacing w:line="360" w:lineRule="auto"/>
        <w:ind w:firstLine="480" w:firstLineChars="200"/>
        <w:rPr>
          <w:rFonts w:ascii="宋体" w:hAnsi="宋体" w:cs="宋体"/>
          <w:sz w:val="24"/>
        </w:rPr>
      </w:pPr>
      <w:r>
        <w:rPr>
          <w:rFonts w:hint="eastAsia" w:ascii="宋体" w:hAnsi="宋体" w:cs="宋体"/>
          <w:sz w:val="24"/>
        </w:rPr>
        <w:t>（3）本基金持有一家公司发行的证券，其市值不超过基金资产净值的10%；</w:t>
      </w:r>
    </w:p>
    <w:p>
      <w:pPr>
        <w:spacing w:line="360" w:lineRule="auto"/>
        <w:ind w:firstLine="480" w:firstLineChars="200"/>
        <w:rPr>
          <w:rFonts w:ascii="宋体" w:hAnsi="宋体" w:cs="宋体"/>
          <w:sz w:val="24"/>
        </w:rPr>
      </w:pPr>
      <w:r>
        <w:rPr>
          <w:rFonts w:hint="eastAsia" w:ascii="宋体" w:hAnsi="宋体" w:cs="宋体"/>
          <w:sz w:val="24"/>
        </w:rPr>
        <w:t>（4）本基金管理人管理的全部基金持有一家公司发行的证券，不超过该证券的10%，完全按照有关指数的构成比例进行证券投资的基金品种可以不受此条款规定的比例限制；</w:t>
      </w:r>
    </w:p>
    <w:p>
      <w:pPr>
        <w:spacing w:line="360" w:lineRule="auto"/>
        <w:ind w:firstLine="480" w:firstLineChars="200"/>
        <w:rPr>
          <w:rFonts w:ascii="宋体" w:hAnsi="宋体" w:cs="宋体"/>
          <w:sz w:val="24"/>
        </w:rPr>
      </w:pPr>
      <w:r>
        <w:rPr>
          <w:rFonts w:hint="eastAsia" w:ascii="宋体" w:hAnsi="宋体" w:cs="宋体"/>
          <w:sz w:val="24"/>
        </w:rPr>
        <w:t>（5）本基金投资于同一原始权益人的各类资产支持证券的比例，不得超过基金资产净值的10%；</w:t>
      </w:r>
    </w:p>
    <w:p>
      <w:pPr>
        <w:spacing w:line="360" w:lineRule="auto"/>
        <w:ind w:firstLine="480" w:firstLineChars="200"/>
        <w:rPr>
          <w:rFonts w:ascii="宋体" w:hAnsi="宋体" w:cs="宋体"/>
          <w:sz w:val="24"/>
        </w:rPr>
      </w:pPr>
      <w:r>
        <w:rPr>
          <w:rFonts w:hint="eastAsia" w:ascii="宋体" w:hAnsi="宋体" w:cs="宋体"/>
          <w:sz w:val="24"/>
        </w:rPr>
        <w:t>（6）本基金持有的全部资产支持证券，其市值不得超过基金资产净值的20%；</w:t>
      </w:r>
    </w:p>
    <w:p>
      <w:pPr>
        <w:spacing w:line="360" w:lineRule="auto"/>
        <w:ind w:firstLine="480" w:firstLineChars="200"/>
        <w:rPr>
          <w:rFonts w:ascii="宋体" w:hAnsi="宋体" w:cs="宋体"/>
          <w:sz w:val="24"/>
        </w:rPr>
      </w:pPr>
      <w:r>
        <w:rPr>
          <w:rFonts w:hint="eastAsia" w:ascii="宋体" w:hAnsi="宋体" w:cs="宋体"/>
          <w:sz w:val="24"/>
        </w:rPr>
        <w:t>（7）本基金持有的同一(指同一信用级别)资产支持证券的比例，不得超过该资产支持证券规模的10%；</w:t>
      </w:r>
    </w:p>
    <w:p>
      <w:pPr>
        <w:spacing w:line="360" w:lineRule="auto"/>
        <w:ind w:firstLine="480" w:firstLineChars="200"/>
        <w:rPr>
          <w:rFonts w:ascii="宋体" w:hAnsi="宋体" w:cs="宋体"/>
          <w:sz w:val="24"/>
        </w:rPr>
      </w:pPr>
      <w:r>
        <w:rPr>
          <w:rFonts w:hint="eastAsia" w:ascii="宋体" w:hAnsi="宋体" w:cs="宋体"/>
          <w:sz w:val="24"/>
        </w:rPr>
        <w:t>（8）本基金管理人管理的全部基金投资于同一原始权益人的各类资产支持证券，不得超过其各类资产支持证券合计规模的10%；</w:t>
      </w:r>
    </w:p>
    <w:p>
      <w:pPr>
        <w:spacing w:line="360" w:lineRule="auto"/>
        <w:ind w:firstLine="480" w:firstLineChars="200"/>
        <w:rPr>
          <w:rFonts w:ascii="宋体" w:hAnsi="宋体" w:cs="宋体"/>
          <w:sz w:val="24"/>
        </w:rPr>
      </w:pPr>
      <w:r>
        <w:rPr>
          <w:rFonts w:hint="eastAsia" w:ascii="宋体" w:hAnsi="宋体" w:cs="宋体"/>
          <w:sz w:val="24"/>
        </w:rPr>
        <w:t>（9）</w:t>
      </w:r>
      <w:r>
        <w:rPr>
          <w:rFonts w:hint="eastAsia" w:ascii="宋体" w:hAnsi="宋体" w:cs="宋体"/>
          <w:sz w:val="24"/>
          <w:szCs w:val="24"/>
        </w:rPr>
        <w:t>本基金应投资于信用级别评级为AA以上(含AA)的资产支持证券。</w:t>
      </w:r>
      <w:r>
        <w:rPr>
          <w:rFonts w:hint="eastAsia" w:ascii="宋体" w:hAnsi="宋体" w:cs="宋体"/>
          <w:sz w:val="24"/>
        </w:rPr>
        <w:t>基金持有资产支持证券期间，如果其信用等级下降、不再符合投资标准，应在评级报告发布之日起3个月内予以全部卖出；</w:t>
      </w:r>
    </w:p>
    <w:p>
      <w:pPr>
        <w:spacing w:line="360" w:lineRule="auto"/>
        <w:ind w:firstLine="480" w:firstLineChars="200"/>
        <w:rPr>
          <w:rFonts w:ascii="宋体" w:hAnsi="宋体" w:cs="宋体"/>
          <w:sz w:val="24"/>
        </w:rPr>
      </w:pPr>
      <w:r>
        <w:rPr>
          <w:rFonts w:hint="eastAsia" w:ascii="宋体" w:hAnsi="宋体" w:cs="宋体"/>
          <w:sz w:val="24"/>
        </w:rPr>
        <w:t>（10）本基金进入全国银行间同业市场进行债券回购的最长期限为1年，债券回购到期后不得展期；</w:t>
      </w:r>
    </w:p>
    <w:p>
      <w:pPr>
        <w:spacing w:line="360" w:lineRule="auto"/>
        <w:ind w:firstLine="480" w:firstLineChars="200"/>
        <w:rPr>
          <w:rFonts w:ascii="宋体" w:hAnsi="宋体" w:cs="宋体"/>
          <w:sz w:val="24"/>
        </w:rPr>
      </w:pPr>
      <w:r>
        <w:rPr>
          <w:rFonts w:hint="eastAsia" w:ascii="宋体" w:hAnsi="宋体" w:cs="宋体"/>
          <w:sz w:val="24"/>
        </w:rPr>
        <w:t>（11）本基金资产总值不得超过基金资产净值的200%；</w:t>
      </w:r>
    </w:p>
    <w:p>
      <w:pPr>
        <w:spacing w:line="360" w:lineRule="auto"/>
        <w:ind w:firstLine="480" w:firstLineChars="200"/>
        <w:rPr>
          <w:rFonts w:ascii="宋体" w:hAnsi="宋体" w:cs="宋体"/>
          <w:sz w:val="24"/>
        </w:rPr>
      </w:pPr>
      <w:r>
        <w:rPr>
          <w:rFonts w:hint="eastAsia" w:ascii="宋体" w:hAnsi="宋体" w:cs="宋体"/>
          <w:sz w:val="24"/>
        </w:rPr>
        <w:t>（12）法律法规及中国证监会规定的和基金合同约定的其他投资限制。</w:t>
      </w:r>
    </w:p>
    <w:p>
      <w:pPr>
        <w:spacing w:line="360" w:lineRule="auto"/>
        <w:ind w:firstLine="480" w:firstLineChars="200"/>
        <w:rPr>
          <w:rFonts w:ascii="宋体" w:hAnsi="宋体" w:cs="宋体"/>
          <w:sz w:val="24"/>
        </w:rPr>
      </w:pPr>
      <w:r>
        <w:rPr>
          <w:rFonts w:hint="eastAsia" w:ascii="宋体" w:hAnsi="宋体" w:cs="宋体"/>
          <w:sz w:val="24"/>
        </w:rPr>
        <w:t>因证券市场波动、证券发行人合并、基金规模变动等基金管理人之外的因素致使基金投资比例不符合上述规定投资比例的，基金管理人应当在10个交易日内进行调整，但中国证监会规定的特殊情形除外。法律法规另有规定的，从其规定。</w:t>
      </w:r>
    </w:p>
    <w:p>
      <w:pPr>
        <w:spacing w:line="360" w:lineRule="auto"/>
        <w:ind w:firstLine="480" w:firstLineChars="200"/>
        <w:rPr>
          <w:rFonts w:ascii="宋体" w:hAnsi="宋体" w:cs="宋体"/>
          <w:sz w:val="24"/>
        </w:rPr>
      </w:pPr>
      <w:r>
        <w:rPr>
          <w:rFonts w:hint="eastAsia" w:ascii="宋体" w:hAnsi="宋体" w:cs="宋体"/>
          <w:sz w:val="24"/>
        </w:rPr>
        <w:t>基金管理人应当自基金合同生效之日起6个月内使基金的投资组合比例符合基金合同的有关约定。在上述期间，本基金的投资范围、投资策略应当符合本基金合同的约定。基金托管人对基金的投资的监督与检查自本基金合同生效之日起开始。</w:t>
      </w:r>
    </w:p>
    <w:p>
      <w:pPr>
        <w:spacing w:line="360" w:lineRule="auto"/>
        <w:ind w:firstLine="480" w:firstLineChars="200"/>
        <w:rPr>
          <w:rFonts w:ascii="宋体" w:hAnsi="宋体" w:cs="宋体"/>
          <w:sz w:val="24"/>
        </w:rPr>
      </w:pPr>
      <w:r>
        <w:rPr>
          <w:rFonts w:hint="eastAsia" w:ascii="宋体" w:hAnsi="宋体" w:cs="宋体"/>
          <w:sz w:val="24"/>
        </w:rPr>
        <w:t>若法律法规或监管部门取消或调整上述限制，如适用于本基金，基金管理人在履行适当程序后，本基金投资不再受相关限制或按照调整后的规定执行。</w:t>
      </w:r>
    </w:p>
    <w:p>
      <w:pPr>
        <w:spacing w:line="360" w:lineRule="auto"/>
        <w:ind w:firstLine="480" w:firstLineChars="200"/>
        <w:rPr>
          <w:rFonts w:ascii="宋体" w:hAnsi="宋体" w:cs="宋体"/>
          <w:sz w:val="24"/>
        </w:rPr>
      </w:pPr>
      <w:r>
        <w:rPr>
          <w:rFonts w:hint="eastAsia" w:ascii="宋体" w:hAnsi="宋体" w:cs="宋体"/>
          <w:sz w:val="24"/>
        </w:rPr>
        <w:t>2、禁止行为</w:t>
      </w:r>
    </w:p>
    <w:p>
      <w:pPr>
        <w:spacing w:line="360" w:lineRule="auto"/>
        <w:ind w:firstLine="480" w:firstLineChars="200"/>
        <w:rPr>
          <w:rFonts w:ascii="宋体" w:hAnsi="宋体" w:cs="宋体"/>
          <w:sz w:val="24"/>
        </w:rPr>
      </w:pPr>
      <w:r>
        <w:rPr>
          <w:rFonts w:hint="eastAsia" w:ascii="宋体" w:hAnsi="宋体" w:cs="宋体"/>
          <w:sz w:val="24"/>
        </w:rPr>
        <w:t>为维护基金份额持有人的合法权益，基金财产不得用于下列投资或者活动：</w:t>
      </w:r>
    </w:p>
    <w:p>
      <w:pPr>
        <w:spacing w:line="360" w:lineRule="auto"/>
        <w:ind w:firstLine="480" w:firstLineChars="200"/>
        <w:rPr>
          <w:rFonts w:ascii="宋体" w:hAnsi="宋体" w:cs="宋体"/>
          <w:sz w:val="24"/>
        </w:rPr>
      </w:pPr>
      <w:r>
        <w:rPr>
          <w:rFonts w:hint="eastAsia" w:ascii="宋体" w:hAnsi="宋体" w:cs="宋体"/>
          <w:sz w:val="24"/>
        </w:rPr>
        <w:t>（1）承销证券；</w:t>
      </w:r>
    </w:p>
    <w:p>
      <w:pPr>
        <w:spacing w:line="360" w:lineRule="auto"/>
        <w:ind w:firstLine="480" w:firstLineChars="200"/>
        <w:rPr>
          <w:rFonts w:ascii="宋体" w:hAnsi="宋体" w:cs="宋体"/>
          <w:sz w:val="24"/>
        </w:rPr>
      </w:pPr>
      <w:r>
        <w:rPr>
          <w:rFonts w:hint="eastAsia" w:ascii="宋体" w:hAnsi="宋体" w:cs="宋体"/>
          <w:sz w:val="24"/>
        </w:rPr>
        <w:t>（2）违反规定向他人贷款或者提供担保；</w:t>
      </w:r>
    </w:p>
    <w:p>
      <w:pPr>
        <w:spacing w:line="360" w:lineRule="auto"/>
        <w:ind w:firstLine="480" w:firstLineChars="200"/>
        <w:rPr>
          <w:rFonts w:ascii="宋体" w:hAnsi="宋体" w:cs="宋体"/>
          <w:sz w:val="24"/>
        </w:rPr>
      </w:pPr>
      <w:r>
        <w:rPr>
          <w:rFonts w:hint="eastAsia" w:ascii="宋体" w:hAnsi="宋体" w:cs="宋体"/>
          <w:sz w:val="24"/>
        </w:rPr>
        <w:t>（3）从事承担无限责任的投资；</w:t>
      </w:r>
    </w:p>
    <w:p>
      <w:pPr>
        <w:spacing w:line="360" w:lineRule="auto"/>
        <w:ind w:firstLine="480" w:firstLineChars="200"/>
        <w:rPr>
          <w:rFonts w:ascii="宋体" w:hAnsi="宋体" w:cs="宋体"/>
          <w:sz w:val="24"/>
        </w:rPr>
      </w:pPr>
      <w:r>
        <w:rPr>
          <w:rFonts w:hint="eastAsia" w:ascii="宋体" w:hAnsi="宋体" w:cs="宋体"/>
          <w:sz w:val="24"/>
        </w:rPr>
        <w:t>（4）买卖其他基金份额，但是中国证监会另有规定的除外；</w:t>
      </w:r>
    </w:p>
    <w:p>
      <w:pPr>
        <w:spacing w:line="360" w:lineRule="auto"/>
        <w:ind w:firstLine="480" w:firstLineChars="200"/>
        <w:rPr>
          <w:rFonts w:ascii="宋体" w:hAnsi="宋体" w:cs="宋体"/>
          <w:sz w:val="24"/>
        </w:rPr>
      </w:pPr>
      <w:r>
        <w:rPr>
          <w:rFonts w:hint="eastAsia" w:ascii="宋体" w:hAnsi="宋体" w:cs="宋体"/>
          <w:sz w:val="24"/>
        </w:rPr>
        <w:t>（5）向其基金管理人、基金托管人出资；</w:t>
      </w:r>
    </w:p>
    <w:p>
      <w:pPr>
        <w:spacing w:line="360" w:lineRule="auto"/>
        <w:ind w:firstLine="480" w:firstLineChars="200"/>
        <w:rPr>
          <w:rFonts w:ascii="宋体" w:hAnsi="宋体" w:cs="宋体"/>
          <w:sz w:val="24"/>
        </w:rPr>
      </w:pPr>
      <w:r>
        <w:rPr>
          <w:rFonts w:hint="eastAsia" w:ascii="宋体" w:hAnsi="宋体" w:cs="宋体"/>
          <w:sz w:val="24"/>
        </w:rPr>
        <w:t>（6）从事内幕交易、操纵证券交易价格及其他不正当的证券交易活动；</w:t>
      </w:r>
    </w:p>
    <w:p>
      <w:pPr>
        <w:spacing w:line="360" w:lineRule="auto"/>
        <w:ind w:firstLine="480" w:firstLineChars="200"/>
        <w:rPr>
          <w:rFonts w:ascii="宋体" w:hAnsi="宋体" w:cs="宋体"/>
          <w:sz w:val="24"/>
        </w:rPr>
      </w:pPr>
      <w:r>
        <w:rPr>
          <w:rFonts w:hint="eastAsia" w:ascii="宋体" w:hAnsi="宋体" w:cs="宋体"/>
          <w:sz w:val="24"/>
        </w:rPr>
        <w:t>（7）法律、行政法规和中国证监会规定禁止的其他活动。</w:t>
      </w:r>
    </w:p>
    <w:p>
      <w:pPr>
        <w:spacing w:line="360" w:lineRule="auto"/>
        <w:ind w:firstLine="480" w:firstLineChars="200"/>
        <w:rPr>
          <w:rFonts w:ascii="宋体" w:hAnsi="宋体" w:cs="宋体"/>
          <w:sz w:val="24"/>
        </w:rPr>
      </w:pPr>
      <w:r>
        <w:rPr>
          <w:rFonts w:hint="eastAsia" w:ascii="宋体" w:hAnsi="宋体" w:cs="宋体"/>
          <w:sz w:val="24"/>
        </w:rPr>
        <w:t>基金管理人运用基金财产买卖基金管理人、基金托管人及其控股股东、实际控制人或者与其有重大利害关系的公司发行的证券或者承销期内承销的证券，或者从事其他重大关联交易的，应当符合基金的投资目标和投资策略，遵循基金份额持有人利益优先原则，防范利益冲突，建立健全内部审批机制和评估机制，按照市场公平合理价格执行。相关交易必须事先得到基金托管人的同意，并按法律法规予以披露。重大关联交易应提交基金管理人董事会审议，并经过三分之二以上的独立董事通过。基金管理人董事会应至少每半年对关联交易事项进行审查。</w:t>
      </w:r>
    </w:p>
    <w:p>
      <w:pPr>
        <w:spacing w:line="360" w:lineRule="auto"/>
        <w:ind w:firstLine="480" w:firstLineChars="200"/>
        <w:rPr>
          <w:rFonts w:ascii="宋体" w:hAnsi="宋体" w:cs="宋体"/>
          <w:sz w:val="24"/>
        </w:rPr>
      </w:pPr>
      <w:r>
        <w:rPr>
          <w:rFonts w:hint="eastAsia" w:ascii="宋体" w:hAnsi="宋体" w:cs="宋体"/>
          <w:sz w:val="24"/>
        </w:rPr>
        <w:t>法律、行政法规或监管部门取消或变更上述限制，如适用于本基金，基金管理人在履行适当程序后，则本基金投资不再受相关限制或按变更后的规定执行。</w:t>
      </w:r>
    </w:p>
    <w:p>
      <w:pPr>
        <w:spacing w:line="360" w:lineRule="auto"/>
        <w:ind w:firstLine="480" w:firstLineChars="200"/>
        <w:rPr>
          <w:rFonts w:ascii="宋体" w:hAnsi="宋体" w:cs="宋体"/>
          <w:bCs/>
          <w:sz w:val="24"/>
        </w:rPr>
      </w:pPr>
    </w:p>
    <w:p>
      <w:pPr>
        <w:spacing w:line="360" w:lineRule="auto"/>
        <w:ind w:firstLine="562" w:firstLineChars="200"/>
        <w:rPr>
          <w:rFonts w:ascii="宋体" w:hAnsi="宋体" w:cs="宋体"/>
          <w:b/>
          <w:sz w:val="24"/>
          <w:szCs w:val="24"/>
        </w:rPr>
      </w:pPr>
      <w:r>
        <w:rPr>
          <w:rFonts w:hint="eastAsia" w:ascii="宋体" w:hAnsi="宋体" w:cs="宋体"/>
          <w:b/>
          <w:sz w:val="28"/>
          <w:szCs w:val="24"/>
        </w:rPr>
        <w:t>六、基金净值信息的计算方法和公告方式</w:t>
      </w:r>
    </w:p>
    <w:p>
      <w:pPr>
        <w:spacing w:line="360" w:lineRule="auto"/>
        <w:ind w:firstLine="480" w:firstLineChars="200"/>
        <w:rPr>
          <w:rFonts w:ascii="宋体" w:hAnsi="宋体" w:cs="宋体"/>
          <w:bCs/>
          <w:sz w:val="24"/>
          <w:szCs w:val="24"/>
        </w:rPr>
      </w:pPr>
      <w:r>
        <w:rPr>
          <w:rFonts w:hint="eastAsia" w:ascii="宋体" w:hAnsi="宋体" w:cs="宋体"/>
          <w:bCs/>
          <w:sz w:val="24"/>
          <w:szCs w:val="24"/>
        </w:rPr>
        <w:t>（一）</w:t>
      </w:r>
      <w:bookmarkStart w:id="609" w:name="_Hlk51340931"/>
      <w:r>
        <w:rPr>
          <w:rFonts w:hint="eastAsia" w:ascii="宋体" w:hAnsi="宋体" w:cs="宋体"/>
          <w:bCs/>
          <w:sz w:val="24"/>
          <w:szCs w:val="24"/>
        </w:rPr>
        <w:t>估值方法</w:t>
      </w:r>
      <w:bookmarkEnd w:id="609"/>
    </w:p>
    <w:p>
      <w:pPr>
        <w:spacing w:line="360" w:lineRule="auto"/>
        <w:ind w:firstLine="480" w:firstLineChars="200"/>
        <w:rPr>
          <w:rFonts w:ascii="宋体" w:hAnsi="宋体" w:cs="宋体"/>
          <w:bCs/>
          <w:sz w:val="24"/>
        </w:rPr>
      </w:pPr>
      <w:r>
        <w:rPr>
          <w:rFonts w:hint="eastAsia" w:ascii="宋体" w:hAnsi="宋体" w:cs="宋体"/>
          <w:bCs/>
          <w:sz w:val="24"/>
        </w:rPr>
        <w:t>1、本基金估值采用摊余成本法，即估值对象以买入成本列示，按票面利率 或协议利率并考虑其买入时的溢价与折价，在其剩余存续期内按照实际利率法进 行摊销，确认利息收入并评估减值准备。本基金不采用市场利率和上市交易的债 券和票据的市价计算基金资产净值。</w:t>
      </w:r>
    </w:p>
    <w:p>
      <w:pPr>
        <w:spacing w:line="360" w:lineRule="auto"/>
        <w:ind w:firstLine="480" w:firstLineChars="200"/>
        <w:rPr>
          <w:rFonts w:ascii="宋体" w:hAnsi="宋体" w:cs="宋体"/>
          <w:bCs/>
          <w:sz w:val="24"/>
        </w:rPr>
      </w:pPr>
      <w:r>
        <w:rPr>
          <w:rFonts w:hint="eastAsia" w:ascii="宋体" w:hAnsi="宋体" w:cs="宋体"/>
          <w:bCs/>
          <w:sz w:val="24"/>
        </w:rPr>
        <w:t>2、债券回购以协议成本列示，按协议商定利率在实际持有期内逐日计提利 息。</w:t>
      </w:r>
    </w:p>
    <w:p>
      <w:pPr>
        <w:spacing w:line="360" w:lineRule="auto"/>
        <w:ind w:firstLine="480" w:firstLineChars="200"/>
        <w:rPr>
          <w:rFonts w:ascii="宋体" w:hAnsi="宋体" w:cs="宋体"/>
          <w:bCs/>
          <w:sz w:val="24"/>
        </w:rPr>
      </w:pPr>
      <w:r>
        <w:rPr>
          <w:rFonts w:hint="eastAsia" w:ascii="宋体" w:hAnsi="宋体" w:cs="宋体"/>
          <w:bCs/>
          <w:sz w:val="24"/>
        </w:rPr>
        <w:t>3、银行存款以本金列示，按银行实际协议利率逐日计提利息。</w:t>
      </w:r>
    </w:p>
    <w:p>
      <w:pPr>
        <w:spacing w:line="360" w:lineRule="auto"/>
        <w:ind w:firstLine="480" w:firstLineChars="200"/>
        <w:rPr>
          <w:rFonts w:ascii="宋体" w:hAnsi="宋体" w:cs="宋体"/>
          <w:bCs/>
          <w:sz w:val="24"/>
        </w:rPr>
      </w:pPr>
      <w:r>
        <w:rPr>
          <w:rFonts w:hint="eastAsia" w:ascii="宋体" w:hAnsi="宋体" w:cs="宋体"/>
          <w:bCs/>
          <w:sz w:val="24"/>
        </w:rPr>
        <w:t>4、基金应当按照企业会计准则的要求，评估金融资产是否发生减值，如有客观证据表明发生减值的，应当计提减值准备。</w:t>
      </w:r>
    </w:p>
    <w:p>
      <w:pPr>
        <w:spacing w:line="360" w:lineRule="auto"/>
        <w:ind w:firstLine="480" w:firstLineChars="200"/>
        <w:rPr>
          <w:rFonts w:ascii="宋体" w:hAnsi="宋体" w:cs="宋体"/>
          <w:bCs/>
          <w:sz w:val="24"/>
        </w:rPr>
      </w:pPr>
      <w:r>
        <w:rPr>
          <w:rFonts w:hint="eastAsia" w:ascii="宋体" w:hAnsi="宋体" w:cs="宋体"/>
          <w:bCs/>
          <w:sz w:val="24"/>
        </w:rPr>
        <w:t>5、如有确凿证据表明本基金在封闭期内买入持有至到期的投资策略发生变 化或其他原因，导致按原有摊余成本法估值不能客观反映上述资产或负债的公允价值的，基金管理人可根据具体情况与基金托管人商定后，按最能反映上述资产的公允价值的方法估值。为最大限度保护持有人利益，基金管理人可采用的风险控制手段包括但不限于：处置信用风险显著增加的固定收益品种、及时评估和计提固定收益品种减值损失等。</w:t>
      </w:r>
    </w:p>
    <w:p>
      <w:pPr>
        <w:spacing w:line="360" w:lineRule="auto"/>
        <w:ind w:firstLine="480" w:firstLineChars="200"/>
        <w:rPr>
          <w:rFonts w:ascii="宋体" w:hAnsi="宋体" w:cs="宋体"/>
          <w:bCs/>
          <w:sz w:val="24"/>
        </w:rPr>
      </w:pPr>
      <w:r>
        <w:rPr>
          <w:rFonts w:hint="eastAsia" w:ascii="宋体" w:hAnsi="宋体" w:cs="宋体"/>
          <w:bCs/>
          <w:sz w:val="24"/>
        </w:rPr>
        <w:t>6、本基金不采用固定单位基金份额净值。</w:t>
      </w:r>
    </w:p>
    <w:p>
      <w:pPr>
        <w:spacing w:line="360" w:lineRule="auto"/>
        <w:ind w:firstLine="480" w:firstLineChars="200"/>
        <w:rPr>
          <w:rFonts w:ascii="宋体" w:hAnsi="宋体" w:cs="宋体"/>
          <w:bCs/>
          <w:sz w:val="24"/>
        </w:rPr>
      </w:pPr>
      <w:r>
        <w:rPr>
          <w:rFonts w:hint="eastAsia" w:ascii="宋体" w:hAnsi="宋体" w:cs="宋体"/>
          <w:bCs/>
          <w:sz w:val="24"/>
        </w:rPr>
        <w:t>7、相关法律法规以及监管部门、自律规则另有规定的，从其规定。如有新增事项，按国家最新规定估值。</w:t>
      </w:r>
    </w:p>
    <w:p>
      <w:pPr>
        <w:spacing w:line="360" w:lineRule="auto"/>
        <w:ind w:firstLine="480" w:firstLineChars="200"/>
        <w:rPr>
          <w:rFonts w:ascii="宋体" w:hAnsi="宋体" w:cs="宋体"/>
          <w:bCs/>
          <w:sz w:val="24"/>
        </w:rPr>
      </w:pPr>
      <w:r>
        <w:rPr>
          <w:rFonts w:hint="eastAsia" w:ascii="宋体" w:hAnsi="宋体" w:cs="宋体"/>
          <w:bCs/>
          <w:sz w:val="24"/>
        </w:rPr>
        <w:t>如基金管理人或基金托管人发现基金估值违反基金合同订明的估值方法、程 序及相关法律法规的规定或者未能充分维护基金份额持有人利益时，应立即通知 对方，共同查明原因，双方协商解决。</w:t>
      </w:r>
    </w:p>
    <w:p>
      <w:pPr>
        <w:spacing w:line="360" w:lineRule="auto"/>
        <w:ind w:firstLine="480" w:firstLineChars="200"/>
        <w:rPr>
          <w:rFonts w:ascii="宋体" w:hAnsi="宋体" w:cs="宋体"/>
          <w:sz w:val="24"/>
        </w:rPr>
      </w:pPr>
      <w:r>
        <w:rPr>
          <w:rFonts w:hint="eastAsia" w:ascii="宋体" w:hAnsi="宋体" w:cs="宋体"/>
          <w:bCs/>
          <w:sz w:val="24"/>
        </w:rPr>
        <w:t>根据有关法律法规，基金资产净值计算和基金会计核算的义务由基金管理人 承担。本基金的基金会计责任方由基金管理人担任，因此，就与本基金有关的会 计问题，如经相关各方在平等基础上充分讨论后，仍无法达成一致的意见，按照 基金管理人对基金净值信息的计算结果对外予以公布。</w:t>
      </w:r>
    </w:p>
    <w:p>
      <w:pPr>
        <w:spacing w:line="360" w:lineRule="auto"/>
        <w:ind w:firstLine="480" w:firstLineChars="200"/>
        <w:rPr>
          <w:rFonts w:ascii="宋体" w:hAnsi="宋体" w:cs="宋体"/>
          <w:sz w:val="24"/>
          <w:szCs w:val="24"/>
        </w:rPr>
      </w:pPr>
      <w:r>
        <w:rPr>
          <w:rFonts w:hint="eastAsia" w:ascii="宋体" w:hAnsi="宋体" w:cs="宋体"/>
          <w:sz w:val="24"/>
          <w:szCs w:val="24"/>
        </w:rPr>
        <w:t>（二）估值程序</w:t>
      </w:r>
    </w:p>
    <w:p>
      <w:pPr>
        <w:spacing w:line="360" w:lineRule="auto"/>
        <w:ind w:firstLine="480" w:firstLineChars="200"/>
        <w:rPr>
          <w:rFonts w:ascii="宋体" w:hAnsi="宋体" w:cs="宋体"/>
          <w:bCs/>
          <w:sz w:val="24"/>
        </w:rPr>
      </w:pPr>
      <w:r>
        <w:rPr>
          <w:rFonts w:hint="eastAsia" w:ascii="宋体" w:hAnsi="宋体" w:cs="宋体"/>
          <w:bCs/>
          <w:sz w:val="24"/>
        </w:rPr>
        <w:t>1、基金份额净值是按照每个估值日闭市后，基金资产净值除以当日基金份 额的余额数量计算，精确到0.0001元，小数点后第5位四舍五入。国家另有规定的，从其规定。</w:t>
      </w:r>
    </w:p>
    <w:p>
      <w:pPr>
        <w:spacing w:line="360" w:lineRule="auto"/>
        <w:ind w:firstLine="480" w:firstLineChars="200"/>
        <w:rPr>
          <w:rFonts w:ascii="宋体" w:hAnsi="宋体" w:cs="宋体"/>
          <w:bCs/>
          <w:sz w:val="24"/>
        </w:rPr>
      </w:pPr>
      <w:r>
        <w:rPr>
          <w:rFonts w:hint="eastAsia" w:ascii="宋体" w:hAnsi="宋体" w:cs="宋体"/>
          <w:bCs/>
          <w:sz w:val="24"/>
        </w:rPr>
        <w:t xml:space="preserve">基金管理人每个估值日计算基金资产净值及基金份额净值，并按规定公告。 </w:t>
      </w:r>
    </w:p>
    <w:p>
      <w:pPr>
        <w:numPr>
          <w:ilvl w:val="255"/>
          <w:numId w:val="0"/>
        </w:numPr>
        <w:spacing w:line="360" w:lineRule="auto"/>
        <w:ind w:firstLine="480" w:firstLineChars="200"/>
        <w:rPr>
          <w:rFonts w:ascii="宋体" w:hAnsi="宋体" w:cs="宋体"/>
          <w:bCs/>
          <w:sz w:val="24"/>
        </w:rPr>
      </w:pPr>
      <w:r>
        <w:rPr>
          <w:rFonts w:hint="eastAsia" w:ascii="宋体" w:hAnsi="宋体" w:cs="宋体"/>
          <w:bCs/>
          <w:sz w:val="24"/>
        </w:rPr>
        <w:t>2、基金管理人应每个估值日对基金资产估值。但基金管理人根据法律法规 或本基金合同的规定暂停估值时除外。基金管理人每个估值日对基金资产估值 后，将基金份额净值结果发送基金托管人，经基金托管人复核无误后，由基金管 理人按规定对外公布。</w:t>
      </w:r>
    </w:p>
    <w:p>
      <w:pPr>
        <w:spacing w:line="360" w:lineRule="auto"/>
        <w:ind w:firstLine="480" w:firstLineChars="200"/>
        <w:rPr>
          <w:rFonts w:ascii="宋体" w:hAnsi="宋体" w:cs="宋体"/>
          <w:sz w:val="24"/>
          <w:szCs w:val="24"/>
        </w:rPr>
      </w:pPr>
      <w:r>
        <w:rPr>
          <w:rFonts w:hint="eastAsia" w:ascii="宋体" w:hAnsi="宋体" w:cs="宋体"/>
          <w:sz w:val="24"/>
          <w:szCs w:val="24"/>
        </w:rPr>
        <w:t>（三）暂停估值的情形</w:t>
      </w:r>
    </w:p>
    <w:p>
      <w:pPr>
        <w:spacing w:line="360" w:lineRule="auto"/>
        <w:ind w:firstLine="480" w:firstLineChars="200"/>
        <w:rPr>
          <w:rFonts w:ascii="宋体" w:hAnsi="宋体" w:cs="宋体"/>
          <w:bCs/>
          <w:sz w:val="24"/>
        </w:rPr>
      </w:pPr>
      <w:r>
        <w:rPr>
          <w:rFonts w:hint="eastAsia" w:ascii="宋体" w:hAnsi="宋体" w:cs="宋体"/>
          <w:bCs/>
          <w:sz w:val="24"/>
        </w:rPr>
        <w:t>1、基金投资所涉及的证券交易市场遇法定节假日或因其他原因暂停营业时；</w:t>
      </w:r>
    </w:p>
    <w:p>
      <w:pPr>
        <w:spacing w:line="360" w:lineRule="auto"/>
        <w:ind w:firstLine="480" w:firstLineChars="200"/>
        <w:rPr>
          <w:rFonts w:ascii="宋体" w:hAnsi="宋体" w:cs="宋体"/>
          <w:bCs/>
          <w:sz w:val="24"/>
        </w:rPr>
      </w:pPr>
      <w:r>
        <w:rPr>
          <w:rFonts w:hint="eastAsia" w:ascii="宋体" w:hAnsi="宋体" w:cs="宋体"/>
          <w:bCs/>
          <w:sz w:val="24"/>
        </w:rPr>
        <w:t>2、因不可抗力致使基金管理人、基金托管人无法准确评估基金资产价值时；</w:t>
      </w:r>
    </w:p>
    <w:p>
      <w:pPr>
        <w:spacing w:line="360" w:lineRule="auto"/>
        <w:ind w:firstLine="480" w:firstLineChars="200"/>
        <w:rPr>
          <w:rFonts w:ascii="宋体" w:hAnsi="宋体" w:cs="宋体"/>
          <w:sz w:val="24"/>
          <w:szCs w:val="24"/>
        </w:rPr>
      </w:pPr>
      <w:r>
        <w:rPr>
          <w:rFonts w:hint="eastAsia" w:ascii="宋体" w:hAnsi="宋体" w:cs="宋体"/>
          <w:bCs/>
          <w:sz w:val="24"/>
        </w:rPr>
        <w:t>3、法律法规、中国证监会规定和基金合同认定的其它情形。</w:t>
      </w:r>
    </w:p>
    <w:p>
      <w:pPr>
        <w:spacing w:line="360" w:lineRule="auto"/>
        <w:ind w:firstLine="480" w:firstLineChars="200"/>
        <w:rPr>
          <w:rFonts w:ascii="宋体" w:hAnsi="宋体" w:cs="宋体"/>
          <w:sz w:val="24"/>
          <w:szCs w:val="24"/>
        </w:rPr>
      </w:pPr>
      <w:r>
        <w:rPr>
          <w:rFonts w:hint="eastAsia" w:ascii="宋体" w:hAnsi="宋体" w:cs="宋体"/>
          <w:sz w:val="24"/>
          <w:szCs w:val="24"/>
        </w:rPr>
        <w:t>（四）基金净值的确认</w:t>
      </w:r>
    </w:p>
    <w:p>
      <w:pPr>
        <w:spacing w:line="360" w:lineRule="auto"/>
        <w:ind w:firstLine="480" w:firstLineChars="200"/>
        <w:rPr>
          <w:rFonts w:ascii="宋体" w:hAnsi="宋体" w:cs="宋体"/>
          <w:bCs/>
          <w:sz w:val="24"/>
        </w:rPr>
      </w:pPr>
      <w:r>
        <w:rPr>
          <w:rFonts w:hint="eastAsia" w:ascii="宋体" w:hAnsi="宋体" w:cs="宋体"/>
          <w:bCs/>
          <w:sz w:val="24"/>
        </w:rPr>
        <w:t>用于基金信息披露的基金资产净值和基金份额净值由基金管理人负责计算，基金托管人负责进行复核。基金管理人应于每个估值日交易结束后计算当日的基金资产净值和基金份额净值并发送给基金托管人。基金托管人对净值计算结果复核确认后发送给基金管理人，由基金管理人按约定对基金净值信息予以公布。</w:t>
      </w:r>
    </w:p>
    <w:p>
      <w:pPr>
        <w:spacing w:line="360" w:lineRule="auto"/>
        <w:ind w:firstLine="480" w:firstLineChars="200"/>
        <w:rPr>
          <w:rFonts w:ascii="宋体" w:hAnsi="宋体" w:cs="宋体"/>
          <w:bCs/>
          <w:sz w:val="24"/>
        </w:rPr>
      </w:pPr>
    </w:p>
    <w:p>
      <w:pPr>
        <w:spacing w:line="360" w:lineRule="auto"/>
        <w:ind w:firstLine="562" w:firstLineChars="200"/>
        <w:rPr>
          <w:rFonts w:ascii="宋体" w:hAnsi="宋体" w:cs="宋体"/>
          <w:b/>
          <w:sz w:val="28"/>
          <w:szCs w:val="24"/>
        </w:rPr>
      </w:pPr>
      <w:r>
        <w:rPr>
          <w:rFonts w:hint="eastAsia" w:ascii="宋体" w:hAnsi="宋体" w:cs="宋体"/>
          <w:b/>
          <w:sz w:val="28"/>
          <w:szCs w:val="24"/>
        </w:rPr>
        <w:t>七、基金合同解除和终止的事由、程序以及基金财产的清算方式</w:t>
      </w:r>
    </w:p>
    <w:p>
      <w:pPr>
        <w:spacing w:line="360" w:lineRule="auto"/>
        <w:ind w:firstLine="480" w:firstLineChars="200"/>
        <w:rPr>
          <w:rFonts w:ascii="宋体" w:hAnsi="宋体" w:cs="宋体"/>
          <w:sz w:val="24"/>
          <w:szCs w:val="24"/>
        </w:rPr>
      </w:pPr>
      <w:r>
        <w:rPr>
          <w:rFonts w:hint="eastAsia" w:ascii="宋体" w:hAnsi="宋体" w:cs="宋体"/>
          <w:sz w:val="24"/>
          <w:szCs w:val="24"/>
        </w:rPr>
        <w:t>（一）《基金合同》的变更</w:t>
      </w:r>
    </w:p>
    <w:p>
      <w:pPr>
        <w:autoSpaceDE w:val="0"/>
        <w:autoSpaceDN w:val="0"/>
        <w:adjustRightInd w:val="0"/>
        <w:spacing w:line="360" w:lineRule="auto"/>
        <w:ind w:firstLine="720" w:firstLineChars="300"/>
        <w:jc w:val="left"/>
        <w:rPr>
          <w:rFonts w:ascii="宋体" w:hAnsi="宋体" w:cs="宋体"/>
          <w:bCs/>
          <w:sz w:val="24"/>
        </w:rPr>
      </w:pPr>
      <w:r>
        <w:rPr>
          <w:rFonts w:hint="eastAsia" w:ascii="宋体" w:hAnsi="宋体" w:cs="宋体"/>
          <w:bCs/>
          <w:sz w:val="24"/>
        </w:rPr>
        <w:t>1、变更基金合同涉及法律法规规定或本合同约定应经基金份额持有人大会决议通过的事项的，应召开基金份额持有人大会决议通过。对于法律法规规定和基金合同约定可不经基金份额持有人大会决议通过的事项，由基金管理人和基金托管人同意后变更并公告。</w:t>
      </w:r>
    </w:p>
    <w:p>
      <w:pPr>
        <w:spacing w:line="360" w:lineRule="auto"/>
        <w:ind w:firstLine="480" w:firstLineChars="200"/>
        <w:rPr>
          <w:rFonts w:ascii="宋体" w:hAnsi="宋体" w:cs="宋体"/>
          <w:bCs/>
          <w:sz w:val="24"/>
        </w:rPr>
      </w:pPr>
      <w:r>
        <w:rPr>
          <w:rFonts w:hint="eastAsia" w:ascii="宋体" w:hAnsi="宋体" w:cs="宋体"/>
          <w:bCs/>
          <w:sz w:val="24"/>
        </w:rPr>
        <w:t xml:space="preserve"> 2、关于《基金合同》变更的基金份额持有人大会决议自表决通过之日起生效，并自生效后方可执行，自决议生效后两日内在规定媒介公告。</w:t>
      </w:r>
    </w:p>
    <w:p>
      <w:pPr>
        <w:spacing w:line="360" w:lineRule="auto"/>
        <w:ind w:firstLine="480" w:firstLineChars="200"/>
        <w:rPr>
          <w:rFonts w:ascii="宋体" w:hAnsi="宋体" w:cs="宋体"/>
          <w:sz w:val="24"/>
          <w:szCs w:val="24"/>
        </w:rPr>
      </w:pPr>
      <w:r>
        <w:rPr>
          <w:rFonts w:hint="eastAsia" w:ascii="宋体" w:hAnsi="宋体" w:cs="宋体"/>
          <w:sz w:val="24"/>
          <w:szCs w:val="24"/>
        </w:rPr>
        <w:t>（二）《基金合同》的终止事由</w:t>
      </w:r>
    </w:p>
    <w:p>
      <w:pPr>
        <w:spacing w:line="360" w:lineRule="auto"/>
        <w:ind w:firstLine="480" w:firstLineChars="200"/>
        <w:rPr>
          <w:rFonts w:ascii="宋体" w:hAnsi="宋体" w:cs="宋体"/>
          <w:bCs/>
          <w:sz w:val="24"/>
        </w:rPr>
      </w:pPr>
      <w:r>
        <w:rPr>
          <w:rFonts w:hint="eastAsia" w:ascii="宋体" w:hAnsi="宋体" w:cs="宋体"/>
          <w:bCs/>
          <w:sz w:val="24"/>
        </w:rPr>
        <w:t>有下列情形之一的，经履行相关程序后，《基金合同》应当终止：</w:t>
      </w:r>
    </w:p>
    <w:p>
      <w:pPr>
        <w:spacing w:line="360" w:lineRule="auto"/>
        <w:ind w:firstLine="480" w:firstLineChars="200"/>
        <w:rPr>
          <w:rFonts w:ascii="宋体" w:hAnsi="宋体" w:cs="宋体"/>
          <w:bCs/>
          <w:sz w:val="24"/>
        </w:rPr>
      </w:pPr>
      <w:r>
        <w:rPr>
          <w:rFonts w:hint="eastAsia" w:ascii="宋体" w:hAnsi="宋体" w:cs="宋体"/>
          <w:bCs/>
          <w:sz w:val="24"/>
        </w:rPr>
        <w:t>1、本基金封闭期届满；</w:t>
      </w:r>
    </w:p>
    <w:p>
      <w:pPr>
        <w:spacing w:line="360" w:lineRule="auto"/>
        <w:ind w:firstLine="480" w:firstLineChars="200"/>
        <w:rPr>
          <w:rFonts w:ascii="宋体" w:hAnsi="宋体" w:cs="宋体"/>
          <w:bCs/>
          <w:sz w:val="24"/>
        </w:rPr>
      </w:pPr>
      <w:r>
        <w:rPr>
          <w:rFonts w:hint="eastAsia" w:ascii="宋体" w:hAnsi="宋体" w:cs="宋体"/>
          <w:bCs/>
          <w:sz w:val="24"/>
        </w:rPr>
        <w:t>2、基金份额持有人大会决定终止的；</w:t>
      </w:r>
    </w:p>
    <w:p>
      <w:pPr>
        <w:spacing w:line="360" w:lineRule="auto"/>
        <w:ind w:firstLine="480" w:firstLineChars="200"/>
        <w:rPr>
          <w:rFonts w:ascii="宋体" w:hAnsi="宋体" w:cs="宋体"/>
          <w:bCs/>
          <w:sz w:val="24"/>
        </w:rPr>
      </w:pPr>
      <w:r>
        <w:rPr>
          <w:rFonts w:hint="eastAsia" w:ascii="宋体" w:hAnsi="宋体" w:cs="宋体"/>
          <w:bCs/>
          <w:sz w:val="24"/>
        </w:rPr>
        <w:t>3、基金管理人、基金托管人职责终止，在6个月内没有新基金管理人、新基金托管人承接的；</w:t>
      </w:r>
    </w:p>
    <w:p>
      <w:pPr>
        <w:spacing w:line="360" w:lineRule="auto"/>
        <w:ind w:firstLine="480" w:firstLineChars="200"/>
        <w:rPr>
          <w:rFonts w:ascii="宋体" w:hAnsi="宋体" w:cs="宋体"/>
          <w:bCs/>
          <w:sz w:val="24"/>
        </w:rPr>
      </w:pPr>
      <w:r>
        <w:rPr>
          <w:rFonts w:hint="eastAsia" w:ascii="宋体" w:hAnsi="宋体" w:cs="宋体"/>
          <w:bCs/>
          <w:sz w:val="24"/>
        </w:rPr>
        <w:t>4、《基金合同》约定的其他情形；</w:t>
      </w:r>
    </w:p>
    <w:p>
      <w:pPr>
        <w:spacing w:line="360" w:lineRule="auto"/>
        <w:ind w:firstLine="480" w:firstLineChars="200"/>
        <w:rPr>
          <w:rFonts w:ascii="宋体" w:hAnsi="宋体" w:cs="宋体"/>
          <w:bCs/>
          <w:sz w:val="24"/>
        </w:rPr>
      </w:pPr>
      <w:r>
        <w:rPr>
          <w:rFonts w:hint="eastAsia" w:ascii="宋体" w:hAnsi="宋体" w:cs="宋体"/>
          <w:bCs/>
          <w:sz w:val="24"/>
        </w:rPr>
        <w:t>5、相关法律法规和中国证监会规定的其他情况。</w:t>
      </w:r>
    </w:p>
    <w:p>
      <w:pPr>
        <w:spacing w:line="360" w:lineRule="auto"/>
        <w:ind w:firstLine="480" w:firstLineChars="200"/>
        <w:rPr>
          <w:rFonts w:ascii="宋体" w:hAnsi="宋体" w:cs="宋体"/>
          <w:sz w:val="24"/>
          <w:szCs w:val="24"/>
        </w:rPr>
      </w:pPr>
      <w:r>
        <w:rPr>
          <w:rFonts w:hint="eastAsia" w:ascii="宋体" w:hAnsi="宋体" w:cs="宋体"/>
          <w:sz w:val="24"/>
          <w:szCs w:val="24"/>
        </w:rPr>
        <w:t>（三）基金财产的清算</w:t>
      </w:r>
    </w:p>
    <w:p>
      <w:pPr>
        <w:spacing w:line="360" w:lineRule="auto"/>
        <w:ind w:firstLine="480" w:firstLineChars="200"/>
        <w:rPr>
          <w:rFonts w:ascii="宋体" w:hAnsi="宋体" w:cs="宋体"/>
          <w:bCs/>
          <w:sz w:val="24"/>
        </w:rPr>
      </w:pPr>
      <w:r>
        <w:rPr>
          <w:rFonts w:hint="eastAsia" w:ascii="宋体" w:hAnsi="宋体" w:cs="宋体"/>
          <w:bCs/>
          <w:sz w:val="24"/>
        </w:rPr>
        <w:t>1、基金财产清算小组：自出现《基金合同》终止事由之日起30个工作日内成立清算小组，基金管理人或临时基金管理人组织基金财产清算小组并在中国证监会的监督下进行基金清算。</w:t>
      </w:r>
    </w:p>
    <w:p>
      <w:pPr>
        <w:spacing w:line="360" w:lineRule="auto"/>
        <w:ind w:firstLine="480" w:firstLineChars="200"/>
        <w:rPr>
          <w:rFonts w:ascii="宋体" w:hAnsi="宋体" w:cs="宋体"/>
          <w:bCs/>
          <w:sz w:val="24"/>
        </w:rPr>
      </w:pPr>
      <w:r>
        <w:rPr>
          <w:rFonts w:hint="eastAsia" w:ascii="宋体" w:hAnsi="宋体" w:cs="宋体"/>
          <w:bCs/>
          <w:sz w:val="24"/>
        </w:rPr>
        <w:t>2、基金财产清算小组组成：基金财产清算小组成员由基金管理人或临时基金管理人、基金托管人、</w:t>
      </w:r>
      <w:r>
        <w:rPr>
          <w:rFonts w:hint="eastAsia" w:ascii="宋体" w:hAnsi="宋体" w:cs="宋体"/>
          <w:sz w:val="24"/>
        </w:rPr>
        <w:t>符合《中华人民共和国证券法》规定</w:t>
      </w:r>
      <w:r>
        <w:rPr>
          <w:rFonts w:hint="eastAsia" w:ascii="宋体" w:hAnsi="宋体" w:cs="宋体"/>
          <w:bCs/>
          <w:sz w:val="24"/>
        </w:rPr>
        <w:t>的注册会计师、律师以及中国证监会指定的人员组成。基金财产清算小组可以聘用必要的工作人员。</w:t>
      </w:r>
    </w:p>
    <w:p>
      <w:pPr>
        <w:spacing w:line="360" w:lineRule="auto"/>
        <w:ind w:firstLine="480" w:firstLineChars="200"/>
        <w:rPr>
          <w:rFonts w:ascii="宋体" w:hAnsi="宋体" w:cs="宋体"/>
          <w:bCs/>
          <w:sz w:val="24"/>
        </w:rPr>
      </w:pPr>
      <w:r>
        <w:rPr>
          <w:rFonts w:hint="eastAsia" w:ascii="宋体" w:hAnsi="宋体" w:cs="宋体"/>
          <w:bCs/>
          <w:sz w:val="24"/>
        </w:rPr>
        <w:t>3、基金财产清算小组职责：基金财产清算小组负责基金财产的保管、清理、估价、变现和分配。基金财产清算小组可以依法进行必要的民事活动。</w:t>
      </w:r>
    </w:p>
    <w:p>
      <w:pPr>
        <w:spacing w:line="360" w:lineRule="auto"/>
        <w:ind w:firstLine="480" w:firstLineChars="200"/>
        <w:rPr>
          <w:rFonts w:ascii="宋体" w:hAnsi="宋体" w:cs="宋体"/>
          <w:sz w:val="24"/>
        </w:rPr>
      </w:pPr>
      <w:r>
        <w:rPr>
          <w:rFonts w:hint="eastAsia" w:ascii="宋体" w:hAnsi="宋体" w:cs="宋体"/>
          <w:sz w:val="24"/>
        </w:rPr>
        <w:t>4、基金财产清算程序：</w:t>
      </w:r>
    </w:p>
    <w:p>
      <w:pPr>
        <w:spacing w:line="360" w:lineRule="auto"/>
        <w:ind w:firstLine="480" w:firstLineChars="200"/>
        <w:rPr>
          <w:rFonts w:ascii="宋体" w:hAnsi="宋体" w:cs="宋体"/>
          <w:bCs/>
          <w:sz w:val="24"/>
        </w:rPr>
      </w:pPr>
      <w:r>
        <w:rPr>
          <w:rFonts w:hint="eastAsia" w:ascii="宋体" w:hAnsi="宋体" w:cs="宋体"/>
          <w:bCs/>
          <w:sz w:val="24"/>
        </w:rPr>
        <w:t>（1）《基金合同》终止情形出现时，由基金财产清算小组统一接管基金；</w:t>
      </w:r>
    </w:p>
    <w:p>
      <w:pPr>
        <w:spacing w:line="360" w:lineRule="auto"/>
        <w:ind w:firstLine="480" w:firstLineChars="200"/>
        <w:rPr>
          <w:rFonts w:ascii="宋体" w:hAnsi="宋体" w:cs="宋体"/>
          <w:bCs/>
          <w:sz w:val="24"/>
        </w:rPr>
      </w:pPr>
      <w:r>
        <w:rPr>
          <w:rFonts w:hint="eastAsia" w:ascii="宋体" w:hAnsi="宋体" w:cs="宋体"/>
          <w:bCs/>
          <w:sz w:val="24"/>
        </w:rPr>
        <w:t>（2）对基金财产和债权债务进行清理和确认；</w:t>
      </w:r>
    </w:p>
    <w:p>
      <w:pPr>
        <w:spacing w:line="360" w:lineRule="auto"/>
        <w:ind w:firstLine="480" w:firstLineChars="200"/>
        <w:rPr>
          <w:rFonts w:ascii="宋体" w:hAnsi="宋体" w:cs="宋体"/>
          <w:bCs/>
          <w:sz w:val="24"/>
        </w:rPr>
      </w:pPr>
      <w:r>
        <w:rPr>
          <w:rFonts w:hint="eastAsia" w:ascii="宋体" w:hAnsi="宋体" w:cs="宋体"/>
          <w:bCs/>
          <w:sz w:val="24"/>
        </w:rPr>
        <w:t>（3）对基金财产进行估值和变现；</w:t>
      </w:r>
    </w:p>
    <w:p>
      <w:pPr>
        <w:spacing w:line="360" w:lineRule="auto"/>
        <w:ind w:firstLine="480" w:firstLineChars="200"/>
        <w:rPr>
          <w:rFonts w:ascii="宋体" w:hAnsi="宋体" w:cs="宋体"/>
          <w:bCs/>
          <w:sz w:val="24"/>
        </w:rPr>
      </w:pPr>
      <w:r>
        <w:rPr>
          <w:rFonts w:hint="eastAsia" w:ascii="宋体" w:hAnsi="宋体" w:cs="宋体"/>
          <w:bCs/>
          <w:sz w:val="24"/>
        </w:rPr>
        <w:t>（4）制作清算报告；</w:t>
      </w:r>
    </w:p>
    <w:p>
      <w:pPr>
        <w:spacing w:line="360" w:lineRule="auto"/>
        <w:ind w:firstLine="480" w:firstLineChars="200"/>
        <w:rPr>
          <w:rFonts w:ascii="宋体" w:hAnsi="宋体" w:cs="宋体"/>
          <w:bCs/>
          <w:sz w:val="24"/>
        </w:rPr>
      </w:pPr>
      <w:r>
        <w:rPr>
          <w:rFonts w:hint="eastAsia" w:ascii="宋体" w:hAnsi="宋体" w:cs="宋体"/>
          <w:bCs/>
          <w:sz w:val="24"/>
        </w:rPr>
        <w:t>（5）聘请会计师事务所对清算报告进行外部审计，聘请律师事务所对清算报告出具法律意见书；</w:t>
      </w:r>
    </w:p>
    <w:p>
      <w:pPr>
        <w:spacing w:line="360" w:lineRule="auto"/>
        <w:ind w:firstLine="480" w:firstLineChars="200"/>
        <w:rPr>
          <w:rFonts w:ascii="宋体" w:hAnsi="宋体" w:cs="宋体"/>
          <w:bCs/>
          <w:sz w:val="24"/>
        </w:rPr>
      </w:pPr>
      <w:r>
        <w:rPr>
          <w:rFonts w:hint="eastAsia" w:ascii="宋体" w:hAnsi="宋体" w:cs="宋体"/>
          <w:bCs/>
          <w:sz w:val="24"/>
        </w:rPr>
        <w:t>（6）将清算报告报中国证监会备案并公告；</w:t>
      </w:r>
    </w:p>
    <w:p>
      <w:pPr>
        <w:spacing w:line="360" w:lineRule="auto"/>
        <w:ind w:firstLine="480" w:firstLineChars="200"/>
        <w:rPr>
          <w:rFonts w:ascii="宋体" w:hAnsi="宋体" w:cs="宋体"/>
          <w:bCs/>
          <w:sz w:val="24"/>
        </w:rPr>
      </w:pPr>
      <w:r>
        <w:rPr>
          <w:rFonts w:hint="eastAsia" w:ascii="宋体" w:hAnsi="宋体" w:cs="宋体"/>
          <w:bCs/>
          <w:sz w:val="24"/>
        </w:rPr>
        <w:t>（7）对基金剩余财产进行分配。</w:t>
      </w:r>
    </w:p>
    <w:p>
      <w:pPr>
        <w:spacing w:line="360" w:lineRule="auto"/>
        <w:ind w:firstLine="480" w:firstLineChars="200"/>
        <w:rPr>
          <w:rFonts w:ascii="宋体" w:hAnsi="宋体" w:cs="宋体"/>
          <w:sz w:val="24"/>
          <w:szCs w:val="24"/>
        </w:rPr>
      </w:pPr>
      <w:r>
        <w:rPr>
          <w:rFonts w:hint="eastAsia" w:ascii="宋体" w:hAnsi="宋体" w:cs="宋体"/>
          <w:bCs/>
          <w:sz w:val="24"/>
        </w:rPr>
        <w:t>5、基金财产清算的期限为6个月，但因本基金所持证券的流动性受到限制而不能及时变现的，清算期限相应顺延。</w:t>
      </w:r>
    </w:p>
    <w:p>
      <w:pPr>
        <w:spacing w:line="360" w:lineRule="auto"/>
        <w:ind w:firstLine="480" w:firstLineChars="200"/>
        <w:rPr>
          <w:rFonts w:ascii="宋体" w:hAnsi="宋体" w:cs="宋体"/>
          <w:sz w:val="24"/>
          <w:szCs w:val="24"/>
        </w:rPr>
      </w:pPr>
      <w:r>
        <w:rPr>
          <w:rFonts w:hint="eastAsia" w:ascii="宋体" w:hAnsi="宋体" w:cs="宋体"/>
          <w:sz w:val="24"/>
          <w:szCs w:val="24"/>
        </w:rPr>
        <w:t>（四）清算费用</w:t>
      </w:r>
    </w:p>
    <w:p>
      <w:pPr>
        <w:spacing w:line="360" w:lineRule="auto"/>
        <w:ind w:firstLine="480" w:firstLineChars="200"/>
        <w:rPr>
          <w:rFonts w:ascii="宋体" w:hAnsi="宋体" w:cs="宋体"/>
          <w:sz w:val="24"/>
          <w:szCs w:val="24"/>
        </w:rPr>
      </w:pPr>
      <w:r>
        <w:rPr>
          <w:rFonts w:hint="eastAsia" w:ascii="宋体" w:hAnsi="宋体" w:cs="宋体"/>
          <w:bCs/>
          <w:sz w:val="24"/>
        </w:rPr>
        <w:t>依据基金财产清算的分配方案，将基金财产清算后的全部剩余资产扣除基金财产清算费用、交纳所欠税款并清偿基金债务后，按基金份额持有人持有的基金份额比例进行分配。</w:t>
      </w:r>
    </w:p>
    <w:p>
      <w:pPr>
        <w:spacing w:line="360" w:lineRule="auto"/>
        <w:ind w:firstLine="480" w:firstLineChars="200"/>
        <w:rPr>
          <w:rFonts w:ascii="宋体" w:hAnsi="宋体" w:cs="宋体"/>
          <w:sz w:val="24"/>
          <w:szCs w:val="24"/>
        </w:rPr>
      </w:pPr>
      <w:r>
        <w:rPr>
          <w:rFonts w:hint="eastAsia" w:ascii="宋体" w:hAnsi="宋体" w:cs="宋体"/>
          <w:sz w:val="24"/>
          <w:szCs w:val="24"/>
        </w:rPr>
        <w:t>（五）基金财产清算剩余资产的分配</w:t>
      </w:r>
    </w:p>
    <w:p>
      <w:pPr>
        <w:spacing w:line="360" w:lineRule="auto"/>
        <w:ind w:firstLine="480" w:firstLineChars="200"/>
        <w:rPr>
          <w:rFonts w:ascii="宋体" w:hAnsi="宋体" w:cs="宋体"/>
          <w:bCs/>
          <w:sz w:val="24"/>
        </w:rPr>
      </w:pPr>
      <w:r>
        <w:rPr>
          <w:rFonts w:hint="eastAsia" w:ascii="宋体" w:hAnsi="宋体" w:cs="宋体"/>
          <w:bCs/>
          <w:sz w:val="24"/>
        </w:rPr>
        <w:t>依据基金财产清算的分配方案，将基金财产清算后的全部剩余资产扣除基金财产清算费用、交纳所欠税款并清偿基金债务后，按基金份额持有人持有的基金份额比例进行分配。</w:t>
      </w:r>
    </w:p>
    <w:p>
      <w:pPr>
        <w:spacing w:line="360" w:lineRule="auto"/>
        <w:ind w:firstLine="480" w:firstLineChars="200"/>
        <w:rPr>
          <w:rFonts w:ascii="宋体" w:hAnsi="宋体" w:cs="宋体"/>
          <w:sz w:val="24"/>
          <w:szCs w:val="24"/>
        </w:rPr>
      </w:pPr>
      <w:r>
        <w:rPr>
          <w:rFonts w:hint="eastAsia" w:ascii="宋体" w:hAnsi="宋体" w:cs="宋体"/>
          <w:sz w:val="24"/>
          <w:szCs w:val="24"/>
        </w:rPr>
        <w:t>（六）基金财产清算的公告</w:t>
      </w:r>
    </w:p>
    <w:p>
      <w:pPr>
        <w:spacing w:line="360" w:lineRule="auto"/>
        <w:ind w:firstLine="480" w:firstLineChars="200"/>
        <w:rPr>
          <w:rFonts w:ascii="宋体" w:hAnsi="宋体" w:cs="宋体"/>
          <w:bCs/>
          <w:sz w:val="24"/>
        </w:rPr>
      </w:pPr>
      <w:r>
        <w:rPr>
          <w:rFonts w:hint="eastAsia" w:ascii="宋体" w:hAnsi="宋体" w:cs="宋体"/>
          <w:bCs/>
          <w:sz w:val="24"/>
        </w:rPr>
        <w:t>清算过程中的有关重大事项须及时公告；基金财产清算报告经</w:t>
      </w:r>
      <w:r>
        <w:rPr>
          <w:rFonts w:hint="eastAsia" w:ascii="宋体" w:hAnsi="宋体" w:cs="宋体"/>
          <w:sz w:val="24"/>
        </w:rPr>
        <w:t>符合《中华人民共和国证券法》规定</w:t>
      </w:r>
      <w:r>
        <w:rPr>
          <w:rFonts w:hint="eastAsia" w:ascii="宋体" w:hAnsi="宋体" w:cs="宋体"/>
          <w:bCs/>
          <w:sz w:val="24"/>
        </w:rPr>
        <w:t>的会计师事务所审计并由律师事务所出具法律意见书后报中国证监会备案并公告。基金财产清算公告于基金财产清算报告报中国证监会备案后5个工作日内由基金财产清算小组进行公告。基金财产清算小组应当将清算报告登载在规定网站上，并将清算报告提示性公告登载在规定报刊上。</w:t>
      </w:r>
    </w:p>
    <w:p>
      <w:pPr>
        <w:spacing w:line="360" w:lineRule="auto"/>
        <w:ind w:firstLine="480" w:firstLineChars="200"/>
        <w:rPr>
          <w:rFonts w:ascii="宋体" w:hAnsi="宋体" w:cs="宋体"/>
          <w:sz w:val="24"/>
          <w:szCs w:val="24"/>
        </w:rPr>
      </w:pPr>
      <w:r>
        <w:rPr>
          <w:rFonts w:hint="eastAsia" w:ascii="宋体" w:hAnsi="宋体" w:cs="宋体"/>
          <w:sz w:val="24"/>
          <w:szCs w:val="24"/>
        </w:rPr>
        <w:t>（七）基金财产清算账册及文件的保存</w:t>
      </w:r>
    </w:p>
    <w:p>
      <w:pPr>
        <w:spacing w:line="360" w:lineRule="auto"/>
        <w:ind w:firstLine="480" w:firstLineChars="200"/>
        <w:rPr>
          <w:rFonts w:ascii="宋体" w:hAnsi="宋体" w:cs="宋体"/>
          <w:sz w:val="24"/>
        </w:rPr>
      </w:pPr>
      <w:r>
        <w:rPr>
          <w:rFonts w:hint="eastAsia" w:ascii="宋体" w:hAnsi="宋体" w:cs="宋体"/>
          <w:sz w:val="24"/>
        </w:rPr>
        <w:t>基金财产清算账册及有关文件由基金托管人保存，保存年限不低于法律法规规定的最低期限。</w:t>
      </w:r>
    </w:p>
    <w:p>
      <w:pPr>
        <w:spacing w:line="360" w:lineRule="auto"/>
        <w:ind w:firstLine="480" w:firstLineChars="200"/>
        <w:rPr>
          <w:rFonts w:ascii="宋体" w:hAnsi="宋体" w:cs="宋体"/>
          <w:sz w:val="24"/>
        </w:rPr>
      </w:pPr>
    </w:p>
    <w:p>
      <w:pPr>
        <w:spacing w:line="360" w:lineRule="auto"/>
        <w:ind w:firstLine="562" w:firstLineChars="200"/>
        <w:rPr>
          <w:rFonts w:ascii="宋体" w:hAnsi="宋体" w:cs="宋体"/>
          <w:b/>
          <w:sz w:val="28"/>
          <w:szCs w:val="24"/>
        </w:rPr>
      </w:pPr>
      <w:r>
        <w:rPr>
          <w:rFonts w:hint="eastAsia" w:ascii="宋体" w:hAnsi="宋体" w:cs="宋体"/>
          <w:b/>
          <w:sz w:val="28"/>
          <w:szCs w:val="24"/>
        </w:rPr>
        <w:t>八、争议解决方式</w:t>
      </w:r>
    </w:p>
    <w:p>
      <w:pPr>
        <w:adjustRightInd w:val="0"/>
        <w:snapToGrid w:val="0"/>
        <w:spacing w:line="360" w:lineRule="auto"/>
        <w:ind w:firstLine="480" w:firstLineChars="200"/>
        <w:rPr>
          <w:rFonts w:ascii="宋体" w:hAnsi="宋体" w:cs="宋体"/>
          <w:bCs/>
          <w:sz w:val="24"/>
        </w:rPr>
      </w:pPr>
      <w:r>
        <w:rPr>
          <w:rFonts w:hint="eastAsia" w:ascii="宋体" w:hAnsi="宋体" w:cs="宋体"/>
          <w:bCs/>
          <w:sz w:val="24"/>
        </w:rPr>
        <w:t>各方当事人同意，因《基金合同》而产生的或与《基金合同》有关的一切争议，如经友好协商未能解决的，任何一方应当将争议提交深圳国际仲裁院，按照深圳国际仲裁院届时有效的仲裁规则进行仲裁。仲裁地点为深圳市。仲裁裁决是终局的，对当事人均有约束力。除非仲裁裁决另有决定，仲裁费用由败诉方承担。</w:t>
      </w:r>
    </w:p>
    <w:p>
      <w:pPr>
        <w:adjustRightInd w:val="0"/>
        <w:snapToGrid w:val="0"/>
        <w:spacing w:line="360" w:lineRule="auto"/>
        <w:ind w:firstLine="480" w:firstLineChars="200"/>
        <w:rPr>
          <w:rFonts w:ascii="宋体" w:hAnsi="宋体" w:cs="宋体"/>
          <w:bCs/>
          <w:sz w:val="24"/>
        </w:rPr>
      </w:pPr>
      <w:r>
        <w:rPr>
          <w:rFonts w:hint="eastAsia" w:ascii="宋体" w:hAnsi="宋体" w:cs="宋体"/>
          <w:bCs/>
          <w:sz w:val="24"/>
        </w:rPr>
        <w:t>争议处理期间，基金合同当事人应恪守各自的职责，继续忠实、勤勉、尽责地履行基金合同规定的义务，维护基金份额持有人的合法权益。</w:t>
      </w:r>
    </w:p>
    <w:p>
      <w:pPr>
        <w:spacing w:line="360" w:lineRule="auto"/>
        <w:ind w:firstLine="480" w:firstLineChars="200"/>
        <w:rPr>
          <w:rFonts w:ascii="宋体" w:hAnsi="宋体" w:cs="宋体"/>
          <w:bCs/>
          <w:sz w:val="24"/>
        </w:rPr>
      </w:pPr>
      <w:r>
        <w:rPr>
          <w:rFonts w:hint="eastAsia" w:ascii="宋体" w:hAnsi="宋体" w:cs="宋体"/>
          <w:bCs/>
          <w:sz w:val="24"/>
        </w:rPr>
        <w:t>《基金合同》受中国法律（不含港澳台地区法律）管辖。</w:t>
      </w:r>
    </w:p>
    <w:p>
      <w:pPr>
        <w:spacing w:line="360" w:lineRule="auto"/>
        <w:ind w:firstLine="480" w:firstLineChars="200"/>
        <w:rPr>
          <w:rFonts w:ascii="宋体" w:hAnsi="宋体" w:cs="宋体"/>
          <w:bCs/>
          <w:sz w:val="24"/>
        </w:rPr>
      </w:pPr>
    </w:p>
    <w:p>
      <w:pPr>
        <w:spacing w:line="360" w:lineRule="auto"/>
        <w:ind w:firstLine="562" w:firstLineChars="200"/>
        <w:rPr>
          <w:rFonts w:ascii="宋体" w:hAnsi="宋体" w:cs="宋体"/>
          <w:b/>
          <w:sz w:val="28"/>
          <w:szCs w:val="24"/>
        </w:rPr>
      </w:pPr>
      <w:r>
        <w:rPr>
          <w:rFonts w:hint="eastAsia" w:ascii="宋体" w:hAnsi="宋体" w:cs="宋体"/>
          <w:b/>
          <w:sz w:val="28"/>
          <w:szCs w:val="24"/>
        </w:rPr>
        <w:t>九、基金合同存放地和投资人取得合同的方式</w:t>
      </w:r>
    </w:p>
    <w:p>
      <w:pPr>
        <w:spacing w:line="360" w:lineRule="auto"/>
        <w:ind w:firstLine="480" w:firstLineChars="200"/>
      </w:pPr>
      <w:r>
        <w:rPr>
          <w:rFonts w:hint="eastAsia" w:ascii="宋体" w:hAnsi="宋体" w:cs="宋体"/>
          <w:bCs/>
          <w:sz w:val="24"/>
        </w:rPr>
        <w:t>《基金合同》可印制成册，供投资者在基金管理人、基金托管人、销售机构的办公场所和营业场所查阅。</w:t>
      </w:r>
      <w:bookmarkEnd w:id="1"/>
      <w:bookmarkEnd w:id="2"/>
      <w:bookmarkEnd w:id="3"/>
      <w:bookmarkEnd w:id="50"/>
      <w:bookmarkStart w:id="610" w:name="CTS_13e0f567bc1b4530b4c7b98abac66295"/>
      <w:bookmarkEnd w:id="610"/>
    </w:p>
    <w:sectPr>
      <w:headerReference r:id="rId8" w:type="default"/>
      <w:footerReference r:id="rId9"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86"/>
    <w:family w:val="modern"/>
    <w:pitch w:val="default"/>
    <w:sig w:usb0="00000000" w:usb1="00000000" w:usb2="00000010" w:usb3="00000000" w:csb0="00040000" w:csb1="00000000"/>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modern"/>
    <w:pitch w:val="default"/>
    <w:sig w:usb0="800002BF" w:usb1="38CF7CFA" w:usb2="00000016" w:usb3="00000000" w:csb0="00040001" w:csb1="00000000"/>
  </w:font>
  <w:font w:name="MS Gothic">
    <w:panose1 w:val="020B0609070205080204"/>
    <w:charset w:val="80"/>
    <w:family w:val="modern"/>
    <w:pitch w:val="default"/>
    <w:sig w:usb0="E00002FF" w:usb1="6AC7FDFB" w:usb2="08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Pr>
  </w:p>
  <w:p>
    <w:pPr>
      <w:pStyle w:val="13"/>
    </w:pPr>
  </w:p>
  <w:p>
    <w:pPr>
      <w:pStyle w:val="1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pPr>
                          <w:r>
                            <w:fldChar w:fldCharType="begin"/>
                          </w:r>
                          <w:r>
                            <w:instrText xml:space="preserve"> PAGE  \* MERGEFORMAT </w:instrText>
                          </w:r>
                          <w:r>
                            <w:fldChar w:fldCharType="separate"/>
                          </w:r>
                          <w:r>
                            <w:t>10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pPr>
                      <w:pStyle w:val="13"/>
                    </w:pPr>
                    <w:r>
                      <w:fldChar w:fldCharType="begin"/>
                    </w:r>
                    <w:r>
                      <w:instrText xml:space="preserve"> PAGE  \* MERGEFORMAT </w:instrText>
                    </w:r>
                    <w:r>
                      <w:fldChar w:fldCharType="separate"/>
                    </w:r>
                    <w:r>
                      <w:t>10</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numPr>
        <w:ilvl w:val="255"/>
        <w:numId w:val="0"/>
      </w:numPr>
      <w:jc w:val="center"/>
    </w:pPr>
    <w:r>
      <mc:AlternateContent>
        <mc:Choice Requires="wps">
          <w:drawing>
            <wp:anchor distT="0" distB="0" distL="114300" distR="114300" simplePos="0" relativeHeight="251663360" behindDoc="0" locked="0" layoutInCell="1" allowOverlap="1">
              <wp:simplePos x="0" y="0"/>
              <wp:positionH relativeFrom="margin">
                <wp:align>left</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numPr>
                              <w:ilvl w:val="255"/>
                              <w:numId w:val="0"/>
                            </w:numPr>
                          </w:pPr>
                        </w:p>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left;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cMibgsAgAAV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FwyJuCwCAABVBAAADgAAAAAAAAABACAAAAAfAQAAZHJzL2Uyb0RvYy54bWxQSwUGAAAAAAYA&#10;BgBZAQAAvQUAAAAA&#10;">
              <v:fill on="f" focussize="0,0"/>
              <v:stroke on="f" weight="0.5pt"/>
              <v:imagedata o:title=""/>
              <o:lock v:ext="edit" aspectratio="f"/>
              <v:textbox inset="0mm,0mm,0mm,0mm" style="mso-fit-shape-to-text:t;">
                <w:txbxContent>
                  <w:p>
                    <w:pPr>
                      <w:pStyle w:val="13"/>
                      <w:numPr>
                        <w:ilvl w:val="255"/>
                        <w:numId w:val="0"/>
                      </w:numPr>
                    </w:pPr>
                  </w:p>
                  <w:p/>
                </w:txbxContent>
              </v:textbox>
            </v:shape>
          </w:pict>
        </mc:Fallback>
      </mc:AlternateContent>
    </w:r>
    <w:r>
      <w:rPr>
        <w:rFonts w:hint="eastAsia"/>
      </w:rPr>
      <w:t>93</w:t>
    </w:r>
  </w:p>
  <w:p>
    <w:pPr>
      <w:pStyle w:val="1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pBdr>
        <w:bottom w:val="none" w:color="auto" w:sz="0" w:space="10"/>
      </w:pBdr>
      <w:tabs>
        <w:tab w:val="right" w:pos="8280"/>
      </w:tabs>
      <w:wordWrap w:val="0"/>
      <w:adjustRightInd w:val="0"/>
      <w:jc w:val="both"/>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pBdr>
        <w:bottom w:val="none" w:color="auto" w:sz="0" w:space="1"/>
      </w:pBdr>
      <w:tabs>
        <w:tab w:val="left" w:pos="6111"/>
      </w:tabs>
      <w:jc w:val="lef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pBdr>
        <w:bottom w:val="single" w:color="auto" w:sz="4" w:space="10"/>
      </w:pBdr>
      <w:tabs>
        <w:tab w:val="right" w:pos="8280"/>
      </w:tabs>
      <w:wordWrap w:val="0"/>
      <w:adjustRightInd w:val="0"/>
      <w:jc w:val="right"/>
    </w:pPr>
    <w:r>
      <w:rPr>
        <w:rFonts w:hint="eastAsia"/>
        <w:color w:val="000000"/>
      </w:rPr>
      <w:t>东方阿尔法聚利63个月封闭式债券型证券投资基金</w:t>
    </w:r>
    <w:r>
      <w:rPr>
        <w:rFonts w:hint="eastAsia"/>
      </w:rPr>
      <w:t>基金合同</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pBdr>
        <w:bottom w:val="single" w:color="auto" w:sz="4" w:space="10"/>
      </w:pBdr>
      <w:tabs>
        <w:tab w:val="right" w:pos="8280"/>
      </w:tabs>
      <w:wordWrap w:val="0"/>
      <w:adjustRightInd w:val="0"/>
      <w:jc w:val="right"/>
    </w:pPr>
    <w:r>
      <w:rPr>
        <w:rFonts w:hint="eastAsia"/>
        <w:color w:val="000000"/>
      </w:rPr>
      <w:t>东方阿尔法聚利63个月封闭式债券型证券投资基金</w:t>
    </w:r>
    <w:r>
      <w:rPr>
        <w:rFonts w:hint="eastAsia"/>
      </w:rPr>
      <w:t>基金合同</w:t>
    </w:r>
  </w:p>
  <w:p>
    <w:pPr>
      <w:spacing w:before="192" w:line="93" w:lineRule="exac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0C12C15"/>
    <w:multiLevelType w:val="singleLevel"/>
    <w:tmpl w:val="90C12C15"/>
    <w:lvl w:ilvl="0" w:tentative="0">
      <w:start w:val="4"/>
      <w:numFmt w:val="decimal"/>
      <w:suff w:val="nothing"/>
      <w:lvlText w:val="（%1）"/>
      <w:lvlJc w:val="left"/>
    </w:lvl>
  </w:abstractNum>
  <w:abstractNum w:abstractNumId="1">
    <w:nsid w:val="E528973D"/>
    <w:multiLevelType w:val="singleLevel"/>
    <w:tmpl w:val="E528973D"/>
    <w:lvl w:ilvl="0" w:tentative="0">
      <w:start w:val="9"/>
      <w:numFmt w:val="chineseCounting"/>
      <w:suff w:val="nothing"/>
      <w:lvlText w:val="（%1）"/>
      <w:lvlJc w:val="left"/>
      <w:rPr>
        <w:rFonts w:hint="eastAsia"/>
      </w:rPr>
    </w:lvl>
  </w:abstractNum>
  <w:abstractNum w:abstractNumId="2">
    <w:nsid w:val="F72ECBEB"/>
    <w:multiLevelType w:val="singleLevel"/>
    <w:tmpl w:val="F72ECBEB"/>
    <w:lvl w:ilvl="0" w:tentative="0">
      <w:start w:val="2"/>
      <w:numFmt w:val="decimal"/>
      <w:suff w:val="nothing"/>
      <w:lvlText w:val="%1、"/>
      <w:lvlJc w:val="left"/>
    </w:lvl>
  </w:abstractNum>
  <w:abstractNum w:abstractNumId="3">
    <w:nsid w:val="0000000A"/>
    <w:multiLevelType w:val="singleLevel"/>
    <w:tmpl w:val="0000000A"/>
    <w:lvl w:ilvl="0" w:tentative="0">
      <w:start w:val="4"/>
      <w:numFmt w:val="chineseCounting"/>
      <w:suff w:val="nothing"/>
      <w:lvlText w:val="%1、"/>
      <w:lvlJc w:val="left"/>
    </w:lvl>
  </w:abstractNum>
  <w:abstractNum w:abstractNumId="4">
    <w:nsid w:val="0000000C"/>
    <w:multiLevelType w:val="singleLevel"/>
    <w:tmpl w:val="0000000C"/>
    <w:lvl w:ilvl="0" w:tentative="0">
      <w:start w:val="1"/>
      <w:numFmt w:val="bullet"/>
      <w:pStyle w:val="36"/>
      <w:lvlText w:val=""/>
      <w:lvlJc w:val="left"/>
      <w:pPr>
        <w:tabs>
          <w:tab w:val="left" w:pos="360"/>
        </w:tabs>
        <w:ind w:left="360" w:hanging="360"/>
      </w:pPr>
      <w:rPr>
        <w:rFonts w:hint="default" w:ascii="Symbol" w:hAnsi="Symbol"/>
        <w:color w:val="auto"/>
      </w:rPr>
    </w:lvl>
  </w:abstractNum>
  <w:abstractNum w:abstractNumId="5">
    <w:nsid w:val="60EF6C12"/>
    <w:multiLevelType w:val="multilevel"/>
    <w:tmpl w:val="60EF6C12"/>
    <w:lvl w:ilvl="0" w:tentative="0">
      <w:start w:val="1"/>
      <w:numFmt w:val="decimal"/>
      <w:lvlText w:val="%1、"/>
      <w:lvlJc w:val="left"/>
      <w:pPr>
        <w:ind w:left="0" w:hanging="360"/>
      </w:pPr>
      <w:rPr>
        <w:rFonts w:hint="default"/>
      </w:rPr>
    </w:lvl>
    <w:lvl w:ilvl="1" w:tentative="0">
      <w:start w:val="1"/>
      <w:numFmt w:val="lowerLetter"/>
      <w:lvlText w:val="%2)"/>
      <w:lvlJc w:val="left"/>
      <w:pPr>
        <w:ind w:left="520" w:hanging="440"/>
      </w:pPr>
    </w:lvl>
    <w:lvl w:ilvl="2" w:tentative="0">
      <w:start w:val="1"/>
      <w:numFmt w:val="lowerRoman"/>
      <w:lvlText w:val="%3."/>
      <w:lvlJc w:val="right"/>
      <w:pPr>
        <w:ind w:left="960" w:hanging="440"/>
      </w:pPr>
    </w:lvl>
    <w:lvl w:ilvl="3" w:tentative="0">
      <w:start w:val="1"/>
      <w:numFmt w:val="decimal"/>
      <w:lvlText w:val="%4."/>
      <w:lvlJc w:val="left"/>
      <w:pPr>
        <w:ind w:left="1400" w:hanging="440"/>
      </w:pPr>
    </w:lvl>
    <w:lvl w:ilvl="4" w:tentative="0">
      <w:start w:val="1"/>
      <w:numFmt w:val="lowerLetter"/>
      <w:lvlText w:val="%5)"/>
      <w:lvlJc w:val="left"/>
      <w:pPr>
        <w:ind w:left="1840" w:hanging="440"/>
      </w:pPr>
    </w:lvl>
    <w:lvl w:ilvl="5" w:tentative="0">
      <w:start w:val="1"/>
      <w:numFmt w:val="lowerRoman"/>
      <w:lvlText w:val="%6."/>
      <w:lvlJc w:val="right"/>
      <w:pPr>
        <w:ind w:left="2280" w:hanging="440"/>
      </w:pPr>
    </w:lvl>
    <w:lvl w:ilvl="6" w:tentative="0">
      <w:start w:val="1"/>
      <w:numFmt w:val="decimal"/>
      <w:lvlText w:val="%7."/>
      <w:lvlJc w:val="left"/>
      <w:pPr>
        <w:ind w:left="2720" w:hanging="440"/>
      </w:pPr>
    </w:lvl>
    <w:lvl w:ilvl="7" w:tentative="0">
      <w:start w:val="1"/>
      <w:numFmt w:val="lowerLetter"/>
      <w:lvlText w:val="%8)"/>
      <w:lvlJc w:val="left"/>
      <w:pPr>
        <w:ind w:left="3160" w:hanging="440"/>
      </w:pPr>
    </w:lvl>
    <w:lvl w:ilvl="8" w:tentative="0">
      <w:start w:val="1"/>
      <w:numFmt w:val="lowerRoman"/>
      <w:lvlText w:val="%9."/>
      <w:lvlJc w:val="right"/>
      <w:pPr>
        <w:ind w:left="3600" w:hanging="440"/>
      </w:pPr>
    </w:lvl>
  </w:abstractNum>
  <w:abstractNum w:abstractNumId="6">
    <w:nsid w:val="7DCD728E"/>
    <w:multiLevelType w:val="singleLevel"/>
    <w:tmpl w:val="7DCD728E"/>
    <w:lvl w:ilvl="0" w:tentative="0">
      <w:start w:val="2"/>
      <w:numFmt w:val="decimal"/>
      <w:suff w:val="nothing"/>
      <w:lvlText w:val="（%1）"/>
      <w:lvlJc w:val="left"/>
    </w:lvl>
  </w:abstractNum>
  <w:num w:numId="1">
    <w:abstractNumId w:val="4"/>
  </w:num>
  <w:num w:numId="2">
    <w:abstractNumId w:val="3"/>
  </w:num>
  <w:num w:numId="3">
    <w:abstractNumId w:val="2"/>
  </w:num>
  <w:num w:numId="4">
    <w:abstractNumId w:val="6"/>
  </w:num>
  <w:num w:numId="5">
    <w:abstractNumId w:val="0"/>
  </w:num>
  <w:num w:numId="6">
    <w:abstractNumId w:val="5"/>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isplayBackgroundShape w:val="1"/>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noPunctuationKerning w:val="1"/>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jZiYTFkMTQ1MTMzM2E5MjkwMTYyODkwYjMyMDM0YjkifQ=="/>
  </w:docVars>
  <w:rsids>
    <w:rsidRoot w:val="00172A27"/>
    <w:rsid w:val="00000D07"/>
    <w:rsid w:val="00001365"/>
    <w:rsid w:val="00001614"/>
    <w:rsid w:val="00001A48"/>
    <w:rsid w:val="00001EF7"/>
    <w:rsid w:val="00005C8F"/>
    <w:rsid w:val="00005EBC"/>
    <w:rsid w:val="000078FB"/>
    <w:rsid w:val="00013C9A"/>
    <w:rsid w:val="00014271"/>
    <w:rsid w:val="0001705E"/>
    <w:rsid w:val="0002128C"/>
    <w:rsid w:val="00027584"/>
    <w:rsid w:val="000311D3"/>
    <w:rsid w:val="000312E6"/>
    <w:rsid w:val="00033CB7"/>
    <w:rsid w:val="00035126"/>
    <w:rsid w:val="00035558"/>
    <w:rsid w:val="000361D8"/>
    <w:rsid w:val="0004130B"/>
    <w:rsid w:val="00053446"/>
    <w:rsid w:val="000563C1"/>
    <w:rsid w:val="00063265"/>
    <w:rsid w:val="000655A0"/>
    <w:rsid w:val="00071998"/>
    <w:rsid w:val="000732CC"/>
    <w:rsid w:val="000733A0"/>
    <w:rsid w:val="00080E5C"/>
    <w:rsid w:val="0008177C"/>
    <w:rsid w:val="0008261C"/>
    <w:rsid w:val="0008408E"/>
    <w:rsid w:val="00086DFB"/>
    <w:rsid w:val="00093C28"/>
    <w:rsid w:val="00094882"/>
    <w:rsid w:val="00096589"/>
    <w:rsid w:val="000A14A0"/>
    <w:rsid w:val="000A3B21"/>
    <w:rsid w:val="000A3BAE"/>
    <w:rsid w:val="000A3FDB"/>
    <w:rsid w:val="000A4974"/>
    <w:rsid w:val="000A4B79"/>
    <w:rsid w:val="000A62E6"/>
    <w:rsid w:val="000B17D0"/>
    <w:rsid w:val="000C43F2"/>
    <w:rsid w:val="000C57C0"/>
    <w:rsid w:val="000D3257"/>
    <w:rsid w:val="000D4B00"/>
    <w:rsid w:val="000D4C8B"/>
    <w:rsid w:val="000D56A9"/>
    <w:rsid w:val="000D7F07"/>
    <w:rsid w:val="000E083C"/>
    <w:rsid w:val="000E2052"/>
    <w:rsid w:val="000E462A"/>
    <w:rsid w:val="000F7FC8"/>
    <w:rsid w:val="0010136F"/>
    <w:rsid w:val="00102498"/>
    <w:rsid w:val="001109DB"/>
    <w:rsid w:val="0012378D"/>
    <w:rsid w:val="0012659D"/>
    <w:rsid w:val="00133FE8"/>
    <w:rsid w:val="00134DCB"/>
    <w:rsid w:val="00135D36"/>
    <w:rsid w:val="00140FF7"/>
    <w:rsid w:val="001419EE"/>
    <w:rsid w:val="0014765F"/>
    <w:rsid w:val="00150AE2"/>
    <w:rsid w:val="0015184B"/>
    <w:rsid w:val="0016147D"/>
    <w:rsid w:val="00162EF9"/>
    <w:rsid w:val="001670F2"/>
    <w:rsid w:val="001707C0"/>
    <w:rsid w:val="0017270C"/>
    <w:rsid w:val="00172A27"/>
    <w:rsid w:val="00174EF2"/>
    <w:rsid w:val="001811CE"/>
    <w:rsid w:val="001820B1"/>
    <w:rsid w:val="00184BF8"/>
    <w:rsid w:val="001877DD"/>
    <w:rsid w:val="00193654"/>
    <w:rsid w:val="00193A17"/>
    <w:rsid w:val="001959D7"/>
    <w:rsid w:val="00195CB4"/>
    <w:rsid w:val="00195CC2"/>
    <w:rsid w:val="001A0156"/>
    <w:rsid w:val="001A67DC"/>
    <w:rsid w:val="001B505D"/>
    <w:rsid w:val="001C2D47"/>
    <w:rsid w:val="001C2DFA"/>
    <w:rsid w:val="001C414A"/>
    <w:rsid w:val="001C587D"/>
    <w:rsid w:val="001D0042"/>
    <w:rsid w:val="001E2737"/>
    <w:rsid w:val="001E49A3"/>
    <w:rsid w:val="001E5D8F"/>
    <w:rsid w:val="001E612E"/>
    <w:rsid w:val="001E72E1"/>
    <w:rsid w:val="001F27F2"/>
    <w:rsid w:val="001F4801"/>
    <w:rsid w:val="001F4EE2"/>
    <w:rsid w:val="001F7211"/>
    <w:rsid w:val="00204064"/>
    <w:rsid w:val="002062F6"/>
    <w:rsid w:val="0021033D"/>
    <w:rsid w:val="0021308C"/>
    <w:rsid w:val="00217C8D"/>
    <w:rsid w:val="00221DFD"/>
    <w:rsid w:val="0022590E"/>
    <w:rsid w:val="00225A10"/>
    <w:rsid w:val="00232A49"/>
    <w:rsid w:val="00233FBD"/>
    <w:rsid w:val="002343D5"/>
    <w:rsid w:val="00241CA0"/>
    <w:rsid w:val="002472B7"/>
    <w:rsid w:val="00251B1A"/>
    <w:rsid w:val="00251C2A"/>
    <w:rsid w:val="002550B4"/>
    <w:rsid w:val="00256903"/>
    <w:rsid w:val="002603C8"/>
    <w:rsid w:val="00262E5E"/>
    <w:rsid w:val="0026516B"/>
    <w:rsid w:val="00265DF9"/>
    <w:rsid w:val="00266837"/>
    <w:rsid w:val="002708D2"/>
    <w:rsid w:val="00277F6A"/>
    <w:rsid w:val="00281710"/>
    <w:rsid w:val="0028241E"/>
    <w:rsid w:val="0028489D"/>
    <w:rsid w:val="0028496F"/>
    <w:rsid w:val="002869EE"/>
    <w:rsid w:val="00286DE0"/>
    <w:rsid w:val="0029062C"/>
    <w:rsid w:val="00290E5B"/>
    <w:rsid w:val="00291229"/>
    <w:rsid w:val="00291F71"/>
    <w:rsid w:val="002925A2"/>
    <w:rsid w:val="002A46F5"/>
    <w:rsid w:val="002A5BCE"/>
    <w:rsid w:val="002A5DE9"/>
    <w:rsid w:val="002B1B75"/>
    <w:rsid w:val="002B58E5"/>
    <w:rsid w:val="002B5F42"/>
    <w:rsid w:val="002B7D93"/>
    <w:rsid w:val="002C030E"/>
    <w:rsid w:val="002D0D71"/>
    <w:rsid w:val="002D37E1"/>
    <w:rsid w:val="002D4CD8"/>
    <w:rsid w:val="002D5CBE"/>
    <w:rsid w:val="002D659D"/>
    <w:rsid w:val="002E3A49"/>
    <w:rsid w:val="002E4D8C"/>
    <w:rsid w:val="002E5F72"/>
    <w:rsid w:val="002E7D67"/>
    <w:rsid w:val="002F158E"/>
    <w:rsid w:val="002F73E6"/>
    <w:rsid w:val="00303A11"/>
    <w:rsid w:val="00306BD3"/>
    <w:rsid w:val="003161F5"/>
    <w:rsid w:val="0032038F"/>
    <w:rsid w:val="00323474"/>
    <w:rsid w:val="00326BAC"/>
    <w:rsid w:val="00326E2D"/>
    <w:rsid w:val="00333030"/>
    <w:rsid w:val="003441C8"/>
    <w:rsid w:val="0034538F"/>
    <w:rsid w:val="00345944"/>
    <w:rsid w:val="00345E0D"/>
    <w:rsid w:val="0036429F"/>
    <w:rsid w:val="00367672"/>
    <w:rsid w:val="00367A52"/>
    <w:rsid w:val="00370F0F"/>
    <w:rsid w:val="0037527F"/>
    <w:rsid w:val="003811CB"/>
    <w:rsid w:val="00381509"/>
    <w:rsid w:val="003824D9"/>
    <w:rsid w:val="00382D7C"/>
    <w:rsid w:val="003851DA"/>
    <w:rsid w:val="003874C6"/>
    <w:rsid w:val="0039092F"/>
    <w:rsid w:val="00390F45"/>
    <w:rsid w:val="003B1A55"/>
    <w:rsid w:val="003B66FF"/>
    <w:rsid w:val="003C08A1"/>
    <w:rsid w:val="003C400D"/>
    <w:rsid w:val="003C46B8"/>
    <w:rsid w:val="003D45E9"/>
    <w:rsid w:val="003D7C40"/>
    <w:rsid w:val="003E193A"/>
    <w:rsid w:val="003E1ABD"/>
    <w:rsid w:val="003E3345"/>
    <w:rsid w:val="003E6F70"/>
    <w:rsid w:val="003E7778"/>
    <w:rsid w:val="003F01BA"/>
    <w:rsid w:val="003F13FE"/>
    <w:rsid w:val="003F1A9A"/>
    <w:rsid w:val="003F394E"/>
    <w:rsid w:val="003F536E"/>
    <w:rsid w:val="003F603B"/>
    <w:rsid w:val="003F7CB0"/>
    <w:rsid w:val="0040382D"/>
    <w:rsid w:val="0040466F"/>
    <w:rsid w:val="00407D87"/>
    <w:rsid w:val="00410CE0"/>
    <w:rsid w:val="00411D49"/>
    <w:rsid w:val="00412132"/>
    <w:rsid w:val="00413D10"/>
    <w:rsid w:val="00413F66"/>
    <w:rsid w:val="004206DF"/>
    <w:rsid w:val="0042644D"/>
    <w:rsid w:val="00427557"/>
    <w:rsid w:val="004339BC"/>
    <w:rsid w:val="00435BC1"/>
    <w:rsid w:val="004361B5"/>
    <w:rsid w:val="0044163E"/>
    <w:rsid w:val="0044287E"/>
    <w:rsid w:val="00445F32"/>
    <w:rsid w:val="004572B7"/>
    <w:rsid w:val="004574B6"/>
    <w:rsid w:val="00461D56"/>
    <w:rsid w:val="00462EC6"/>
    <w:rsid w:val="0046646D"/>
    <w:rsid w:val="004705D2"/>
    <w:rsid w:val="004755EF"/>
    <w:rsid w:val="00475A52"/>
    <w:rsid w:val="00477B14"/>
    <w:rsid w:val="00480DFF"/>
    <w:rsid w:val="00483394"/>
    <w:rsid w:val="00483619"/>
    <w:rsid w:val="00483D7F"/>
    <w:rsid w:val="00484DE3"/>
    <w:rsid w:val="00484E21"/>
    <w:rsid w:val="00485546"/>
    <w:rsid w:val="004858DC"/>
    <w:rsid w:val="00485A30"/>
    <w:rsid w:val="00485A32"/>
    <w:rsid w:val="00485BC5"/>
    <w:rsid w:val="00487879"/>
    <w:rsid w:val="0049152E"/>
    <w:rsid w:val="00497607"/>
    <w:rsid w:val="004A24B0"/>
    <w:rsid w:val="004A317A"/>
    <w:rsid w:val="004A6C06"/>
    <w:rsid w:val="004B17BB"/>
    <w:rsid w:val="004B39B8"/>
    <w:rsid w:val="004B44DF"/>
    <w:rsid w:val="004B57B6"/>
    <w:rsid w:val="004C0BD4"/>
    <w:rsid w:val="004C2683"/>
    <w:rsid w:val="004C2A7D"/>
    <w:rsid w:val="004C5913"/>
    <w:rsid w:val="004D07DE"/>
    <w:rsid w:val="004D0BE7"/>
    <w:rsid w:val="004D1489"/>
    <w:rsid w:val="004D5526"/>
    <w:rsid w:val="004E1C53"/>
    <w:rsid w:val="004E438B"/>
    <w:rsid w:val="004E768E"/>
    <w:rsid w:val="004E7BC0"/>
    <w:rsid w:val="004F05AC"/>
    <w:rsid w:val="004F4449"/>
    <w:rsid w:val="004F51A0"/>
    <w:rsid w:val="004F745D"/>
    <w:rsid w:val="0050052F"/>
    <w:rsid w:val="00500D72"/>
    <w:rsid w:val="00501B53"/>
    <w:rsid w:val="0051039E"/>
    <w:rsid w:val="00512718"/>
    <w:rsid w:val="00512D9E"/>
    <w:rsid w:val="0052298E"/>
    <w:rsid w:val="00526B79"/>
    <w:rsid w:val="00532986"/>
    <w:rsid w:val="0053352C"/>
    <w:rsid w:val="00534AE6"/>
    <w:rsid w:val="0054263E"/>
    <w:rsid w:val="00544A1E"/>
    <w:rsid w:val="005454F9"/>
    <w:rsid w:val="00546058"/>
    <w:rsid w:val="00552387"/>
    <w:rsid w:val="00553283"/>
    <w:rsid w:val="00553F12"/>
    <w:rsid w:val="005543A5"/>
    <w:rsid w:val="005560E1"/>
    <w:rsid w:val="0056083B"/>
    <w:rsid w:val="0056100F"/>
    <w:rsid w:val="00564DEC"/>
    <w:rsid w:val="00566156"/>
    <w:rsid w:val="005737E3"/>
    <w:rsid w:val="00573A7E"/>
    <w:rsid w:val="00581277"/>
    <w:rsid w:val="00584C45"/>
    <w:rsid w:val="005879DB"/>
    <w:rsid w:val="00587AC7"/>
    <w:rsid w:val="005915CD"/>
    <w:rsid w:val="00593558"/>
    <w:rsid w:val="0059537B"/>
    <w:rsid w:val="00596F78"/>
    <w:rsid w:val="005A0896"/>
    <w:rsid w:val="005A60F8"/>
    <w:rsid w:val="005A6B08"/>
    <w:rsid w:val="005B6757"/>
    <w:rsid w:val="005C01E1"/>
    <w:rsid w:val="005C5FE4"/>
    <w:rsid w:val="005C68DE"/>
    <w:rsid w:val="005D054A"/>
    <w:rsid w:val="005D35BB"/>
    <w:rsid w:val="005E0B0B"/>
    <w:rsid w:val="005E1CC4"/>
    <w:rsid w:val="005E5435"/>
    <w:rsid w:val="005F1522"/>
    <w:rsid w:val="005F183E"/>
    <w:rsid w:val="005F3000"/>
    <w:rsid w:val="005F3E13"/>
    <w:rsid w:val="00601AEE"/>
    <w:rsid w:val="00603221"/>
    <w:rsid w:val="0060494B"/>
    <w:rsid w:val="00604E59"/>
    <w:rsid w:val="006101D0"/>
    <w:rsid w:val="00612568"/>
    <w:rsid w:val="00613B5D"/>
    <w:rsid w:val="0061552E"/>
    <w:rsid w:val="006223E7"/>
    <w:rsid w:val="006249AE"/>
    <w:rsid w:val="00626C70"/>
    <w:rsid w:val="00630CFB"/>
    <w:rsid w:val="00631FB2"/>
    <w:rsid w:val="00635174"/>
    <w:rsid w:val="00635A0F"/>
    <w:rsid w:val="006410F7"/>
    <w:rsid w:val="006430B0"/>
    <w:rsid w:val="006448DB"/>
    <w:rsid w:val="00644E3F"/>
    <w:rsid w:val="006502AA"/>
    <w:rsid w:val="006504C8"/>
    <w:rsid w:val="00656988"/>
    <w:rsid w:val="00662B79"/>
    <w:rsid w:val="00663728"/>
    <w:rsid w:val="00666A8E"/>
    <w:rsid w:val="00670505"/>
    <w:rsid w:val="0067209F"/>
    <w:rsid w:val="00672748"/>
    <w:rsid w:val="006727AF"/>
    <w:rsid w:val="00675AA7"/>
    <w:rsid w:val="006865E8"/>
    <w:rsid w:val="00691202"/>
    <w:rsid w:val="006925D0"/>
    <w:rsid w:val="0069339C"/>
    <w:rsid w:val="00693D1B"/>
    <w:rsid w:val="006A2401"/>
    <w:rsid w:val="006A3DB1"/>
    <w:rsid w:val="006A3E87"/>
    <w:rsid w:val="006B0A0B"/>
    <w:rsid w:val="006B10C4"/>
    <w:rsid w:val="006B227F"/>
    <w:rsid w:val="006B44DC"/>
    <w:rsid w:val="006B4C76"/>
    <w:rsid w:val="006B68C5"/>
    <w:rsid w:val="006B7088"/>
    <w:rsid w:val="006C4442"/>
    <w:rsid w:val="006C73CE"/>
    <w:rsid w:val="006D089F"/>
    <w:rsid w:val="006D45FF"/>
    <w:rsid w:val="006E0C3F"/>
    <w:rsid w:val="006E0CAA"/>
    <w:rsid w:val="006E3086"/>
    <w:rsid w:val="006E6D9B"/>
    <w:rsid w:val="006F123C"/>
    <w:rsid w:val="006F338B"/>
    <w:rsid w:val="006F65EF"/>
    <w:rsid w:val="00701D6E"/>
    <w:rsid w:val="00707CF3"/>
    <w:rsid w:val="00711005"/>
    <w:rsid w:val="00712BE2"/>
    <w:rsid w:val="00713BFC"/>
    <w:rsid w:val="007253C9"/>
    <w:rsid w:val="007318F4"/>
    <w:rsid w:val="007348F1"/>
    <w:rsid w:val="0074167D"/>
    <w:rsid w:val="00743C8F"/>
    <w:rsid w:val="00744794"/>
    <w:rsid w:val="00746F7F"/>
    <w:rsid w:val="0074701F"/>
    <w:rsid w:val="0075234D"/>
    <w:rsid w:val="007604D1"/>
    <w:rsid w:val="00764617"/>
    <w:rsid w:val="00766AC4"/>
    <w:rsid w:val="0076704E"/>
    <w:rsid w:val="00767C22"/>
    <w:rsid w:val="00772552"/>
    <w:rsid w:val="00772ED2"/>
    <w:rsid w:val="007805B4"/>
    <w:rsid w:val="0078408C"/>
    <w:rsid w:val="0078545E"/>
    <w:rsid w:val="00790DC7"/>
    <w:rsid w:val="007A0C47"/>
    <w:rsid w:val="007A1472"/>
    <w:rsid w:val="007A2473"/>
    <w:rsid w:val="007A2C81"/>
    <w:rsid w:val="007A6220"/>
    <w:rsid w:val="007B0BF6"/>
    <w:rsid w:val="007B4685"/>
    <w:rsid w:val="007B66B0"/>
    <w:rsid w:val="007B732C"/>
    <w:rsid w:val="007C03C9"/>
    <w:rsid w:val="007C2075"/>
    <w:rsid w:val="007C6FFB"/>
    <w:rsid w:val="007C77DE"/>
    <w:rsid w:val="007D18C7"/>
    <w:rsid w:val="007D241B"/>
    <w:rsid w:val="007D369D"/>
    <w:rsid w:val="007D7AED"/>
    <w:rsid w:val="007E27EB"/>
    <w:rsid w:val="007E4290"/>
    <w:rsid w:val="007F271D"/>
    <w:rsid w:val="007F29D3"/>
    <w:rsid w:val="007F3065"/>
    <w:rsid w:val="007F413D"/>
    <w:rsid w:val="007F5538"/>
    <w:rsid w:val="007F7191"/>
    <w:rsid w:val="007F7F3D"/>
    <w:rsid w:val="00814EFF"/>
    <w:rsid w:val="0081604A"/>
    <w:rsid w:val="00820CE4"/>
    <w:rsid w:val="0082228B"/>
    <w:rsid w:val="00823CB7"/>
    <w:rsid w:val="00825781"/>
    <w:rsid w:val="00825BA9"/>
    <w:rsid w:val="00830AE6"/>
    <w:rsid w:val="008332CC"/>
    <w:rsid w:val="00841ECB"/>
    <w:rsid w:val="00844BFF"/>
    <w:rsid w:val="00847457"/>
    <w:rsid w:val="0085057B"/>
    <w:rsid w:val="00854F97"/>
    <w:rsid w:val="00860E60"/>
    <w:rsid w:val="00861FD1"/>
    <w:rsid w:val="008628B5"/>
    <w:rsid w:val="00871852"/>
    <w:rsid w:val="008764CF"/>
    <w:rsid w:val="00884CB2"/>
    <w:rsid w:val="00887A1C"/>
    <w:rsid w:val="00890B3E"/>
    <w:rsid w:val="00895C20"/>
    <w:rsid w:val="00896082"/>
    <w:rsid w:val="008A4723"/>
    <w:rsid w:val="008B06F1"/>
    <w:rsid w:val="008B2981"/>
    <w:rsid w:val="008B2A19"/>
    <w:rsid w:val="008C0FCC"/>
    <w:rsid w:val="008C237F"/>
    <w:rsid w:val="008C646C"/>
    <w:rsid w:val="008D0F07"/>
    <w:rsid w:val="008D59EE"/>
    <w:rsid w:val="008E168B"/>
    <w:rsid w:val="008E6818"/>
    <w:rsid w:val="008E6844"/>
    <w:rsid w:val="008F0D00"/>
    <w:rsid w:val="008F32DE"/>
    <w:rsid w:val="00901CBD"/>
    <w:rsid w:val="0090509A"/>
    <w:rsid w:val="00905E4F"/>
    <w:rsid w:val="009078E3"/>
    <w:rsid w:val="009133A4"/>
    <w:rsid w:val="00914F7B"/>
    <w:rsid w:val="00924015"/>
    <w:rsid w:val="00924E15"/>
    <w:rsid w:val="00927BA8"/>
    <w:rsid w:val="00935CDC"/>
    <w:rsid w:val="009363AF"/>
    <w:rsid w:val="00946A4B"/>
    <w:rsid w:val="009472CA"/>
    <w:rsid w:val="009617E2"/>
    <w:rsid w:val="00961B0D"/>
    <w:rsid w:val="00962194"/>
    <w:rsid w:val="00963DE3"/>
    <w:rsid w:val="00966C41"/>
    <w:rsid w:val="00974242"/>
    <w:rsid w:val="00975906"/>
    <w:rsid w:val="00982812"/>
    <w:rsid w:val="00991D35"/>
    <w:rsid w:val="00992270"/>
    <w:rsid w:val="00992C06"/>
    <w:rsid w:val="00995814"/>
    <w:rsid w:val="009A1E0D"/>
    <w:rsid w:val="009A2E6F"/>
    <w:rsid w:val="009A4680"/>
    <w:rsid w:val="009A6F5B"/>
    <w:rsid w:val="009B35EE"/>
    <w:rsid w:val="009B472F"/>
    <w:rsid w:val="009B673B"/>
    <w:rsid w:val="009B6B08"/>
    <w:rsid w:val="009C234C"/>
    <w:rsid w:val="009C3D38"/>
    <w:rsid w:val="009C5AE1"/>
    <w:rsid w:val="009C633C"/>
    <w:rsid w:val="009C77DD"/>
    <w:rsid w:val="009D0183"/>
    <w:rsid w:val="009D26D8"/>
    <w:rsid w:val="009D4B7C"/>
    <w:rsid w:val="009D5427"/>
    <w:rsid w:val="009D543D"/>
    <w:rsid w:val="009E4168"/>
    <w:rsid w:val="009E4551"/>
    <w:rsid w:val="00A0068D"/>
    <w:rsid w:val="00A01C90"/>
    <w:rsid w:val="00A04875"/>
    <w:rsid w:val="00A0493E"/>
    <w:rsid w:val="00A04CDA"/>
    <w:rsid w:val="00A1077C"/>
    <w:rsid w:val="00A142F0"/>
    <w:rsid w:val="00A20EDF"/>
    <w:rsid w:val="00A3171A"/>
    <w:rsid w:val="00A32961"/>
    <w:rsid w:val="00A36550"/>
    <w:rsid w:val="00A3662E"/>
    <w:rsid w:val="00A41081"/>
    <w:rsid w:val="00A42FFA"/>
    <w:rsid w:val="00A47F70"/>
    <w:rsid w:val="00A549E4"/>
    <w:rsid w:val="00A618A0"/>
    <w:rsid w:val="00A61DDB"/>
    <w:rsid w:val="00A61E76"/>
    <w:rsid w:val="00A651A9"/>
    <w:rsid w:val="00A65771"/>
    <w:rsid w:val="00A65E58"/>
    <w:rsid w:val="00A664CD"/>
    <w:rsid w:val="00A93462"/>
    <w:rsid w:val="00A96305"/>
    <w:rsid w:val="00AA0C18"/>
    <w:rsid w:val="00AA174D"/>
    <w:rsid w:val="00AA4DAA"/>
    <w:rsid w:val="00AB5B3E"/>
    <w:rsid w:val="00AB6B1E"/>
    <w:rsid w:val="00AC435E"/>
    <w:rsid w:val="00AC4CE0"/>
    <w:rsid w:val="00AC782C"/>
    <w:rsid w:val="00AD1622"/>
    <w:rsid w:val="00AD17A7"/>
    <w:rsid w:val="00AD1C5D"/>
    <w:rsid w:val="00AD2C0F"/>
    <w:rsid w:val="00AD2CF2"/>
    <w:rsid w:val="00AD4DAA"/>
    <w:rsid w:val="00AD6530"/>
    <w:rsid w:val="00AD6AC3"/>
    <w:rsid w:val="00AE00E5"/>
    <w:rsid w:val="00AE0B2F"/>
    <w:rsid w:val="00AE2CE5"/>
    <w:rsid w:val="00AF1554"/>
    <w:rsid w:val="00AF16B9"/>
    <w:rsid w:val="00AF279E"/>
    <w:rsid w:val="00AF361B"/>
    <w:rsid w:val="00AF3627"/>
    <w:rsid w:val="00AF381A"/>
    <w:rsid w:val="00AF51AE"/>
    <w:rsid w:val="00AF5985"/>
    <w:rsid w:val="00AF6F22"/>
    <w:rsid w:val="00B06509"/>
    <w:rsid w:val="00B0650F"/>
    <w:rsid w:val="00B11BED"/>
    <w:rsid w:val="00B1361A"/>
    <w:rsid w:val="00B136A5"/>
    <w:rsid w:val="00B150D8"/>
    <w:rsid w:val="00B17780"/>
    <w:rsid w:val="00B20AA2"/>
    <w:rsid w:val="00B210C3"/>
    <w:rsid w:val="00B22616"/>
    <w:rsid w:val="00B247F1"/>
    <w:rsid w:val="00B26F92"/>
    <w:rsid w:val="00B37570"/>
    <w:rsid w:val="00B4487F"/>
    <w:rsid w:val="00B4531B"/>
    <w:rsid w:val="00B456A2"/>
    <w:rsid w:val="00B465DC"/>
    <w:rsid w:val="00B468B0"/>
    <w:rsid w:val="00B5139B"/>
    <w:rsid w:val="00B52399"/>
    <w:rsid w:val="00B53B10"/>
    <w:rsid w:val="00B55CF5"/>
    <w:rsid w:val="00B56329"/>
    <w:rsid w:val="00B567CB"/>
    <w:rsid w:val="00B606EB"/>
    <w:rsid w:val="00B60A13"/>
    <w:rsid w:val="00B62102"/>
    <w:rsid w:val="00B635D9"/>
    <w:rsid w:val="00B64C79"/>
    <w:rsid w:val="00B6595B"/>
    <w:rsid w:val="00B73862"/>
    <w:rsid w:val="00B7595C"/>
    <w:rsid w:val="00B80A10"/>
    <w:rsid w:val="00B81A02"/>
    <w:rsid w:val="00B836D8"/>
    <w:rsid w:val="00B86692"/>
    <w:rsid w:val="00B87D30"/>
    <w:rsid w:val="00B927EB"/>
    <w:rsid w:val="00B95249"/>
    <w:rsid w:val="00B96ED5"/>
    <w:rsid w:val="00BA044D"/>
    <w:rsid w:val="00BA28DD"/>
    <w:rsid w:val="00BA3671"/>
    <w:rsid w:val="00BA45BE"/>
    <w:rsid w:val="00BA6DF5"/>
    <w:rsid w:val="00BB3C0A"/>
    <w:rsid w:val="00BB449B"/>
    <w:rsid w:val="00BB54F5"/>
    <w:rsid w:val="00BC556F"/>
    <w:rsid w:val="00BC7AF0"/>
    <w:rsid w:val="00BD2EA7"/>
    <w:rsid w:val="00BD3150"/>
    <w:rsid w:val="00BE0A91"/>
    <w:rsid w:val="00BE31B6"/>
    <w:rsid w:val="00BE5AF5"/>
    <w:rsid w:val="00BE5F70"/>
    <w:rsid w:val="00BE752A"/>
    <w:rsid w:val="00BF1CF7"/>
    <w:rsid w:val="00BF2BB3"/>
    <w:rsid w:val="00BF2DE4"/>
    <w:rsid w:val="00BF4C10"/>
    <w:rsid w:val="00BF6D9F"/>
    <w:rsid w:val="00C006CE"/>
    <w:rsid w:val="00C00CF8"/>
    <w:rsid w:val="00C01AA9"/>
    <w:rsid w:val="00C035E3"/>
    <w:rsid w:val="00C0502B"/>
    <w:rsid w:val="00C115AA"/>
    <w:rsid w:val="00C139C6"/>
    <w:rsid w:val="00C2151D"/>
    <w:rsid w:val="00C218DB"/>
    <w:rsid w:val="00C23B7A"/>
    <w:rsid w:val="00C245FF"/>
    <w:rsid w:val="00C26B42"/>
    <w:rsid w:val="00C32271"/>
    <w:rsid w:val="00C33022"/>
    <w:rsid w:val="00C358C2"/>
    <w:rsid w:val="00C375CC"/>
    <w:rsid w:val="00C40729"/>
    <w:rsid w:val="00C408DA"/>
    <w:rsid w:val="00C41428"/>
    <w:rsid w:val="00C42DBF"/>
    <w:rsid w:val="00C42F33"/>
    <w:rsid w:val="00C434EC"/>
    <w:rsid w:val="00C43D51"/>
    <w:rsid w:val="00C45BC7"/>
    <w:rsid w:val="00C50C8C"/>
    <w:rsid w:val="00C56B4D"/>
    <w:rsid w:val="00C57351"/>
    <w:rsid w:val="00C60927"/>
    <w:rsid w:val="00C60E11"/>
    <w:rsid w:val="00C62D70"/>
    <w:rsid w:val="00C6710D"/>
    <w:rsid w:val="00C71828"/>
    <w:rsid w:val="00C74439"/>
    <w:rsid w:val="00C76338"/>
    <w:rsid w:val="00C8142A"/>
    <w:rsid w:val="00C825E0"/>
    <w:rsid w:val="00C87446"/>
    <w:rsid w:val="00C92C62"/>
    <w:rsid w:val="00C9430E"/>
    <w:rsid w:val="00C95EE2"/>
    <w:rsid w:val="00CA1CD6"/>
    <w:rsid w:val="00CA6E83"/>
    <w:rsid w:val="00CB15CA"/>
    <w:rsid w:val="00CC040C"/>
    <w:rsid w:val="00CC5A44"/>
    <w:rsid w:val="00CC5E8E"/>
    <w:rsid w:val="00CC6F11"/>
    <w:rsid w:val="00CC7073"/>
    <w:rsid w:val="00CD041C"/>
    <w:rsid w:val="00CD04CE"/>
    <w:rsid w:val="00CD2D5A"/>
    <w:rsid w:val="00CD5C16"/>
    <w:rsid w:val="00CE3464"/>
    <w:rsid w:val="00CE3BC2"/>
    <w:rsid w:val="00CE601F"/>
    <w:rsid w:val="00CE7BF4"/>
    <w:rsid w:val="00CF2734"/>
    <w:rsid w:val="00CF2968"/>
    <w:rsid w:val="00CF72FC"/>
    <w:rsid w:val="00D01E49"/>
    <w:rsid w:val="00D02BA3"/>
    <w:rsid w:val="00D2455B"/>
    <w:rsid w:val="00D2723E"/>
    <w:rsid w:val="00D316BB"/>
    <w:rsid w:val="00D353EC"/>
    <w:rsid w:val="00D36542"/>
    <w:rsid w:val="00D41931"/>
    <w:rsid w:val="00D44DC8"/>
    <w:rsid w:val="00D45BCF"/>
    <w:rsid w:val="00D46AFB"/>
    <w:rsid w:val="00D51D68"/>
    <w:rsid w:val="00D53117"/>
    <w:rsid w:val="00D60314"/>
    <w:rsid w:val="00D60FA1"/>
    <w:rsid w:val="00D62837"/>
    <w:rsid w:val="00D63074"/>
    <w:rsid w:val="00D65B79"/>
    <w:rsid w:val="00D67343"/>
    <w:rsid w:val="00D71E90"/>
    <w:rsid w:val="00D759DB"/>
    <w:rsid w:val="00D777A3"/>
    <w:rsid w:val="00D90099"/>
    <w:rsid w:val="00D9124D"/>
    <w:rsid w:val="00D920D1"/>
    <w:rsid w:val="00DA0A84"/>
    <w:rsid w:val="00DA30ED"/>
    <w:rsid w:val="00DA4C06"/>
    <w:rsid w:val="00DA63F9"/>
    <w:rsid w:val="00DB06A6"/>
    <w:rsid w:val="00DB48A0"/>
    <w:rsid w:val="00DB521C"/>
    <w:rsid w:val="00DB5F19"/>
    <w:rsid w:val="00DC05B3"/>
    <w:rsid w:val="00DC1B59"/>
    <w:rsid w:val="00DC230D"/>
    <w:rsid w:val="00DC6A63"/>
    <w:rsid w:val="00DD2E11"/>
    <w:rsid w:val="00DD6F31"/>
    <w:rsid w:val="00DD76B8"/>
    <w:rsid w:val="00DE042A"/>
    <w:rsid w:val="00DE7266"/>
    <w:rsid w:val="00DF3F5D"/>
    <w:rsid w:val="00DF5A2A"/>
    <w:rsid w:val="00DF5F35"/>
    <w:rsid w:val="00E02235"/>
    <w:rsid w:val="00E02564"/>
    <w:rsid w:val="00E12792"/>
    <w:rsid w:val="00E13412"/>
    <w:rsid w:val="00E151ED"/>
    <w:rsid w:val="00E1650E"/>
    <w:rsid w:val="00E2114E"/>
    <w:rsid w:val="00E21339"/>
    <w:rsid w:val="00E21549"/>
    <w:rsid w:val="00E22666"/>
    <w:rsid w:val="00E33985"/>
    <w:rsid w:val="00E35060"/>
    <w:rsid w:val="00E3534B"/>
    <w:rsid w:val="00E40720"/>
    <w:rsid w:val="00E41451"/>
    <w:rsid w:val="00E43FC9"/>
    <w:rsid w:val="00E46F56"/>
    <w:rsid w:val="00E50DD9"/>
    <w:rsid w:val="00E51FA8"/>
    <w:rsid w:val="00E55294"/>
    <w:rsid w:val="00E57476"/>
    <w:rsid w:val="00E606D6"/>
    <w:rsid w:val="00E62303"/>
    <w:rsid w:val="00E65281"/>
    <w:rsid w:val="00E72D2B"/>
    <w:rsid w:val="00E7630A"/>
    <w:rsid w:val="00E826D6"/>
    <w:rsid w:val="00E86179"/>
    <w:rsid w:val="00E947F1"/>
    <w:rsid w:val="00E9633D"/>
    <w:rsid w:val="00E97349"/>
    <w:rsid w:val="00EA0062"/>
    <w:rsid w:val="00EB1850"/>
    <w:rsid w:val="00EB1ADD"/>
    <w:rsid w:val="00EB2195"/>
    <w:rsid w:val="00EB5213"/>
    <w:rsid w:val="00EB576F"/>
    <w:rsid w:val="00EB5F0A"/>
    <w:rsid w:val="00EB616F"/>
    <w:rsid w:val="00EB6667"/>
    <w:rsid w:val="00EB6C9B"/>
    <w:rsid w:val="00EC29AF"/>
    <w:rsid w:val="00EC43D3"/>
    <w:rsid w:val="00EC7A8E"/>
    <w:rsid w:val="00ED48D6"/>
    <w:rsid w:val="00ED5D45"/>
    <w:rsid w:val="00ED7B70"/>
    <w:rsid w:val="00EE3CC3"/>
    <w:rsid w:val="00EE5321"/>
    <w:rsid w:val="00EE5556"/>
    <w:rsid w:val="00EE5869"/>
    <w:rsid w:val="00EF2B50"/>
    <w:rsid w:val="00EF30F0"/>
    <w:rsid w:val="00EF4952"/>
    <w:rsid w:val="00EF54A3"/>
    <w:rsid w:val="00F02FEC"/>
    <w:rsid w:val="00F05D18"/>
    <w:rsid w:val="00F05EA4"/>
    <w:rsid w:val="00F07800"/>
    <w:rsid w:val="00F17C0E"/>
    <w:rsid w:val="00F24B82"/>
    <w:rsid w:val="00F31CC2"/>
    <w:rsid w:val="00F352F8"/>
    <w:rsid w:val="00F36DBC"/>
    <w:rsid w:val="00F37149"/>
    <w:rsid w:val="00F37162"/>
    <w:rsid w:val="00F37B3D"/>
    <w:rsid w:val="00F44118"/>
    <w:rsid w:val="00F503EC"/>
    <w:rsid w:val="00F5483C"/>
    <w:rsid w:val="00F54B63"/>
    <w:rsid w:val="00F5568E"/>
    <w:rsid w:val="00F606CF"/>
    <w:rsid w:val="00F65F9B"/>
    <w:rsid w:val="00F65FE6"/>
    <w:rsid w:val="00F6652E"/>
    <w:rsid w:val="00F70F7A"/>
    <w:rsid w:val="00F74B58"/>
    <w:rsid w:val="00F75ECA"/>
    <w:rsid w:val="00F81B54"/>
    <w:rsid w:val="00F82252"/>
    <w:rsid w:val="00F83516"/>
    <w:rsid w:val="00F90A83"/>
    <w:rsid w:val="00F968D4"/>
    <w:rsid w:val="00F97C42"/>
    <w:rsid w:val="00FB0097"/>
    <w:rsid w:val="00FB6157"/>
    <w:rsid w:val="00FC1118"/>
    <w:rsid w:val="00FC1740"/>
    <w:rsid w:val="00FC1C3C"/>
    <w:rsid w:val="00FC323A"/>
    <w:rsid w:val="00FC464F"/>
    <w:rsid w:val="00FC4AE1"/>
    <w:rsid w:val="00FC5C1B"/>
    <w:rsid w:val="00FC7A4D"/>
    <w:rsid w:val="00FD497B"/>
    <w:rsid w:val="00FD4AC4"/>
    <w:rsid w:val="00FD5CB3"/>
    <w:rsid w:val="00FD635F"/>
    <w:rsid w:val="00FD7214"/>
    <w:rsid w:val="00FE1454"/>
    <w:rsid w:val="00FF1870"/>
    <w:rsid w:val="00FF4CAE"/>
    <w:rsid w:val="00FF6B07"/>
    <w:rsid w:val="00FF70CE"/>
    <w:rsid w:val="010C14B1"/>
    <w:rsid w:val="0194674A"/>
    <w:rsid w:val="03427593"/>
    <w:rsid w:val="03985E90"/>
    <w:rsid w:val="03D063BE"/>
    <w:rsid w:val="03E428A3"/>
    <w:rsid w:val="04294B38"/>
    <w:rsid w:val="048E4E63"/>
    <w:rsid w:val="04992B5B"/>
    <w:rsid w:val="05D61923"/>
    <w:rsid w:val="05D6309A"/>
    <w:rsid w:val="064B256D"/>
    <w:rsid w:val="06666D0C"/>
    <w:rsid w:val="066F3783"/>
    <w:rsid w:val="06B054D2"/>
    <w:rsid w:val="06DB3E42"/>
    <w:rsid w:val="06DC2BB0"/>
    <w:rsid w:val="07362D8B"/>
    <w:rsid w:val="074051AF"/>
    <w:rsid w:val="07BA1E10"/>
    <w:rsid w:val="082823BC"/>
    <w:rsid w:val="08C9333C"/>
    <w:rsid w:val="0A08326D"/>
    <w:rsid w:val="0A8573F7"/>
    <w:rsid w:val="0BB814B3"/>
    <w:rsid w:val="0BD87766"/>
    <w:rsid w:val="0C204A06"/>
    <w:rsid w:val="0D215336"/>
    <w:rsid w:val="0DC568E1"/>
    <w:rsid w:val="0E8813E4"/>
    <w:rsid w:val="0ED71999"/>
    <w:rsid w:val="0F1F7DFF"/>
    <w:rsid w:val="0FEB1AE4"/>
    <w:rsid w:val="106110E0"/>
    <w:rsid w:val="111E4A8C"/>
    <w:rsid w:val="119103F7"/>
    <w:rsid w:val="121113AC"/>
    <w:rsid w:val="12486EC1"/>
    <w:rsid w:val="129A3917"/>
    <w:rsid w:val="12D96D2A"/>
    <w:rsid w:val="14524331"/>
    <w:rsid w:val="14783E14"/>
    <w:rsid w:val="14C2469F"/>
    <w:rsid w:val="15052B04"/>
    <w:rsid w:val="16866890"/>
    <w:rsid w:val="170E497B"/>
    <w:rsid w:val="185E16E5"/>
    <w:rsid w:val="189D7CA2"/>
    <w:rsid w:val="19CA0803"/>
    <w:rsid w:val="19F43AE3"/>
    <w:rsid w:val="1A77205B"/>
    <w:rsid w:val="1ACB3B53"/>
    <w:rsid w:val="1B1103CE"/>
    <w:rsid w:val="1B3A2941"/>
    <w:rsid w:val="1C592324"/>
    <w:rsid w:val="1E1D2112"/>
    <w:rsid w:val="1E3E5D85"/>
    <w:rsid w:val="1EA10B6D"/>
    <w:rsid w:val="207163EE"/>
    <w:rsid w:val="20B512E7"/>
    <w:rsid w:val="21B831B5"/>
    <w:rsid w:val="22641482"/>
    <w:rsid w:val="22B902EC"/>
    <w:rsid w:val="22D367F1"/>
    <w:rsid w:val="23097A3C"/>
    <w:rsid w:val="230E163F"/>
    <w:rsid w:val="230E3CF9"/>
    <w:rsid w:val="231C41C4"/>
    <w:rsid w:val="23ED3938"/>
    <w:rsid w:val="24ED6EEE"/>
    <w:rsid w:val="253B1F59"/>
    <w:rsid w:val="255F78E7"/>
    <w:rsid w:val="25A156C1"/>
    <w:rsid w:val="25F06A58"/>
    <w:rsid w:val="266441A5"/>
    <w:rsid w:val="268564DD"/>
    <w:rsid w:val="274833BD"/>
    <w:rsid w:val="27531A88"/>
    <w:rsid w:val="27AA298F"/>
    <w:rsid w:val="2844420E"/>
    <w:rsid w:val="28AE3A94"/>
    <w:rsid w:val="29FA635F"/>
    <w:rsid w:val="2B72479C"/>
    <w:rsid w:val="2BE237DB"/>
    <w:rsid w:val="2CB20948"/>
    <w:rsid w:val="2D120924"/>
    <w:rsid w:val="2D646D62"/>
    <w:rsid w:val="2F445CB1"/>
    <w:rsid w:val="30541439"/>
    <w:rsid w:val="315D1B69"/>
    <w:rsid w:val="31944E73"/>
    <w:rsid w:val="31FD46D5"/>
    <w:rsid w:val="323748C2"/>
    <w:rsid w:val="32D87F71"/>
    <w:rsid w:val="33C817B8"/>
    <w:rsid w:val="34253E60"/>
    <w:rsid w:val="34BC39A3"/>
    <w:rsid w:val="35177820"/>
    <w:rsid w:val="35962654"/>
    <w:rsid w:val="35A057DD"/>
    <w:rsid w:val="35B937B9"/>
    <w:rsid w:val="36035FE3"/>
    <w:rsid w:val="36591072"/>
    <w:rsid w:val="37172A21"/>
    <w:rsid w:val="376C6EF3"/>
    <w:rsid w:val="37B447A7"/>
    <w:rsid w:val="38DA461C"/>
    <w:rsid w:val="39C821F2"/>
    <w:rsid w:val="3A3E1689"/>
    <w:rsid w:val="3C3A6681"/>
    <w:rsid w:val="3D08382C"/>
    <w:rsid w:val="3E5841ED"/>
    <w:rsid w:val="3E872031"/>
    <w:rsid w:val="40181361"/>
    <w:rsid w:val="40E1125B"/>
    <w:rsid w:val="41093AB2"/>
    <w:rsid w:val="418A796D"/>
    <w:rsid w:val="419B4FFA"/>
    <w:rsid w:val="41C53408"/>
    <w:rsid w:val="421339F0"/>
    <w:rsid w:val="42DD7875"/>
    <w:rsid w:val="43DF42FC"/>
    <w:rsid w:val="444C3824"/>
    <w:rsid w:val="44D445CC"/>
    <w:rsid w:val="45571679"/>
    <w:rsid w:val="460045CD"/>
    <w:rsid w:val="46186E4A"/>
    <w:rsid w:val="46EA782A"/>
    <w:rsid w:val="47217705"/>
    <w:rsid w:val="47C87B80"/>
    <w:rsid w:val="47E3436A"/>
    <w:rsid w:val="484374D3"/>
    <w:rsid w:val="48DA1232"/>
    <w:rsid w:val="4A506530"/>
    <w:rsid w:val="4AAC3789"/>
    <w:rsid w:val="4BC51105"/>
    <w:rsid w:val="4CB14913"/>
    <w:rsid w:val="4CE611BE"/>
    <w:rsid w:val="4D2756BB"/>
    <w:rsid w:val="4F154C80"/>
    <w:rsid w:val="4F831FD2"/>
    <w:rsid w:val="50026293"/>
    <w:rsid w:val="51123432"/>
    <w:rsid w:val="51481806"/>
    <w:rsid w:val="51583EA0"/>
    <w:rsid w:val="51A562DF"/>
    <w:rsid w:val="52F442D9"/>
    <w:rsid w:val="532A2ADB"/>
    <w:rsid w:val="532A7941"/>
    <w:rsid w:val="54343067"/>
    <w:rsid w:val="54424345"/>
    <w:rsid w:val="546C5CD9"/>
    <w:rsid w:val="55CA3323"/>
    <w:rsid w:val="566A0D6B"/>
    <w:rsid w:val="569415C5"/>
    <w:rsid w:val="569A51BF"/>
    <w:rsid w:val="580A7524"/>
    <w:rsid w:val="581A3C9E"/>
    <w:rsid w:val="58434338"/>
    <w:rsid w:val="591F37CD"/>
    <w:rsid w:val="593257A1"/>
    <w:rsid w:val="59EE3D5F"/>
    <w:rsid w:val="59F47D2A"/>
    <w:rsid w:val="5A3122CC"/>
    <w:rsid w:val="5ACB53E0"/>
    <w:rsid w:val="5ADC59C5"/>
    <w:rsid w:val="5C33001D"/>
    <w:rsid w:val="5C3E7A2C"/>
    <w:rsid w:val="5E0D5857"/>
    <w:rsid w:val="5E90412B"/>
    <w:rsid w:val="5FB23838"/>
    <w:rsid w:val="60435E2D"/>
    <w:rsid w:val="623E4995"/>
    <w:rsid w:val="62660EC3"/>
    <w:rsid w:val="63C35974"/>
    <w:rsid w:val="65F657B5"/>
    <w:rsid w:val="664301DB"/>
    <w:rsid w:val="665539F3"/>
    <w:rsid w:val="66DB350A"/>
    <w:rsid w:val="66F35585"/>
    <w:rsid w:val="67376C31"/>
    <w:rsid w:val="67764A22"/>
    <w:rsid w:val="67772FAC"/>
    <w:rsid w:val="68886033"/>
    <w:rsid w:val="6A024F56"/>
    <w:rsid w:val="6AA3205B"/>
    <w:rsid w:val="6AE73DE6"/>
    <w:rsid w:val="6B7E53AA"/>
    <w:rsid w:val="6B952049"/>
    <w:rsid w:val="6C6D1D78"/>
    <w:rsid w:val="6D9B5E31"/>
    <w:rsid w:val="6F7947F4"/>
    <w:rsid w:val="70535629"/>
    <w:rsid w:val="707D05C0"/>
    <w:rsid w:val="71BE3D00"/>
    <w:rsid w:val="72242091"/>
    <w:rsid w:val="73221F8B"/>
    <w:rsid w:val="769439EF"/>
    <w:rsid w:val="769A1F00"/>
    <w:rsid w:val="76B3405C"/>
    <w:rsid w:val="7732524E"/>
    <w:rsid w:val="77DA2E34"/>
    <w:rsid w:val="78373BF3"/>
    <w:rsid w:val="7840713B"/>
    <w:rsid w:val="78756E1C"/>
    <w:rsid w:val="7B0217FB"/>
    <w:rsid w:val="7CAC5AD1"/>
    <w:rsid w:val="7EB3006D"/>
    <w:rsid w:val="7F983D46"/>
    <w:rsid w:val="7FF86D6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uiPriority="39" w:name="toc 2"/>
    <w:lsdException w:qFormat="1" w:unhideWhenUsed="0" w:uiPriority="0"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nhideWhenUsed="0" w:uiPriority="0" w:semiHidden="0"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uiPriority="5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qFormat/>
    <w:uiPriority w:val="0"/>
    <w:pPr>
      <w:keepNext/>
      <w:keepLines/>
      <w:spacing w:before="120" w:after="120" w:line="360" w:lineRule="auto"/>
      <w:outlineLvl w:val="0"/>
    </w:pPr>
    <w:rPr>
      <w:rFonts w:ascii="宋体"/>
      <w:b/>
      <w:color w:val="000000"/>
      <w:kern w:val="0"/>
      <w:sz w:val="24"/>
    </w:rPr>
  </w:style>
  <w:style w:type="paragraph" w:styleId="3">
    <w:name w:val="heading 2"/>
    <w:basedOn w:val="1"/>
    <w:next w:val="1"/>
    <w:qFormat/>
    <w:uiPriority w:val="0"/>
    <w:pPr>
      <w:keepNext/>
      <w:keepLines/>
      <w:spacing w:before="260" w:after="260" w:line="413" w:lineRule="auto"/>
      <w:outlineLvl w:val="1"/>
    </w:pPr>
    <w:rPr>
      <w:rFonts w:ascii="Arial" w:hAnsi="Arial" w:eastAsia="黑体"/>
      <w:b/>
      <w:sz w:val="32"/>
    </w:rPr>
  </w:style>
  <w:style w:type="paragraph" w:styleId="4">
    <w:name w:val="heading 3"/>
    <w:basedOn w:val="1"/>
    <w:next w:val="1"/>
    <w:qFormat/>
    <w:uiPriority w:val="0"/>
    <w:pPr>
      <w:keepNext/>
      <w:keepLines/>
      <w:spacing w:before="260" w:after="260" w:line="413" w:lineRule="auto"/>
      <w:outlineLvl w:val="2"/>
    </w:pPr>
    <w:rPr>
      <w:b/>
      <w:sz w:val="32"/>
    </w:rPr>
  </w:style>
  <w:style w:type="character" w:default="1" w:styleId="22">
    <w:name w:val="Default Paragraph Font"/>
    <w:semiHidden/>
    <w:unhideWhenUsed/>
    <w:qFormat/>
    <w:uiPriority w:val="1"/>
  </w:style>
  <w:style w:type="table" w:default="1" w:styleId="21">
    <w:name w:val="Normal Table"/>
    <w:semiHidden/>
    <w:unhideWhenUsed/>
    <w:qFormat/>
    <w:uiPriority w:val="99"/>
    <w:tblPr>
      <w:tblCellMar>
        <w:top w:w="0" w:type="dxa"/>
        <w:left w:w="108" w:type="dxa"/>
        <w:bottom w:w="0" w:type="dxa"/>
        <w:right w:w="108" w:type="dxa"/>
      </w:tblCellMar>
    </w:tblPr>
  </w:style>
  <w:style w:type="paragraph" w:styleId="5">
    <w:name w:val="Normal Indent"/>
    <w:basedOn w:val="1"/>
    <w:qFormat/>
    <w:uiPriority w:val="0"/>
    <w:pPr>
      <w:ind w:firstLine="420" w:firstLineChars="200"/>
    </w:pPr>
  </w:style>
  <w:style w:type="paragraph" w:styleId="6">
    <w:name w:val="Document Map"/>
    <w:basedOn w:val="1"/>
    <w:qFormat/>
    <w:uiPriority w:val="0"/>
    <w:pPr>
      <w:shd w:val="clear" w:color="auto" w:fill="000080"/>
    </w:pPr>
  </w:style>
  <w:style w:type="paragraph" w:styleId="7">
    <w:name w:val="annotation text"/>
    <w:basedOn w:val="1"/>
    <w:link w:val="47"/>
    <w:qFormat/>
    <w:uiPriority w:val="0"/>
    <w:pPr>
      <w:jc w:val="left"/>
    </w:pPr>
    <w:rPr>
      <w:lang w:val="zh-CN"/>
    </w:rPr>
  </w:style>
  <w:style w:type="paragraph" w:styleId="8">
    <w:name w:val="Body Text"/>
    <w:basedOn w:val="1"/>
    <w:link w:val="28"/>
    <w:qFormat/>
    <w:uiPriority w:val="0"/>
    <w:pPr>
      <w:autoSpaceDE w:val="0"/>
      <w:autoSpaceDN w:val="0"/>
      <w:adjustRightInd w:val="0"/>
      <w:spacing w:line="360" w:lineRule="auto"/>
      <w:jc w:val="left"/>
    </w:pPr>
    <w:rPr>
      <w:rFonts w:ascii="宋体"/>
      <w:kern w:val="0"/>
      <w:sz w:val="20"/>
      <w:lang w:val="zh-CN"/>
    </w:rPr>
  </w:style>
  <w:style w:type="paragraph" w:styleId="9">
    <w:name w:val="toc 3"/>
    <w:basedOn w:val="1"/>
    <w:next w:val="1"/>
    <w:qFormat/>
    <w:uiPriority w:val="0"/>
    <w:pPr>
      <w:ind w:left="840" w:leftChars="400"/>
    </w:pPr>
  </w:style>
  <w:style w:type="paragraph" w:styleId="10">
    <w:name w:val="Plain Text"/>
    <w:basedOn w:val="1"/>
    <w:qFormat/>
    <w:uiPriority w:val="0"/>
    <w:pPr>
      <w:adjustRightInd w:val="0"/>
      <w:spacing w:line="312" w:lineRule="atLeast"/>
      <w:textAlignment w:val="baseline"/>
    </w:pPr>
    <w:rPr>
      <w:rFonts w:ascii="宋体" w:hAnsi="Courier New"/>
      <w:kern w:val="0"/>
    </w:rPr>
  </w:style>
  <w:style w:type="paragraph" w:styleId="11">
    <w:name w:val="Body Text Indent 2"/>
    <w:basedOn w:val="1"/>
    <w:qFormat/>
    <w:uiPriority w:val="0"/>
    <w:pPr>
      <w:spacing w:line="360" w:lineRule="auto"/>
      <w:ind w:firstLine="425"/>
    </w:pPr>
    <w:rPr>
      <w:rFonts w:ascii="仿宋_GB2312" w:eastAsia="仿宋_GB2312"/>
      <w:sz w:val="28"/>
    </w:rPr>
  </w:style>
  <w:style w:type="paragraph" w:styleId="12">
    <w:name w:val="Balloon Text"/>
    <w:basedOn w:val="1"/>
    <w:qFormat/>
    <w:uiPriority w:val="0"/>
    <w:rPr>
      <w:sz w:val="18"/>
    </w:rPr>
  </w:style>
  <w:style w:type="paragraph" w:styleId="13">
    <w:name w:val="footer"/>
    <w:basedOn w:val="1"/>
    <w:qFormat/>
    <w:uiPriority w:val="0"/>
    <w:pPr>
      <w:tabs>
        <w:tab w:val="center" w:pos="4153"/>
        <w:tab w:val="right" w:pos="8306"/>
      </w:tabs>
      <w:snapToGrid w:val="0"/>
      <w:jc w:val="left"/>
    </w:pPr>
    <w:rPr>
      <w:sz w:val="18"/>
    </w:rPr>
  </w:style>
  <w:style w:type="paragraph" w:styleId="14">
    <w:name w:val="header"/>
    <w:basedOn w:val="1"/>
    <w:link w:val="31"/>
    <w:qFormat/>
    <w:uiPriority w:val="0"/>
    <w:pPr>
      <w:pBdr>
        <w:bottom w:val="single" w:color="auto" w:sz="6" w:space="1"/>
      </w:pBdr>
      <w:tabs>
        <w:tab w:val="center" w:pos="4153"/>
        <w:tab w:val="right" w:pos="8306"/>
      </w:tabs>
      <w:snapToGrid w:val="0"/>
      <w:jc w:val="center"/>
    </w:pPr>
    <w:rPr>
      <w:sz w:val="18"/>
    </w:rPr>
  </w:style>
  <w:style w:type="paragraph" w:styleId="15">
    <w:name w:val="toc 1"/>
    <w:basedOn w:val="1"/>
    <w:next w:val="1"/>
    <w:qFormat/>
    <w:uiPriority w:val="0"/>
    <w:pPr>
      <w:tabs>
        <w:tab w:val="right" w:leader="dot" w:pos="8296"/>
      </w:tabs>
      <w:spacing w:line="360" w:lineRule="auto"/>
    </w:pPr>
  </w:style>
  <w:style w:type="paragraph" w:styleId="16">
    <w:name w:val="footnote text"/>
    <w:basedOn w:val="1"/>
    <w:qFormat/>
    <w:uiPriority w:val="0"/>
    <w:pPr>
      <w:snapToGrid w:val="0"/>
      <w:jc w:val="left"/>
    </w:pPr>
    <w:rPr>
      <w:sz w:val="18"/>
    </w:rPr>
  </w:style>
  <w:style w:type="paragraph" w:styleId="17">
    <w:name w:val="Body Text Indent 3"/>
    <w:basedOn w:val="1"/>
    <w:qFormat/>
    <w:uiPriority w:val="0"/>
    <w:pPr>
      <w:autoSpaceDE w:val="0"/>
      <w:autoSpaceDN w:val="0"/>
      <w:adjustRightInd w:val="0"/>
      <w:spacing w:line="360" w:lineRule="auto"/>
      <w:ind w:left="420" w:firstLine="435"/>
    </w:pPr>
    <w:rPr>
      <w:color w:val="0000FF"/>
    </w:rPr>
  </w:style>
  <w:style w:type="paragraph" w:styleId="18">
    <w:name w:val="Normal (Web)"/>
    <w:basedOn w:val="1"/>
    <w:unhideWhenUsed/>
    <w:qFormat/>
    <w:uiPriority w:val="99"/>
    <w:pPr>
      <w:widowControl/>
      <w:spacing w:before="100" w:beforeAutospacing="1" w:after="100" w:afterAutospacing="1"/>
      <w:jc w:val="left"/>
    </w:pPr>
    <w:rPr>
      <w:rFonts w:ascii="宋体" w:hAnsi="宋体" w:cs="宋体"/>
      <w:color w:val="000000"/>
      <w:kern w:val="0"/>
      <w:sz w:val="24"/>
      <w:szCs w:val="24"/>
    </w:rPr>
  </w:style>
  <w:style w:type="paragraph" w:styleId="19">
    <w:name w:val="Title"/>
    <w:basedOn w:val="1"/>
    <w:next w:val="1"/>
    <w:link w:val="30"/>
    <w:qFormat/>
    <w:uiPriority w:val="0"/>
    <w:pPr>
      <w:spacing w:before="240" w:after="60"/>
      <w:jc w:val="center"/>
      <w:outlineLvl w:val="0"/>
    </w:pPr>
    <w:rPr>
      <w:rFonts w:ascii="Cambria" w:hAnsi="Cambria"/>
      <w:b/>
      <w:sz w:val="32"/>
    </w:rPr>
  </w:style>
  <w:style w:type="paragraph" w:styleId="20">
    <w:name w:val="annotation subject"/>
    <w:basedOn w:val="7"/>
    <w:next w:val="7"/>
    <w:qFormat/>
    <w:uiPriority w:val="0"/>
    <w:rPr>
      <w:b/>
    </w:rPr>
  </w:style>
  <w:style w:type="character" w:styleId="23">
    <w:name w:val="Strong"/>
    <w:basedOn w:val="22"/>
    <w:qFormat/>
    <w:uiPriority w:val="22"/>
    <w:rPr>
      <w:b/>
    </w:rPr>
  </w:style>
  <w:style w:type="character" w:styleId="24">
    <w:name w:val="page number"/>
    <w:basedOn w:val="22"/>
    <w:qFormat/>
    <w:uiPriority w:val="0"/>
  </w:style>
  <w:style w:type="character" w:styleId="25">
    <w:name w:val="Hyperlink"/>
    <w:basedOn w:val="22"/>
    <w:qFormat/>
    <w:uiPriority w:val="0"/>
    <w:rPr>
      <w:color w:val="0000FF"/>
      <w:u w:val="single"/>
    </w:rPr>
  </w:style>
  <w:style w:type="character" w:styleId="26">
    <w:name w:val="annotation reference"/>
    <w:basedOn w:val="22"/>
    <w:qFormat/>
    <w:uiPriority w:val="0"/>
    <w:rPr>
      <w:sz w:val="21"/>
    </w:rPr>
  </w:style>
  <w:style w:type="character" w:styleId="27">
    <w:name w:val="footnote reference"/>
    <w:basedOn w:val="22"/>
    <w:qFormat/>
    <w:uiPriority w:val="0"/>
    <w:rPr>
      <w:vertAlign w:val="superscript"/>
    </w:rPr>
  </w:style>
  <w:style w:type="character" w:customStyle="1" w:styleId="28">
    <w:name w:val="正文文本 Char"/>
    <w:link w:val="8"/>
    <w:qFormat/>
    <w:uiPriority w:val="0"/>
    <w:rPr>
      <w:rFonts w:ascii="宋体"/>
      <w:kern w:val="0"/>
    </w:rPr>
  </w:style>
  <w:style w:type="character" w:customStyle="1" w:styleId="29">
    <w:name w:val="unnamed11"/>
    <w:basedOn w:val="22"/>
    <w:qFormat/>
    <w:uiPriority w:val="0"/>
    <w:rPr>
      <w:rFonts w:hint="eastAsia" w:ascii="宋体" w:hAnsi="宋体" w:eastAsia="宋体"/>
      <w:sz w:val="18"/>
    </w:rPr>
  </w:style>
  <w:style w:type="character" w:customStyle="1" w:styleId="30">
    <w:name w:val="标题 Char"/>
    <w:basedOn w:val="22"/>
    <w:link w:val="19"/>
    <w:qFormat/>
    <w:uiPriority w:val="0"/>
    <w:rPr>
      <w:rFonts w:ascii="Cambria" w:hAnsi="Cambria"/>
      <w:b/>
      <w:kern w:val="2"/>
      <w:sz w:val="32"/>
    </w:rPr>
  </w:style>
  <w:style w:type="character" w:customStyle="1" w:styleId="31">
    <w:name w:val="页眉 Char"/>
    <w:basedOn w:val="22"/>
    <w:link w:val="14"/>
    <w:qFormat/>
    <w:uiPriority w:val="0"/>
    <w:rPr>
      <w:rFonts w:eastAsia="宋体"/>
      <w:kern w:val="2"/>
      <w:sz w:val="18"/>
      <w:lang w:val="en-US" w:eastAsia="zh-CN"/>
    </w:rPr>
  </w:style>
  <w:style w:type="character" w:customStyle="1" w:styleId="32">
    <w:name w:val="read"/>
    <w:basedOn w:val="22"/>
    <w:qFormat/>
    <w:uiPriority w:val="0"/>
  </w:style>
  <w:style w:type="paragraph" w:customStyle="1" w:styleId="33">
    <w:name w:val="Char Char"/>
    <w:basedOn w:val="1"/>
    <w:qFormat/>
    <w:uiPriority w:val="0"/>
  </w:style>
  <w:style w:type="paragraph" w:customStyle="1" w:styleId="34">
    <w:name w:val="Default"/>
    <w:qFormat/>
    <w:uiPriority w:val="0"/>
    <w:pPr>
      <w:widowControl w:val="0"/>
      <w:autoSpaceDE w:val="0"/>
      <w:autoSpaceDN w:val="0"/>
      <w:adjustRightInd w:val="0"/>
    </w:pPr>
    <w:rPr>
      <w:rFonts w:ascii="宋体" w:hAnsi="Times New Roman" w:eastAsia="宋体" w:cs="Times New Roman"/>
      <w:color w:val="000000"/>
      <w:sz w:val="24"/>
      <w:lang w:val="en-US" w:eastAsia="zh-CN" w:bidi="ar-SA"/>
    </w:rPr>
  </w:style>
  <w:style w:type="paragraph" w:customStyle="1" w:styleId="35">
    <w:name w:val="unnamed1"/>
    <w:basedOn w:val="1"/>
    <w:qFormat/>
    <w:uiPriority w:val="0"/>
    <w:pPr>
      <w:spacing w:before="60" w:after="60"/>
      <w:ind w:left="15" w:right="15"/>
    </w:pPr>
    <w:rPr>
      <w:rFonts w:hint="eastAsia" w:ascii="宋体" w:hAnsi="宋体"/>
      <w:color w:val="000000"/>
      <w:sz w:val="18"/>
      <w:szCs w:val="18"/>
    </w:rPr>
  </w:style>
  <w:style w:type="paragraph" w:customStyle="1" w:styleId="36">
    <w:name w:val="List_bullet"/>
    <w:basedOn w:val="1"/>
    <w:qFormat/>
    <w:uiPriority w:val="0"/>
    <w:pPr>
      <w:widowControl/>
      <w:numPr>
        <w:ilvl w:val="0"/>
        <w:numId w:val="1"/>
      </w:numPr>
      <w:jc w:val="left"/>
    </w:pPr>
    <w:rPr>
      <w:kern w:val="0"/>
      <w:sz w:val="24"/>
    </w:rPr>
  </w:style>
  <w:style w:type="paragraph" w:customStyle="1" w:styleId="37">
    <w:name w:val="msonormal1"/>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38">
    <w:name w:val="正文正文"/>
    <w:basedOn w:val="1"/>
    <w:qFormat/>
    <w:uiPriority w:val="0"/>
    <w:pPr>
      <w:spacing w:after="78" w:afterLines="25" w:line="360" w:lineRule="auto"/>
      <w:ind w:firstLine="200" w:firstLineChars="200"/>
    </w:pPr>
    <w:rPr>
      <w:sz w:val="24"/>
    </w:rPr>
  </w:style>
  <w:style w:type="paragraph" w:customStyle="1" w:styleId="39">
    <w:name w:val="Char"/>
    <w:basedOn w:val="1"/>
    <w:qFormat/>
    <w:uiPriority w:val="0"/>
  </w:style>
  <w:style w:type="paragraph" w:customStyle="1" w:styleId="40">
    <w:name w:val="Char1"/>
    <w:basedOn w:val="1"/>
    <w:qFormat/>
    <w:uiPriority w:val="0"/>
  </w:style>
  <w:style w:type="paragraph" w:customStyle="1" w:styleId="41">
    <w:name w:val="Char Char Char"/>
    <w:basedOn w:val="1"/>
    <w:qFormat/>
    <w:uiPriority w:val="0"/>
  </w:style>
  <w:style w:type="paragraph" w:customStyle="1" w:styleId="42">
    <w:name w:val="InfoBlue"/>
    <w:basedOn w:val="1"/>
    <w:next w:val="8"/>
    <w:qFormat/>
    <w:uiPriority w:val="0"/>
    <w:pPr>
      <w:tabs>
        <w:tab w:val="left" w:pos="420"/>
      </w:tabs>
      <w:spacing w:after="120" w:line="240" w:lineRule="atLeast"/>
      <w:ind w:left="420" w:hanging="420"/>
      <w:jc w:val="left"/>
    </w:pPr>
    <w:rPr>
      <w:rFonts w:ascii="宋体" w:hAnsi="宋体"/>
    </w:rPr>
  </w:style>
  <w:style w:type="paragraph" w:customStyle="1" w:styleId="43">
    <w:name w:val="Char Char Char Char"/>
    <w:basedOn w:val="1"/>
    <w:qFormat/>
    <w:uiPriority w:val="0"/>
    <w:pPr>
      <w:tabs>
        <w:tab w:val="left" w:pos="360"/>
      </w:tabs>
    </w:pPr>
  </w:style>
  <w:style w:type="paragraph" w:customStyle="1" w:styleId="44">
    <w:name w:val="Char Char1"/>
    <w:basedOn w:val="1"/>
    <w:qFormat/>
    <w:uiPriority w:val="0"/>
  </w:style>
  <w:style w:type="paragraph" w:customStyle="1" w:styleId="45">
    <w:name w:val="正文所"/>
    <w:basedOn w:val="1"/>
    <w:qFormat/>
    <w:uiPriority w:val="0"/>
    <w:pPr>
      <w:spacing w:line="360" w:lineRule="auto"/>
      <w:ind w:firstLine="420" w:firstLineChars="200"/>
    </w:pPr>
    <w:rPr>
      <w:rFonts w:ascii="宋体"/>
    </w:rPr>
  </w:style>
  <w:style w:type="paragraph" w:customStyle="1" w:styleId="46">
    <w:name w:val="修订1"/>
    <w:hidden/>
    <w:semiHidden/>
    <w:qFormat/>
    <w:uiPriority w:val="99"/>
    <w:rPr>
      <w:rFonts w:ascii="Times New Roman" w:hAnsi="Times New Roman" w:eastAsia="宋体" w:cs="Times New Roman"/>
      <w:kern w:val="2"/>
      <w:sz w:val="21"/>
      <w:lang w:val="en-US" w:eastAsia="zh-CN" w:bidi="ar-SA"/>
    </w:rPr>
  </w:style>
  <w:style w:type="character" w:customStyle="1" w:styleId="47">
    <w:name w:val="批注文字 Char"/>
    <w:link w:val="7"/>
    <w:qFormat/>
    <w:uiPriority w:val="0"/>
    <w:rPr>
      <w:kern w:val="2"/>
      <w:sz w:val="21"/>
    </w:rPr>
  </w:style>
  <w:style w:type="character" w:customStyle="1" w:styleId="48">
    <w:name w:val="grame"/>
    <w:basedOn w:val="22"/>
    <w:qFormat/>
    <w:uiPriority w:val="0"/>
  </w:style>
  <w:style w:type="paragraph" w:styleId="49">
    <w:name w:val="List Paragraph"/>
    <w:basedOn w:val="1"/>
    <w:qFormat/>
    <w:uiPriority w:val="34"/>
    <w:pPr>
      <w:ind w:firstLine="420" w:firstLineChars="200"/>
    </w:pPr>
  </w:style>
  <w:style w:type="character" w:customStyle="1" w:styleId="50">
    <w:name w:val="fontstyle01"/>
    <w:basedOn w:val="22"/>
    <w:qFormat/>
    <w:uiPriority w:val="0"/>
    <w:rPr>
      <w:rFonts w:hint="eastAsia" w:ascii="宋体" w:hAnsi="宋体" w:eastAsia="宋体" w:cs="宋体"/>
      <w:color w:val="000000"/>
      <w:sz w:val="24"/>
      <w:szCs w:val="24"/>
    </w:rPr>
  </w:style>
  <w:style w:type="paragraph" w:customStyle="1" w:styleId="51">
    <w:name w:val="修订2"/>
    <w:hidden/>
    <w:semiHidden/>
    <w:qFormat/>
    <w:uiPriority w:val="99"/>
    <w:rPr>
      <w:rFonts w:ascii="Times New Roman" w:hAnsi="Times New Roman" w:eastAsia="宋体" w:cs="Times New Roman"/>
      <w:kern w:val="2"/>
      <w:sz w:val="21"/>
      <w:lang w:val="en-US" w:eastAsia="zh-CN" w:bidi="ar-SA"/>
    </w:rPr>
  </w:style>
  <w:style w:type="character" w:customStyle="1" w:styleId="52">
    <w:name w:val="批注文字 字符"/>
    <w:qFormat/>
    <w:uiPriority w:val="0"/>
    <w:rPr>
      <w:kern w:val="2"/>
      <w:sz w:val="21"/>
    </w:rPr>
  </w:style>
  <w:style w:type="paragraph" w:customStyle="1" w:styleId="53">
    <w:name w:val="修订3"/>
    <w:hidden/>
    <w:semiHidden/>
    <w:qFormat/>
    <w:uiPriority w:val="99"/>
    <w:rPr>
      <w:rFonts w:ascii="Times New Roman" w:hAnsi="Times New Roman" w:eastAsia="宋体" w:cs="Times New Roman"/>
      <w:kern w:val="2"/>
      <w:sz w:val="21"/>
      <w:lang w:val="en-US" w:eastAsia="zh-CN" w:bidi="ar-SA"/>
    </w:rPr>
  </w:style>
  <w:style w:type="paragraph" w:customStyle="1" w:styleId="54">
    <w:name w:val="修订4"/>
    <w:hidden/>
    <w:semiHidden/>
    <w:qFormat/>
    <w:uiPriority w:val="99"/>
    <w:rPr>
      <w:rFonts w:ascii="Times New Roman" w:hAnsi="Times New Roman" w:eastAsia="宋体" w:cs="Times New Roman"/>
      <w:kern w:val="2"/>
      <w:sz w:val="21"/>
      <w:lang w:val="en-US" w:eastAsia="zh-CN" w:bidi="ar-SA"/>
    </w:rPr>
  </w:style>
  <w:style w:type="paragraph" w:customStyle="1" w:styleId="55">
    <w:name w:val="修订5"/>
    <w:hidden/>
    <w:unhideWhenUsed/>
    <w:qFormat/>
    <w:uiPriority w:val="99"/>
    <w:rPr>
      <w:rFonts w:ascii="Times New Roman" w:hAnsi="Times New Roman" w:eastAsia="宋体" w:cs="Times New Roman"/>
      <w:kern w:val="2"/>
      <w:sz w:val="21"/>
      <w:lang w:val="en-US" w:eastAsia="zh-CN" w:bidi="ar-SA"/>
    </w:rPr>
  </w:style>
  <w:style w:type="paragraph" w:customStyle="1" w:styleId="56">
    <w:name w:val="Char Char2"/>
    <w:basedOn w:val="1"/>
    <w:qFormat/>
    <w:uiPriority w:val="0"/>
  </w:style>
  <w:style w:type="paragraph" w:customStyle="1" w:styleId="57">
    <w:name w:val="修订6"/>
    <w:hidden/>
    <w:semiHidden/>
    <w:qFormat/>
    <w:uiPriority w:val="99"/>
    <w:rPr>
      <w:rFonts w:ascii="Times New Roman" w:hAnsi="Times New Roman" w:eastAsia="宋体" w:cs="Times New Roman"/>
      <w:kern w:val="2"/>
      <w:sz w:val="21"/>
      <w:lang w:val="en-US" w:eastAsia="zh-CN" w:bidi="ar-SA"/>
    </w:rPr>
  </w:style>
  <w:style w:type="paragraph" w:customStyle="1" w:styleId="58">
    <w:name w:val="修订7"/>
    <w:hidden/>
    <w:semiHidden/>
    <w:qFormat/>
    <w:uiPriority w:val="99"/>
    <w:rPr>
      <w:rFonts w:ascii="Times New Roman" w:hAnsi="Times New Roman" w:eastAsia="宋体" w:cs="Times New Roman"/>
      <w:kern w:val="2"/>
      <w:sz w:val="21"/>
      <w:lang w:val="en-US" w:eastAsia="zh-CN" w:bidi="ar-SA"/>
    </w:rPr>
  </w:style>
  <w:style w:type="paragraph" w:customStyle="1" w:styleId="59">
    <w:name w:val="修订8"/>
    <w:hidden/>
    <w:unhideWhenUsed/>
    <w:qFormat/>
    <w:uiPriority w:val="99"/>
    <w:rPr>
      <w:rFonts w:ascii="Times New Roman" w:hAnsi="Times New Roman" w:eastAsia="宋体" w:cs="Times New Roman"/>
      <w:kern w:val="2"/>
      <w:sz w:val="21"/>
      <w:lang w:val="en-US" w:eastAsia="zh-CN" w:bidi="ar-SA"/>
    </w:rPr>
  </w:style>
  <w:style w:type="paragraph" w:customStyle="1" w:styleId="60">
    <w:name w:val="修订9"/>
    <w:hidden/>
    <w:unhideWhenUsed/>
    <w:qFormat/>
    <w:uiPriority w:val="99"/>
    <w:rPr>
      <w:rFonts w:ascii="Times New Roman" w:hAnsi="Times New Roman" w:eastAsia="宋体" w:cs="Times New Roman"/>
      <w:kern w:val="2"/>
      <w:sz w:val="21"/>
      <w:lang w:val="en-US" w:eastAsia="zh-CN" w:bidi="ar-SA"/>
    </w:rPr>
  </w:style>
  <w:style w:type="paragraph" w:customStyle="1" w:styleId="61">
    <w:name w:val="biaoge_center"/>
    <w:basedOn w:val="1"/>
    <w:qFormat/>
    <w:uiPriority w:val="0"/>
    <w:pPr>
      <w:widowControl/>
      <w:autoSpaceDE w:val="0"/>
      <w:autoSpaceDN w:val="0"/>
      <w:adjustRightInd w:val="0"/>
      <w:spacing w:before="29" w:line="288" w:lineRule="auto"/>
      <w:ind w:left="15"/>
      <w:jc w:val="center"/>
    </w:pPr>
    <w:rPr>
      <w:rFonts w:ascii="宋体" w:hAnsi="宋体" w:cs="宋体"/>
      <w:kern w:val="0"/>
      <w:szCs w:val="21"/>
    </w:rPr>
  </w:style>
  <w:style w:type="paragraph" w:customStyle="1" w:styleId="62">
    <w:name w:val="biaoge_right"/>
    <w:basedOn w:val="1"/>
    <w:qFormat/>
    <w:uiPriority w:val="0"/>
    <w:pPr>
      <w:widowControl/>
      <w:autoSpaceDE w:val="0"/>
      <w:autoSpaceDN w:val="0"/>
      <w:adjustRightInd w:val="0"/>
      <w:spacing w:before="29" w:line="288" w:lineRule="auto"/>
      <w:ind w:left="15"/>
      <w:jc w:val="right"/>
    </w:pPr>
    <w:rPr>
      <w:rFonts w:ascii="宋体" w:hAnsi="宋体" w:cs="宋体"/>
      <w:kern w:val="0"/>
      <w:szCs w:val="21"/>
    </w:rPr>
  </w:style>
  <w:style w:type="paragraph" w:customStyle="1" w:styleId="63">
    <w:name w:val="zhangjie_p"/>
    <w:basedOn w:val="1"/>
    <w:qFormat/>
    <w:uiPriority w:val="0"/>
    <w:pPr>
      <w:widowControl/>
      <w:autoSpaceDE w:val="0"/>
      <w:autoSpaceDN w:val="0"/>
      <w:adjustRightInd w:val="0"/>
      <w:spacing w:before="24" w:line="288" w:lineRule="auto"/>
      <w:ind w:left="15"/>
      <w:jc w:val="left"/>
      <w:outlineLvl w:val="1"/>
    </w:pPr>
    <w:rPr>
      <w:rFonts w:ascii="宋体" w:hAnsi="宋体" w:cs="宋体"/>
      <w:kern w:val="0"/>
      <w:szCs w:val="21"/>
    </w:rPr>
  </w:style>
  <w:style w:type="paragraph" w:customStyle="1" w:styleId="64">
    <w:name w:val="biaoge_left"/>
    <w:basedOn w:val="1"/>
    <w:qFormat/>
    <w:uiPriority w:val="0"/>
    <w:pPr>
      <w:widowControl/>
      <w:autoSpaceDE w:val="0"/>
      <w:autoSpaceDN w:val="0"/>
      <w:adjustRightInd w:val="0"/>
      <w:spacing w:before="29" w:line="288" w:lineRule="auto"/>
      <w:ind w:left="15"/>
      <w:jc w:val="left"/>
    </w:pPr>
    <w:rPr>
      <w:rFonts w:ascii="宋体" w:hAnsi="宋体" w:cs="宋体"/>
      <w:kern w:val="0"/>
      <w:szCs w:val="21"/>
    </w:rPr>
  </w:style>
  <w:style w:type="paragraph" w:customStyle="1" w:styleId="65">
    <w:name w:val="wenzishuom"/>
    <w:basedOn w:val="1"/>
    <w:qFormat/>
    <w:uiPriority w:val="0"/>
    <w:pPr>
      <w:widowControl/>
      <w:autoSpaceDE w:val="0"/>
      <w:autoSpaceDN w:val="0"/>
      <w:adjustRightInd w:val="0"/>
      <w:spacing w:before="29" w:line="288" w:lineRule="auto"/>
      <w:ind w:left="15"/>
    </w:pPr>
    <w:rPr>
      <w:rFonts w:ascii="宋体" w:hAnsi="宋体" w:cs="宋体"/>
      <w:kern w:val="0"/>
      <w:szCs w:val="21"/>
    </w:rPr>
  </w:style>
  <w:style w:type="paragraph" w:customStyle="1" w:styleId="66">
    <w:name w:val="neirong"/>
    <w:basedOn w:val="1"/>
    <w:qFormat/>
    <w:uiPriority w:val="0"/>
    <w:pPr>
      <w:widowControl/>
      <w:autoSpaceDE w:val="0"/>
      <w:autoSpaceDN w:val="0"/>
      <w:adjustRightInd w:val="0"/>
      <w:spacing w:before="29" w:line="288" w:lineRule="auto"/>
      <w:ind w:left="15"/>
      <w:jc w:val="left"/>
    </w:pPr>
    <w:rPr>
      <w:rFonts w:ascii="宋体" w:hAnsi="宋体" w:cs="宋体"/>
      <w:kern w:val="0"/>
      <w:szCs w:val="21"/>
    </w:rPr>
  </w:style>
  <w:style w:type="paragraph" w:customStyle="1" w:styleId="67">
    <w:name w:val="Revision"/>
    <w:hidden/>
    <w:semiHidden/>
    <w:qFormat/>
    <w:uiPriority w:val="99"/>
    <w:rPr>
      <w:rFonts w:ascii="Times New Roman" w:hAnsi="Times New Roman" w:eastAsia="宋体" w:cs="Times New Roman"/>
      <w:kern w:val="2"/>
      <w:sz w:val="21"/>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4.xml"/><Relationship Id="rId7" Type="http://schemas.openxmlformats.org/officeDocument/2006/relationships/footer" Target="footer2.xml"/><Relationship Id="rId6" Type="http://schemas.openxmlformats.org/officeDocument/2006/relationships/header" Target="header3.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5.xml"/><Relationship Id="rId15" Type="http://schemas.openxmlformats.org/officeDocument/2006/relationships/customXml" Target="../customXml/item4.xml"/><Relationship Id="rId14" Type="http://schemas.openxmlformats.org/officeDocument/2006/relationships/customXml" Target="../customXml/item3.xml"/><Relationship Id="rId13" Type="http://schemas.openxmlformats.org/officeDocument/2006/relationships/customXml" Target="../customXml/item2.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 StyleName=""/>
</file>

<file path=customXml/item3.xml><?xml version="1.0" encoding="utf-8"?>
<b:Sources xmlns:b="http://schemas.openxmlformats.org/officeDocument/2006/bibliography" xmlns="http://schemas.openxmlformats.org/officeDocument/2006/bibliography" SelectedStyle="" StyleName=""/>
</file>

<file path=customXml/item4.xml><?xml version="1.0" encoding="utf-8"?>
<b:Sources xmlns:b="http://schemas.openxmlformats.org/officeDocument/2006/bibliography" xmlns="http://schemas.openxmlformats.org/officeDocument/2006/bibliography" SelectedStyle="" StyleName=""/>
</file>

<file path=customXml/item5.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1D687CA-615E-4F30-9089-89A429F7AEF3}">
  <ds:schemaRefs/>
</ds:datastoreItem>
</file>

<file path=customXml/itemProps3.xml><?xml version="1.0" encoding="utf-8"?>
<ds:datastoreItem xmlns:ds="http://schemas.openxmlformats.org/officeDocument/2006/customXml" ds:itemID="{6AFF9B65-579E-4E17-89D0-09440EE65A8E}">
  <ds:schemaRefs/>
</ds:datastoreItem>
</file>

<file path=customXml/itemProps4.xml><?xml version="1.0" encoding="utf-8"?>
<ds:datastoreItem xmlns:ds="http://schemas.openxmlformats.org/officeDocument/2006/customXml" ds:itemID="{EC842DE8-B6E9-4E8B-87DD-2AE2BB8E2069}">
  <ds:schemaRefs/>
</ds:datastoreItem>
</file>

<file path=customXml/itemProps5.xml><?xml version="1.0" encoding="utf-8"?>
<ds:datastoreItem xmlns:ds="http://schemas.openxmlformats.org/officeDocument/2006/customXml" ds:itemID="{B41A7A17-041C-4C70-B660-3759A292BA56}">
  <ds:schemaRefs/>
</ds:datastoreItem>
</file>

<file path=docProps/app.xml><?xml version="1.0" encoding="utf-8"?>
<Properties xmlns="http://schemas.openxmlformats.org/officeDocument/2006/extended-properties" xmlns:vt="http://schemas.openxmlformats.org/officeDocument/2006/docPropsVTypes">
  <Template>Normal</Template>
  <Company>HP</Company>
  <Pages>95</Pages>
  <Words>39482</Words>
  <Characters>39893</Characters>
  <Lines>30</Lines>
  <Paragraphs>122</Paragraphs>
  <TotalTime>15</TotalTime>
  <ScaleCrop>false</ScaleCrop>
  <LinksUpToDate>false</LinksUpToDate>
  <CharactersWithSpaces>40191</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2026-09-09T12:13:00Z</dcterms:created>
  <dc:creator>郑恩婵</dc:creator>
  <cp:lastModifiedBy>聪子</cp:lastModifiedBy>
  <cp:lastPrinted>2411-12-31T15:59:00Z</cp:lastPrinted>
  <dcterms:modified xsi:type="dcterms:W3CDTF">2026-10-26T08:31:31Z</dcterms:modified>
  <dc:title>___证券投资基金招募说明书1</dc:title>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y fmtid="{D5CDD505-2E9C-101B-9397-08002B2CF9AE}" pid="3" name="contractId">
    <vt:lpwstr>1dcaabda2013410d90fa438b83fbe5e8</vt:lpwstr>
  </property>
  <property fmtid="{D5CDD505-2E9C-101B-9397-08002B2CF9AE}" pid="4" name="verificationId">
    <vt:lpwstr>9c962d0c207750f8</vt:lpwstr>
  </property>
  <property fmtid="{D5CDD505-2E9C-101B-9397-08002B2CF9AE}" pid="5" name="KSOTemplateDocerSaveRecord">
    <vt:lpwstr>eyJoZGlkIjoiMGZkYWRiZmZiZTlmZmQwMjRmZGQyZmU2MTdkMDlmY2EiLCJ1c2VySWQiOiI0Mzk0MzI1NTQifQ==</vt:lpwstr>
  </property>
  <property fmtid="{D5CDD505-2E9C-101B-9397-08002B2CF9AE}" pid="6" name="ICV">
    <vt:lpwstr>707D9F75F1B4438DB2BBA1EB93A02DD2_13</vt:lpwstr>
  </property>
</Properties>
</file>