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adjustRightInd w:val="0"/>
        <w:snapToGrid w:val="0"/>
        <w:spacing w:line="360" w:lineRule="auto"/>
        <w:jc w:val="center"/>
        <w:rPr>
          <w:rFonts w:ascii="宋体" w:hAnsi="宋体" w:cs="宋体"/>
          <w:szCs w:val="21"/>
          <w:highlight w:val="none"/>
        </w:rPr>
      </w:pPr>
      <w:bookmarkStart w:id="0" w:name="CLAUSE_468ded6493c9462ebc131b865f5d7da2"/>
      <w:bookmarkStart w:id="1" w:name="OLE_LINK242"/>
      <w:bookmarkStart w:id="2" w:name="OLE_LINK241"/>
      <w:bookmarkStart w:id="3" w:name="OLE_LINK243"/>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b/>
          <w:sz w:val="44"/>
          <w:szCs w:val="21"/>
          <w:highlight w:val="none"/>
        </w:rPr>
      </w:pPr>
      <w:bookmarkStart w:id="4" w:name="OLE_LINK321"/>
      <w:bookmarkStart w:id="5" w:name="OLE_LINK320"/>
      <w:r>
        <w:rPr>
          <w:rFonts w:hint="eastAsia" w:ascii="宋体" w:hAnsi="宋体" w:cs="宋体"/>
          <w:b/>
          <w:sz w:val="44"/>
          <w:szCs w:val="21"/>
          <w:highlight w:val="none"/>
        </w:rPr>
        <w:t>东方阿尔法聚利63个月封闭式债券型</w:t>
      </w:r>
      <w:bookmarkEnd w:id="4"/>
      <w:bookmarkEnd w:id="5"/>
    </w:p>
    <w:p>
      <w:pPr>
        <w:adjustRightInd w:val="0"/>
        <w:snapToGrid w:val="0"/>
        <w:spacing w:line="360" w:lineRule="auto"/>
        <w:jc w:val="center"/>
        <w:rPr>
          <w:rFonts w:ascii="宋体" w:hAnsi="宋体" w:cs="宋体"/>
          <w:b/>
          <w:sz w:val="44"/>
          <w:szCs w:val="21"/>
          <w:highlight w:val="none"/>
        </w:rPr>
      </w:pPr>
      <w:r>
        <w:rPr>
          <w:rFonts w:hint="eastAsia" w:ascii="宋体" w:hAnsi="宋体" w:cs="宋体"/>
          <w:b/>
          <w:sz w:val="44"/>
          <w:szCs w:val="21"/>
          <w:highlight w:val="none"/>
        </w:rPr>
        <w:t>证券投资基金托管协议</w:t>
      </w:r>
    </w:p>
    <w:p>
      <w:pPr>
        <w:adjustRightInd w:val="0"/>
        <w:snapToGrid w:val="0"/>
        <w:spacing w:line="360" w:lineRule="auto"/>
        <w:jc w:val="center"/>
        <w:rPr>
          <w:rFonts w:ascii="宋体" w:hAnsi="宋体" w:cs="宋体"/>
          <w:b/>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jc w:val="center"/>
        <w:rPr>
          <w:rFonts w:ascii="宋体" w:hAnsi="宋体" w:cs="宋体"/>
          <w:szCs w:val="21"/>
          <w:highlight w:val="none"/>
        </w:rPr>
      </w:pPr>
    </w:p>
    <w:p>
      <w:pPr>
        <w:adjustRightInd w:val="0"/>
        <w:snapToGrid w:val="0"/>
        <w:spacing w:line="360" w:lineRule="auto"/>
        <w:ind w:firstLine="1680" w:firstLineChars="600"/>
        <w:rPr>
          <w:rFonts w:ascii="宋体" w:hAnsi="宋体" w:cs="宋体"/>
          <w:bCs/>
          <w:sz w:val="28"/>
          <w:szCs w:val="21"/>
          <w:highlight w:val="none"/>
        </w:rPr>
      </w:pPr>
      <w:r>
        <w:rPr>
          <w:rFonts w:hint="eastAsia" w:ascii="宋体" w:hAnsi="宋体" w:cs="宋体"/>
          <w:bCs/>
          <w:sz w:val="28"/>
          <w:szCs w:val="21"/>
          <w:highlight w:val="none"/>
        </w:rPr>
        <w:t>基金管理人：东方阿尔法基金管理有限公司</w:t>
      </w:r>
    </w:p>
    <w:p>
      <w:pPr>
        <w:adjustRightInd w:val="0"/>
        <w:snapToGrid w:val="0"/>
        <w:spacing w:line="360" w:lineRule="auto"/>
        <w:ind w:firstLine="1680" w:firstLineChars="600"/>
        <w:rPr>
          <w:rFonts w:ascii="宋体" w:hAnsi="宋体" w:cs="宋体"/>
          <w:bCs/>
          <w:sz w:val="28"/>
          <w:szCs w:val="21"/>
          <w:highlight w:val="none"/>
        </w:rPr>
      </w:pPr>
      <w:r>
        <w:rPr>
          <w:rFonts w:hint="eastAsia" w:ascii="宋体" w:hAnsi="宋体" w:cs="宋体"/>
          <w:bCs/>
          <w:sz w:val="28"/>
          <w:szCs w:val="21"/>
          <w:highlight w:val="none"/>
        </w:rPr>
        <w:t>基金托管人：招商银行股份有限公司</w:t>
      </w:r>
    </w:p>
    <w:p>
      <w:pPr>
        <w:jc w:val="left"/>
        <w:rPr>
          <w:rFonts w:ascii="宋体" w:hAnsi="宋体" w:cs="宋体"/>
          <w:szCs w:val="21"/>
          <w:highlight w:val="none"/>
        </w:rPr>
      </w:pPr>
      <w:r>
        <w:rPr>
          <w:rFonts w:hint="eastAsia" w:ascii="宋体" w:hAnsi="宋体" w:cs="宋体"/>
          <w:szCs w:val="21"/>
          <w:highlight w:val="none"/>
        </w:rPr>
        <w:br w:type="page"/>
      </w:r>
    </w:p>
    <w:bookmarkEnd w:id="0"/>
    <w:p>
      <w:pPr>
        <w:jc w:val="center"/>
        <w:rPr>
          <w:b/>
          <w:bCs/>
          <w:sz w:val="30"/>
          <w:szCs w:val="30"/>
          <w:highlight w:val="none"/>
        </w:rPr>
      </w:pPr>
      <w:r>
        <w:rPr>
          <w:rFonts w:ascii="宋体" w:hAnsi="宋体"/>
          <w:b/>
          <w:bCs/>
          <w:sz w:val="30"/>
          <w:szCs w:val="30"/>
          <w:highlight w:val="none"/>
        </w:rPr>
        <w:t>目</w:t>
      </w:r>
      <w:r>
        <w:rPr>
          <w:rFonts w:hint="eastAsia" w:ascii="宋体" w:hAnsi="宋体"/>
          <w:b/>
          <w:bCs/>
          <w:sz w:val="30"/>
          <w:szCs w:val="30"/>
          <w:highlight w:val="none"/>
          <w:lang w:val="en-US" w:eastAsia="zh-CN"/>
        </w:rPr>
        <w:t xml:space="preserve">  </w:t>
      </w:r>
      <w:r>
        <w:rPr>
          <w:rFonts w:ascii="宋体" w:hAnsi="宋体"/>
          <w:b/>
          <w:bCs/>
          <w:sz w:val="30"/>
          <w:szCs w:val="30"/>
          <w:highlight w:val="none"/>
        </w:rPr>
        <w:t>录</w:t>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TOC \o "1-2" \h \u </w:instrText>
      </w:r>
      <w:r>
        <w:rPr>
          <w:rFonts w:hint="eastAsia" w:ascii="宋体" w:hAnsi="宋体" w:cs="宋体"/>
          <w:sz w:val="24"/>
          <w:highlight w:val="none"/>
        </w:rPr>
        <w:fldChar w:fldCharType="separate"/>
      </w: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_Toc27252 </w:instrText>
      </w:r>
      <w:r>
        <w:rPr>
          <w:rFonts w:hint="eastAsia" w:ascii="宋体" w:hAnsi="宋体" w:cs="宋体"/>
          <w:sz w:val="24"/>
          <w:highlight w:val="none"/>
        </w:rPr>
        <w:fldChar w:fldCharType="separate"/>
      </w:r>
      <w:r>
        <w:rPr>
          <w:rFonts w:hint="eastAsia" w:ascii="宋体" w:hAnsi="宋体" w:cs="宋体"/>
          <w:sz w:val="24"/>
          <w:szCs w:val="24"/>
          <w:highlight w:val="none"/>
        </w:rPr>
        <w:t>一、基金托管协议当事人</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_Toc27252 \h </w:instrText>
      </w:r>
      <w:r>
        <w:rPr>
          <w:rFonts w:hint="eastAsia" w:ascii="宋体" w:hAnsi="宋体" w:cs="宋体"/>
          <w:sz w:val="24"/>
        </w:rPr>
        <w:fldChar w:fldCharType="separate"/>
      </w:r>
      <w:r>
        <w:rPr>
          <w:rFonts w:hint="eastAsia" w:ascii="宋体" w:hAnsi="宋体" w:cs="宋体"/>
          <w:sz w:val="24"/>
        </w:rPr>
        <w:t>3</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_Toc26167 </w:instrText>
      </w:r>
      <w:r>
        <w:rPr>
          <w:rFonts w:hint="eastAsia" w:ascii="宋体" w:hAnsi="宋体" w:cs="宋体"/>
          <w:sz w:val="24"/>
          <w:highlight w:val="none"/>
        </w:rPr>
        <w:fldChar w:fldCharType="separate"/>
      </w:r>
      <w:r>
        <w:rPr>
          <w:rFonts w:hint="eastAsia" w:ascii="宋体" w:hAnsi="宋体" w:cs="宋体"/>
          <w:sz w:val="24"/>
          <w:szCs w:val="24"/>
          <w:highlight w:val="none"/>
        </w:rPr>
        <w:t>二、基金托管协议的依据、目的和原则</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_Toc26167 \h </w:instrText>
      </w:r>
      <w:r>
        <w:rPr>
          <w:rFonts w:hint="eastAsia" w:ascii="宋体" w:hAnsi="宋体" w:cs="宋体"/>
          <w:sz w:val="24"/>
        </w:rPr>
        <w:fldChar w:fldCharType="separate"/>
      </w:r>
      <w:r>
        <w:rPr>
          <w:rFonts w:hint="eastAsia" w:ascii="宋体" w:hAnsi="宋体" w:cs="宋体"/>
          <w:sz w:val="24"/>
        </w:rPr>
        <w:t>4</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_Toc30630 </w:instrText>
      </w:r>
      <w:r>
        <w:rPr>
          <w:rFonts w:hint="eastAsia" w:ascii="宋体" w:hAnsi="宋体" w:cs="宋体"/>
          <w:sz w:val="24"/>
          <w:highlight w:val="none"/>
        </w:rPr>
        <w:fldChar w:fldCharType="separate"/>
      </w:r>
      <w:r>
        <w:rPr>
          <w:rFonts w:hint="eastAsia" w:ascii="宋体" w:hAnsi="宋体" w:cs="宋体"/>
          <w:sz w:val="24"/>
          <w:szCs w:val="24"/>
          <w:highlight w:val="none"/>
        </w:rPr>
        <w:t>三、基金托管人对基金管理人的业务监督和核查</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_Toc30630 \h </w:instrText>
      </w:r>
      <w:r>
        <w:rPr>
          <w:rFonts w:hint="eastAsia" w:ascii="宋体" w:hAnsi="宋体" w:cs="宋体"/>
          <w:sz w:val="24"/>
        </w:rPr>
        <w:fldChar w:fldCharType="separate"/>
      </w:r>
      <w:r>
        <w:rPr>
          <w:rFonts w:hint="eastAsia" w:ascii="宋体" w:hAnsi="宋体" w:cs="宋体"/>
          <w:sz w:val="24"/>
        </w:rPr>
        <w:t>5</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_Toc12128 </w:instrText>
      </w:r>
      <w:r>
        <w:rPr>
          <w:rFonts w:hint="eastAsia" w:ascii="宋体" w:hAnsi="宋体" w:cs="宋体"/>
          <w:sz w:val="24"/>
          <w:highlight w:val="none"/>
        </w:rPr>
        <w:fldChar w:fldCharType="separate"/>
      </w:r>
      <w:r>
        <w:rPr>
          <w:rFonts w:hint="eastAsia" w:ascii="宋体" w:hAnsi="宋体" w:cs="宋体"/>
          <w:sz w:val="24"/>
          <w:szCs w:val="24"/>
          <w:highlight w:val="none"/>
        </w:rPr>
        <w:t>四、基金管理人对基金托管人的业务核查</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_Toc12128 \h </w:instrText>
      </w:r>
      <w:r>
        <w:rPr>
          <w:rFonts w:hint="eastAsia" w:ascii="宋体" w:hAnsi="宋体" w:cs="宋体"/>
          <w:sz w:val="24"/>
        </w:rPr>
        <w:fldChar w:fldCharType="separate"/>
      </w:r>
      <w:r>
        <w:rPr>
          <w:rFonts w:hint="eastAsia" w:ascii="宋体" w:hAnsi="宋体" w:cs="宋体"/>
          <w:sz w:val="24"/>
        </w:rPr>
        <w:t>13</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_Toc5522 </w:instrText>
      </w:r>
      <w:r>
        <w:rPr>
          <w:rFonts w:hint="eastAsia" w:ascii="宋体" w:hAnsi="宋体" w:cs="宋体"/>
          <w:sz w:val="24"/>
          <w:highlight w:val="none"/>
        </w:rPr>
        <w:fldChar w:fldCharType="separate"/>
      </w:r>
      <w:r>
        <w:rPr>
          <w:rFonts w:hint="eastAsia" w:ascii="宋体" w:hAnsi="宋体" w:cs="宋体"/>
          <w:sz w:val="24"/>
          <w:szCs w:val="24"/>
          <w:highlight w:val="none"/>
        </w:rPr>
        <w:t>五、基金财产的保管</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_Toc5522 \h </w:instrText>
      </w:r>
      <w:r>
        <w:rPr>
          <w:rFonts w:hint="eastAsia" w:ascii="宋体" w:hAnsi="宋体" w:cs="宋体"/>
          <w:sz w:val="24"/>
        </w:rPr>
        <w:fldChar w:fldCharType="separate"/>
      </w:r>
      <w:r>
        <w:rPr>
          <w:rFonts w:hint="eastAsia" w:ascii="宋体" w:hAnsi="宋体" w:cs="宋体"/>
          <w:sz w:val="24"/>
        </w:rPr>
        <w:t>14</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_Toc1677 </w:instrText>
      </w:r>
      <w:r>
        <w:rPr>
          <w:rFonts w:hint="eastAsia" w:ascii="宋体" w:hAnsi="宋体" w:cs="宋体"/>
          <w:sz w:val="24"/>
          <w:highlight w:val="none"/>
        </w:rPr>
        <w:fldChar w:fldCharType="separate"/>
      </w:r>
      <w:r>
        <w:rPr>
          <w:rFonts w:hint="eastAsia" w:ascii="宋体" w:hAnsi="宋体" w:cs="宋体"/>
          <w:sz w:val="24"/>
          <w:szCs w:val="24"/>
          <w:highlight w:val="none"/>
        </w:rPr>
        <w:t>六、指令的发送、确认及执行</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_Toc1677 \h </w:instrText>
      </w:r>
      <w:r>
        <w:rPr>
          <w:rFonts w:hint="eastAsia" w:ascii="宋体" w:hAnsi="宋体" w:cs="宋体"/>
          <w:sz w:val="24"/>
        </w:rPr>
        <w:fldChar w:fldCharType="separate"/>
      </w:r>
      <w:r>
        <w:rPr>
          <w:rFonts w:hint="eastAsia" w:ascii="宋体" w:hAnsi="宋体" w:cs="宋体"/>
          <w:sz w:val="24"/>
        </w:rPr>
        <w:t>18</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_Toc9684 </w:instrText>
      </w:r>
      <w:r>
        <w:rPr>
          <w:rFonts w:hint="eastAsia" w:ascii="宋体" w:hAnsi="宋体" w:cs="宋体"/>
          <w:sz w:val="24"/>
          <w:highlight w:val="none"/>
        </w:rPr>
        <w:fldChar w:fldCharType="separate"/>
      </w:r>
      <w:r>
        <w:rPr>
          <w:rFonts w:hint="eastAsia" w:ascii="宋体" w:hAnsi="宋体" w:cs="宋体"/>
          <w:sz w:val="24"/>
          <w:szCs w:val="24"/>
          <w:highlight w:val="none"/>
        </w:rPr>
        <w:t>七、交易及清算交收安排</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_Toc9684 \h </w:instrText>
      </w:r>
      <w:r>
        <w:rPr>
          <w:rFonts w:hint="eastAsia" w:ascii="宋体" w:hAnsi="宋体" w:cs="宋体"/>
          <w:sz w:val="24"/>
        </w:rPr>
        <w:fldChar w:fldCharType="separate"/>
      </w:r>
      <w:r>
        <w:rPr>
          <w:rFonts w:hint="eastAsia" w:ascii="宋体" w:hAnsi="宋体" w:cs="宋体"/>
          <w:sz w:val="24"/>
        </w:rPr>
        <w:t>23</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_Toc6790 </w:instrText>
      </w:r>
      <w:r>
        <w:rPr>
          <w:rFonts w:hint="eastAsia" w:ascii="宋体" w:hAnsi="宋体" w:cs="宋体"/>
          <w:sz w:val="24"/>
          <w:highlight w:val="none"/>
        </w:rPr>
        <w:fldChar w:fldCharType="separate"/>
      </w:r>
      <w:r>
        <w:rPr>
          <w:rFonts w:hint="eastAsia" w:ascii="宋体" w:hAnsi="宋体" w:cs="宋体"/>
          <w:sz w:val="24"/>
          <w:szCs w:val="24"/>
          <w:highlight w:val="none"/>
        </w:rPr>
        <w:t>八、基金资产净值计算、估值和会计核算</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_Toc6790 \h </w:instrText>
      </w:r>
      <w:r>
        <w:rPr>
          <w:rFonts w:hint="eastAsia" w:ascii="宋体" w:hAnsi="宋体" w:cs="宋体"/>
          <w:sz w:val="24"/>
        </w:rPr>
        <w:fldChar w:fldCharType="separate"/>
      </w:r>
      <w:r>
        <w:rPr>
          <w:rFonts w:hint="eastAsia" w:ascii="宋体" w:hAnsi="宋体" w:cs="宋体"/>
          <w:sz w:val="24"/>
        </w:rPr>
        <w:t>25</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_Toc2381 </w:instrText>
      </w:r>
      <w:r>
        <w:rPr>
          <w:rFonts w:hint="eastAsia" w:ascii="宋体" w:hAnsi="宋体" w:cs="宋体"/>
          <w:sz w:val="24"/>
          <w:highlight w:val="none"/>
        </w:rPr>
        <w:fldChar w:fldCharType="separate"/>
      </w:r>
      <w:r>
        <w:rPr>
          <w:rFonts w:hint="eastAsia" w:ascii="宋体" w:hAnsi="宋体" w:cs="宋体"/>
          <w:sz w:val="24"/>
          <w:szCs w:val="24"/>
          <w:highlight w:val="none"/>
        </w:rPr>
        <w:t>九、基金收益分配</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_Toc2381 \h </w:instrText>
      </w:r>
      <w:r>
        <w:rPr>
          <w:rFonts w:hint="eastAsia" w:ascii="宋体" w:hAnsi="宋体" w:cs="宋体"/>
          <w:sz w:val="24"/>
        </w:rPr>
        <w:fldChar w:fldCharType="separate"/>
      </w:r>
      <w:r>
        <w:rPr>
          <w:rFonts w:hint="eastAsia" w:ascii="宋体" w:hAnsi="宋体" w:cs="宋体"/>
          <w:sz w:val="24"/>
        </w:rPr>
        <w:t>27</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_Toc18705 </w:instrText>
      </w:r>
      <w:r>
        <w:rPr>
          <w:rFonts w:hint="eastAsia" w:ascii="宋体" w:hAnsi="宋体" w:cs="宋体"/>
          <w:sz w:val="24"/>
          <w:highlight w:val="none"/>
        </w:rPr>
        <w:fldChar w:fldCharType="separate"/>
      </w:r>
      <w:r>
        <w:rPr>
          <w:rFonts w:hint="eastAsia" w:ascii="宋体" w:hAnsi="宋体" w:cs="宋体"/>
          <w:sz w:val="24"/>
          <w:szCs w:val="24"/>
          <w:highlight w:val="none"/>
        </w:rPr>
        <w:t>十、基金信息披露</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_Toc18705 \h </w:instrText>
      </w:r>
      <w:r>
        <w:rPr>
          <w:rFonts w:hint="eastAsia" w:ascii="宋体" w:hAnsi="宋体" w:cs="宋体"/>
          <w:sz w:val="24"/>
        </w:rPr>
        <w:fldChar w:fldCharType="separate"/>
      </w:r>
      <w:r>
        <w:rPr>
          <w:rFonts w:hint="eastAsia" w:ascii="宋体" w:hAnsi="宋体" w:cs="宋体"/>
          <w:sz w:val="24"/>
        </w:rPr>
        <w:t>28</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_Toc19819 </w:instrText>
      </w:r>
      <w:r>
        <w:rPr>
          <w:rFonts w:hint="eastAsia" w:ascii="宋体" w:hAnsi="宋体" w:cs="宋体"/>
          <w:sz w:val="24"/>
          <w:highlight w:val="none"/>
        </w:rPr>
        <w:fldChar w:fldCharType="separate"/>
      </w:r>
      <w:r>
        <w:rPr>
          <w:rFonts w:hint="eastAsia" w:ascii="宋体" w:hAnsi="宋体" w:cs="宋体"/>
          <w:bCs w:val="0"/>
          <w:kern w:val="2"/>
          <w:sz w:val="24"/>
          <w:szCs w:val="24"/>
          <w:highlight w:val="none"/>
        </w:rPr>
        <w:t>十一、</w:t>
      </w:r>
      <w:r>
        <w:rPr>
          <w:rFonts w:hint="eastAsia" w:ascii="宋体" w:hAnsi="宋体" w:cs="宋体"/>
          <w:sz w:val="24"/>
          <w:szCs w:val="24"/>
          <w:highlight w:val="none"/>
        </w:rPr>
        <w:t>基金费用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_Toc19819 \h </w:instrText>
      </w:r>
      <w:r>
        <w:rPr>
          <w:rFonts w:hint="eastAsia" w:ascii="宋体" w:hAnsi="宋体" w:cs="宋体"/>
          <w:sz w:val="24"/>
        </w:rPr>
        <w:fldChar w:fldCharType="separate"/>
      </w:r>
      <w:r>
        <w:rPr>
          <w:rFonts w:hint="eastAsia" w:ascii="宋体" w:hAnsi="宋体" w:cs="宋体"/>
          <w:sz w:val="24"/>
        </w:rPr>
        <w:t>30</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_Toc32158 </w:instrText>
      </w:r>
      <w:r>
        <w:rPr>
          <w:rFonts w:hint="eastAsia" w:ascii="宋体" w:hAnsi="宋体" w:cs="宋体"/>
          <w:sz w:val="24"/>
          <w:highlight w:val="none"/>
        </w:rPr>
        <w:fldChar w:fldCharType="separate"/>
      </w:r>
      <w:r>
        <w:rPr>
          <w:rFonts w:hint="eastAsia" w:ascii="宋体" w:hAnsi="宋体" w:cs="宋体"/>
          <w:bCs w:val="0"/>
          <w:kern w:val="2"/>
          <w:sz w:val="24"/>
          <w:szCs w:val="24"/>
          <w:highlight w:val="none"/>
        </w:rPr>
        <w:t>十二、</w:t>
      </w:r>
      <w:r>
        <w:rPr>
          <w:rFonts w:hint="eastAsia" w:ascii="宋体" w:hAnsi="宋体" w:cs="宋体"/>
          <w:bCs w:val="0"/>
          <w:sz w:val="24"/>
          <w:szCs w:val="24"/>
          <w:highlight w:val="none"/>
        </w:rPr>
        <w:t>基</w:t>
      </w:r>
      <w:r>
        <w:rPr>
          <w:rFonts w:hint="eastAsia" w:ascii="宋体" w:hAnsi="宋体" w:cs="宋体"/>
          <w:sz w:val="24"/>
          <w:szCs w:val="24"/>
          <w:highlight w:val="none"/>
        </w:rPr>
        <w:t>金份额持有人名册的保管</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_Toc32158 \h </w:instrText>
      </w:r>
      <w:r>
        <w:rPr>
          <w:rFonts w:hint="eastAsia" w:ascii="宋体" w:hAnsi="宋体" w:cs="宋体"/>
          <w:sz w:val="24"/>
        </w:rPr>
        <w:fldChar w:fldCharType="separate"/>
      </w:r>
      <w:r>
        <w:rPr>
          <w:rFonts w:hint="eastAsia" w:ascii="宋体" w:hAnsi="宋体" w:cs="宋体"/>
          <w:sz w:val="24"/>
        </w:rPr>
        <w:t>31</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_Toc23725 </w:instrText>
      </w:r>
      <w:r>
        <w:rPr>
          <w:rFonts w:hint="eastAsia" w:ascii="宋体" w:hAnsi="宋体" w:cs="宋体"/>
          <w:sz w:val="24"/>
          <w:highlight w:val="none"/>
        </w:rPr>
        <w:fldChar w:fldCharType="separate"/>
      </w:r>
      <w:r>
        <w:rPr>
          <w:rFonts w:hint="eastAsia" w:ascii="宋体" w:hAnsi="宋体" w:cs="宋体"/>
          <w:bCs w:val="0"/>
          <w:sz w:val="24"/>
          <w:szCs w:val="24"/>
          <w:highlight w:val="none"/>
        </w:rPr>
        <w:t>十三、基金有关文件档案的保存</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_Toc23725 \h </w:instrText>
      </w:r>
      <w:r>
        <w:rPr>
          <w:rFonts w:hint="eastAsia" w:ascii="宋体" w:hAnsi="宋体" w:cs="宋体"/>
          <w:sz w:val="24"/>
        </w:rPr>
        <w:fldChar w:fldCharType="separate"/>
      </w:r>
      <w:r>
        <w:rPr>
          <w:rFonts w:hint="eastAsia" w:ascii="宋体" w:hAnsi="宋体" w:cs="宋体"/>
          <w:sz w:val="24"/>
        </w:rPr>
        <w:t>32</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_Toc14908 </w:instrText>
      </w:r>
      <w:r>
        <w:rPr>
          <w:rFonts w:hint="eastAsia" w:ascii="宋体" w:hAnsi="宋体" w:cs="宋体"/>
          <w:sz w:val="24"/>
          <w:highlight w:val="none"/>
        </w:rPr>
        <w:fldChar w:fldCharType="separate"/>
      </w:r>
      <w:r>
        <w:rPr>
          <w:rFonts w:hint="eastAsia" w:ascii="宋体" w:hAnsi="宋体" w:cs="宋体"/>
          <w:sz w:val="24"/>
          <w:szCs w:val="24"/>
          <w:highlight w:val="none"/>
        </w:rPr>
        <w:t>十四、基金管理人和基金托管人的更换</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_Toc14908 \h </w:instrText>
      </w:r>
      <w:r>
        <w:rPr>
          <w:rFonts w:hint="eastAsia" w:ascii="宋体" w:hAnsi="宋体" w:cs="宋体"/>
          <w:sz w:val="24"/>
        </w:rPr>
        <w:fldChar w:fldCharType="separate"/>
      </w:r>
      <w:r>
        <w:rPr>
          <w:rFonts w:hint="eastAsia" w:ascii="宋体" w:hAnsi="宋体" w:cs="宋体"/>
          <w:sz w:val="24"/>
        </w:rPr>
        <w:t>33</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_Toc5196 </w:instrText>
      </w:r>
      <w:r>
        <w:rPr>
          <w:rFonts w:hint="eastAsia" w:ascii="宋体" w:hAnsi="宋体" w:cs="宋体"/>
          <w:sz w:val="24"/>
          <w:highlight w:val="none"/>
        </w:rPr>
        <w:fldChar w:fldCharType="separate"/>
      </w:r>
      <w:r>
        <w:rPr>
          <w:rFonts w:hint="eastAsia" w:ascii="宋体" w:hAnsi="宋体" w:cs="宋体"/>
          <w:sz w:val="24"/>
          <w:szCs w:val="24"/>
          <w:highlight w:val="none"/>
        </w:rPr>
        <w:t>十五、禁止行为</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_Toc5196 \h </w:instrText>
      </w:r>
      <w:r>
        <w:rPr>
          <w:rFonts w:hint="eastAsia" w:ascii="宋体" w:hAnsi="宋体" w:cs="宋体"/>
          <w:sz w:val="24"/>
        </w:rPr>
        <w:fldChar w:fldCharType="separate"/>
      </w:r>
      <w:r>
        <w:rPr>
          <w:rFonts w:hint="eastAsia" w:ascii="宋体" w:hAnsi="宋体" w:cs="宋体"/>
          <w:sz w:val="24"/>
        </w:rPr>
        <w:t>34</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_Toc17687 </w:instrText>
      </w:r>
      <w:r>
        <w:rPr>
          <w:rFonts w:hint="eastAsia" w:ascii="宋体" w:hAnsi="宋体" w:cs="宋体"/>
          <w:sz w:val="24"/>
          <w:highlight w:val="none"/>
        </w:rPr>
        <w:fldChar w:fldCharType="separate"/>
      </w:r>
      <w:r>
        <w:rPr>
          <w:rFonts w:hint="eastAsia" w:ascii="宋体" w:hAnsi="宋体" w:cs="宋体"/>
          <w:bCs w:val="0"/>
          <w:sz w:val="24"/>
          <w:szCs w:val="24"/>
          <w:highlight w:val="none"/>
        </w:rPr>
        <w:t>十六、托管协议的变更、终止与基金财产的清算</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_Toc17687 \h </w:instrText>
      </w:r>
      <w:r>
        <w:rPr>
          <w:rFonts w:hint="eastAsia" w:ascii="宋体" w:hAnsi="宋体" w:cs="宋体"/>
          <w:sz w:val="24"/>
        </w:rPr>
        <w:fldChar w:fldCharType="separate"/>
      </w:r>
      <w:r>
        <w:rPr>
          <w:rFonts w:hint="eastAsia" w:ascii="宋体" w:hAnsi="宋体" w:cs="宋体"/>
          <w:sz w:val="24"/>
        </w:rPr>
        <w:t>36</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_Toc28724 </w:instrText>
      </w:r>
      <w:r>
        <w:rPr>
          <w:rFonts w:hint="eastAsia" w:ascii="宋体" w:hAnsi="宋体" w:cs="宋体"/>
          <w:sz w:val="24"/>
          <w:highlight w:val="none"/>
        </w:rPr>
        <w:fldChar w:fldCharType="separate"/>
      </w:r>
      <w:r>
        <w:rPr>
          <w:rFonts w:hint="eastAsia" w:ascii="宋体" w:hAnsi="宋体" w:cs="宋体"/>
          <w:sz w:val="24"/>
          <w:szCs w:val="24"/>
          <w:highlight w:val="none"/>
        </w:rPr>
        <w:t>十七、违约责任</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_Toc28724 \h </w:instrText>
      </w:r>
      <w:r>
        <w:rPr>
          <w:rFonts w:hint="eastAsia" w:ascii="宋体" w:hAnsi="宋体" w:cs="宋体"/>
          <w:sz w:val="24"/>
        </w:rPr>
        <w:fldChar w:fldCharType="separate"/>
      </w:r>
      <w:r>
        <w:rPr>
          <w:rFonts w:hint="eastAsia" w:ascii="宋体" w:hAnsi="宋体" w:cs="宋体"/>
          <w:sz w:val="24"/>
        </w:rPr>
        <w:t>37</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_Toc1815 </w:instrText>
      </w:r>
      <w:r>
        <w:rPr>
          <w:rFonts w:hint="eastAsia" w:ascii="宋体" w:hAnsi="宋体" w:cs="宋体"/>
          <w:sz w:val="24"/>
          <w:highlight w:val="none"/>
        </w:rPr>
        <w:fldChar w:fldCharType="separate"/>
      </w:r>
      <w:r>
        <w:rPr>
          <w:rFonts w:hint="eastAsia" w:ascii="宋体" w:hAnsi="宋体" w:cs="宋体"/>
          <w:kern w:val="2"/>
          <w:sz w:val="24"/>
          <w:szCs w:val="24"/>
          <w:highlight w:val="none"/>
        </w:rPr>
        <w:t>十八、</w:t>
      </w:r>
      <w:r>
        <w:rPr>
          <w:rFonts w:hint="eastAsia" w:ascii="宋体" w:hAnsi="宋体" w:cs="宋体"/>
          <w:sz w:val="24"/>
          <w:szCs w:val="24"/>
          <w:highlight w:val="none"/>
        </w:rPr>
        <w:t>争议解决方式</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_Toc1815 \h </w:instrText>
      </w:r>
      <w:r>
        <w:rPr>
          <w:rFonts w:hint="eastAsia" w:ascii="宋体" w:hAnsi="宋体" w:cs="宋体"/>
          <w:sz w:val="24"/>
        </w:rPr>
        <w:fldChar w:fldCharType="separate"/>
      </w:r>
      <w:r>
        <w:rPr>
          <w:rFonts w:hint="eastAsia" w:ascii="宋体" w:hAnsi="宋体" w:cs="宋体"/>
          <w:sz w:val="24"/>
        </w:rPr>
        <w:t>38</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_Toc18348 </w:instrText>
      </w:r>
      <w:r>
        <w:rPr>
          <w:rFonts w:hint="eastAsia" w:ascii="宋体" w:hAnsi="宋体" w:cs="宋体"/>
          <w:sz w:val="24"/>
          <w:highlight w:val="none"/>
        </w:rPr>
        <w:fldChar w:fldCharType="separate"/>
      </w:r>
      <w:r>
        <w:rPr>
          <w:rFonts w:hint="eastAsia" w:ascii="宋体" w:hAnsi="宋体" w:cs="宋体"/>
          <w:sz w:val="24"/>
          <w:szCs w:val="24"/>
          <w:highlight w:val="none"/>
        </w:rPr>
        <w:t>十九、托管协议的效力</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_Toc18348 \h </w:instrText>
      </w:r>
      <w:r>
        <w:rPr>
          <w:rFonts w:hint="eastAsia" w:ascii="宋体" w:hAnsi="宋体" w:cs="宋体"/>
          <w:sz w:val="24"/>
        </w:rPr>
        <w:fldChar w:fldCharType="separate"/>
      </w:r>
      <w:r>
        <w:rPr>
          <w:rFonts w:hint="eastAsia" w:ascii="宋体" w:hAnsi="宋体" w:cs="宋体"/>
          <w:sz w:val="24"/>
        </w:rPr>
        <w:t>39</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_Toc19551 </w:instrText>
      </w:r>
      <w:r>
        <w:rPr>
          <w:rFonts w:hint="eastAsia" w:ascii="宋体" w:hAnsi="宋体" w:cs="宋体"/>
          <w:sz w:val="24"/>
          <w:highlight w:val="none"/>
        </w:rPr>
        <w:fldChar w:fldCharType="separate"/>
      </w:r>
      <w:r>
        <w:rPr>
          <w:rFonts w:hint="eastAsia" w:ascii="宋体" w:hAnsi="宋体" w:cs="宋体"/>
          <w:sz w:val="24"/>
          <w:szCs w:val="24"/>
          <w:highlight w:val="none"/>
        </w:rPr>
        <w:t>二十、其他事项</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_Toc19551 \h </w:instrText>
      </w:r>
      <w:r>
        <w:rPr>
          <w:rFonts w:hint="eastAsia" w:ascii="宋体" w:hAnsi="宋体" w:cs="宋体"/>
          <w:sz w:val="24"/>
        </w:rPr>
        <w:fldChar w:fldCharType="separate"/>
      </w:r>
      <w:r>
        <w:rPr>
          <w:rFonts w:hint="eastAsia" w:ascii="宋体" w:hAnsi="宋体" w:cs="宋体"/>
          <w:sz w:val="24"/>
        </w:rPr>
        <w:t>40</w:t>
      </w:r>
      <w:r>
        <w:rPr>
          <w:rFonts w:hint="eastAsia" w:ascii="宋体" w:hAnsi="宋体" w:cs="宋体"/>
          <w:sz w:val="24"/>
        </w:rPr>
        <w:fldChar w:fldCharType="end"/>
      </w:r>
      <w:r>
        <w:rPr>
          <w:rFonts w:hint="eastAsia" w:ascii="宋体" w:hAnsi="宋体" w:cs="宋体"/>
          <w:sz w:val="24"/>
          <w:highlight w:val="none"/>
        </w:rPr>
        <w:fldChar w:fldCharType="end"/>
      </w:r>
    </w:p>
    <w:p>
      <w:pPr>
        <w:pStyle w:val="17"/>
        <w:tabs>
          <w:tab w:val="right" w:leader="dot" w:pos="8504"/>
        </w:tabs>
        <w:spacing w:line="360" w:lineRule="auto"/>
        <w:rPr>
          <w:rFonts w:hint="eastAsia" w:ascii="宋体" w:hAnsi="宋体" w:cs="宋体"/>
          <w:sz w:val="24"/>
        </w:rPr>
      </w:pPr>
      <w:r>
        <w:rPr>
          <w:rFonts w:hint="eastAsia" w:ascii="宋体" w:hAnsi="宋体" w:cs="宋体"/>
          <w:sz w:val="24"/>
          <w:highlight w:val="none"/>
        </w:rPr>
        <w:fldChar w:fldCharType="begin"/>
      </w:r>
      <w:r>
        <w:rPr>
          <w:rFonts w:hint="eastAsia" w:ascii="宋体" w:hAnsi="宋体" w:cs="宋体"/>
          <w:sz w:val="24"/>
          <w:highlight w:val="none"/>
        </w:rPr>
        <w:instrText xml:space="preserve"> HYPERLINK \l _Toc10338 </w:instrText>
      </w:r>
      <w:r>
        <w:rPr>
          <w:rFonts w:hint="eastAsia" w:ascii="宋体" w:hAnsi="宋体" w:cs="宋体"/>
          <w:sz w:val="24"/>
          <w:highlight w:val="none"/>
        </w:rPr>
        <w:fldChar w:fldCharType="separate"/>
      </w:r>
      <w:r>
        <w:rPr>
          <w:rFonts w:hint="eastAsia" w:ascii="宋体" w:hAnsi="宋体" w:cs="宋体"/>
          <w:sz w:val="24"/>
          <w:szCs w:val="24"/>
          <w:highlight w:val="none"/>
        </w:rPr>
        <w:t>二十一、托管协议的签订</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_Toc10338 \h </w:instrText>
      </w:r>
      <w:r>
        <w:rPr>
          <w:rFonts w:hint="eastAsia" w:ascii="宋体" w:hAnsi="宋体" w:cs="宋体"/>
          <w:sz w:val="24"/>
        </w:rPr>
        <w:fldChar w:fldCharType="separate"/>
      </w:r>
      <w:r>
        <w:rPr>
          <w:rFonts w:hint="eastAsia" w:ascii="宋体" w:hAnsi="宋体" w:cs="宋体"/>
          <w:sz w:val="24"/>
        </w:rPr>
        <w:t>41</w:t>
      </w:r>
      <w:r>
        <w:rPr>
          <w:rFonts w:hint="eastAsia" w:ascii="宋体" w:hAnsi="宋体" w:cs="宋体"/>
          <w:sz w:val="24"/>
        </w:rPr>
        <w:fldChar w:fldCharType="end"/>
      </w:r>
      <w:r>
        <w:rPr>
          <w:rFonts w:hint="eastAsia" w:ascii="宋体" w:hAnsi="宋体" w:cs="宋体"/>
          <w:sz w:val="24"/>
          <w:highlight w:val="none"/>
        </w:rPr>
        <w:fldChar w:fldCharType="end"/>
      </w:r>
    </w:p>
    <w:p>
      <w:pPr>
        <w:spacing w:line="360" w:lineRule="auto"/>
        <w:rPr>
          <w:rFonts w:ascii="宋体" w:hAnsi="宋体" w:cs="宋体"/>
          <w:sz w:val="24"/>
          <w:highlight w:val="none"/>
        </w:rPr>
      </w:pPr>
      <w:r>
        <w:rPr>
          <w:rFonts w:hint="eastAsia" w:ascii="宋体" w:hAnsi="宋体" w:cs="宋体"/>
          <w:sz w:val="24"/>
          <w:highlight w:val="none"/>
        </w:rPr>
        <w:fldChar w:fldCharType="end"/>
      </w:r>
    </w:p>
    <w:p>
      <w:pPr>
        <w:rPr>
          <w:rFonts w:ascii="宋体" w:hAnsi="宋体" w:cs="宋体"/>
          <w:highlight w:val="none"/>
        </w:rPr>
      </w:pPr>
    </w:p>
    <w:p>
      <w:pPr>
        <w:rPr>
          <w:rFonts w:ascii="宋体" w:hAnsi="宋体" w:cs="宋体"/>
          <w:highlight w:val="none"/>
        </w:rPr>
        <w:sectPr>
          <w:headerReference r:id="rId3" w:type="default"/>
          <w:footerReference r:id="rId4" w:type="default"/>
          <w:pgSz w:w="11906" w:h="16838"/>
          <w:pgMar w:top="1418" w:right="1701" w:bottom="1418" w:left="1701" w:header="851" w:footer="992" w:gutter="0"/>
          <w:pgNumType w:start="1"/>
          <w:cols w:space="425" w:num="1"/>
          <w:docGrid w:type="lines" w:linePitch="312" w:charSpace="0"/>
        </w:sectPr>
      </w:pPr>
    </w:p>
    <w:p>
      <w:pPr>
        <w:rPr>
          <w:rFonts w:ascii="宋体" w:hAnsi="宋体" w:cs="宋体"/>
          <w:highlight w:val="none"/>
        </w:rPr>
      </w:pPr>
    </w:p>
    <w:p>
      <w:pPr>
        <w:widowControl/>
        <w:spacing w:line="360" w:lineRule="auto"/>
        <w:ind w:firstLine="480" w:firstLineChars="200"/>
        <w:rPr>
          <w:rFonts w:ascii="宋体" w:hAnsi="宋体" w:cs="宋体"/>
          <w:sz w:val="24"/>
          <w:highlight w:val="none"/>
        </w:rPr>
      </w:pPr>
      <w:bookmarkStart w:id="6" w:name="OLE_LINK245"/>
      <w:bookmarkStart w:id="7" w:name="OLE_LINK244"/>
      <w:r>
        <w:rPr>
          <w:rFonts w:hint="eastAsia" w:ascii="宋体" w:hAnsi="宋体" w:cs="宋体"/>
          <w:sz w:val="24"/>
          <w:highlight w:val="none"/>
        </w:rPr>
        <w:t>鉴于东方阿尔法基金管理有限公司系一家依照中国法律合法成立并有效存续的有限责任公司，按照相关法律法规的规定具备担任基金管理人的资格和能力，拟募集发行东方阿尔法</w:t>
      </w:r>
      <w:bookmarkStart w:id="8" w:name="OLE_LINK319"/>
      <w:bookmarkStart w:id="9" w:name="OLE_LINK318"/>
      <w:r>
        <w:rPr>
          <w:rFonts w:hint="eastAsia" w:ascii="宋体" w:hAnsi="宋体" w:cs="宋体"/>
          <w:sz w:val="24"/>
          <w:highlight w:val="none"/>
        </w:rPr>
        <w:t>聚利</w:t>
      </w:r>
      <w:bookmarkEnd w:id="8"/>
      <w:bookmarkEnd w:id="9"/>
      <w:r>
        <w:rPr>
          <w:rFonts w:hint="eastAsia" w:ascii="宋体" w:hAnsi="宋体" w:cs="宋体"/>
          <w:sz w:val="24"/>
          <w:highlight w:val="none"/>
        </w:rPr>
        <w:t>63个月封闭式债券型证券投资基金；</w:t>
      </w:r>
    </w:p>
    <w:p>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鉴于招商银行股份有限公司系一家依照中国法律合法成立并有效存续的银行，按照相关法律法规的规定具备担任基金托管人的资格和能力；</w:t>
      </w:r>
    </w:p>
    <w:p>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鉴于东方阿尔法基金管理有限公司拟担任东方阿尔法聚利63个月封闭式债券型证券投资基金的基金管理人，招商银行股份有限公司拟担任东方阿尔法聚利63个月封闭式债券型证券投资基金的基金托管人；</w:t>
      </w:r>
    </w:p>
    <w:p>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为明确东方阿尔法聚利63个月封闭式债券型证券投资基金（以下简称“基金”或“本基金”）的基金管理人和基金托管人之间的权利义务关系，特制订本托管协议；</w:t>
      </w:r>
    </w:p>
    <w:p>
      <w:pPr>
        <w:widowControl/>
        <w:spacing w:line="360" w:lineRule="auto"/>
        <w:ind w:firstLine="480" w:firstLineChars="200"/>
        <w:rPr>
          <w:rFonts w:ascii="宋体" w:hAnsi="宋体" w:cs="宋体"/>
          <w:sz w:val="24"/>
          <w:highlight w:val="none"/>
          <w:lang w:val="en-GB"/>
        </w:rPr>
      </w:pPr>
      <w:r>
        <w:rPr>
          <w:rFonts w:hint="eastAsia" w:ascii="宋体" w:hAnsi="宋体" w:cs="宋体"/>
          <w:sz w:val="24"/>
          <w:highlight w:val="none"/>
          <w:lang w:val="en-GB"/>
        </w:rPr>
        <w:t>除非另有约定，《</w:t>
      </w:r>
      <w:r>
        <w:rPr>
          <w:rFonts w:hint="eastAsia" w:ascii="宋体" w:hAnsi="宋体" w:cs="宋体"/>
          <w:sz w:val="24"/>
          <w:highlight w:val="none"/>
        </w:rPr>
        <w:t>东方阿尔法聚利63个月封闭式债券型证券投资基金</w:t>
      </w:r>
      <w:r>
        <w:rPr>
          <w:rFonts w:hint="eastAsia" w:ascii="宋体" w:hAnsi="宋体" w:cs="宋体"/>
          <w:sz w:val="24"/>
          <w:highlight w:val="none"/>
          <w:lang w:val="en-GB"/>
        </w:rPr>
        <w:t>基金合同》(以下简称“基金合同”)中定义的术语在用于本托管协议时应具有相同的含义，若有抵触应以基金合同为准。</w:t>
      </w:r>
    </w:p>
    <w:bookmarkEnd w:id="6"/>
    <w:bookmarkEnd w:id="7"/>
    <w:p>
      <w:pPr>
        <w:widowControl/>
        <w:spacing w:line="360" w:lineRule="auto"/>
        <w:ind w:firstLine="480" w:firstLineChars="200"/>
        <w:rPr>
          <w:rFonts w:hint="eastAsia" w:ascii="宋体" w:hAnsi="宋体" w:cs="宋体"/>
          <w:sz w:val="24"/>
          <w:highlight w:val="none"/>
          <w:lang w:val="en-GB"/>
        </w:rPr>
      </w:pPr>
      <w:r>
        <w:rPr>
          <w:rFonts w:hint="eastAsia" w:ascii="宋体" w:hAnsi="宋体" w:cs="宋体"/>
          <w:sz w:val="24"/>
          <w:highlight w:val="none"/>
          <w:lang w:val="en-GB"/>
        </w:rPr>
        <w:t>基金管理人应按中国反洗钱等相关法律法规相关要求履行各项反洗钱和反恐怖融资等义务。在建立业务关系时，根据客户特征和交易活动性质、风险状况，采取符合要求的客户尽职调查措施，尽职调查内容包括但不限于获得投资者身份、财产与收入状况、资金及财富来源、投资经验、风险认知与承受能力和投资偏好等相关的信息和资料，识别并采取合理措施核实基金的受益所有人。在业务关系存续期间，持续关注并评估基金的整体状况和交易情况，了解洗钱、恐怖融资、制裁风险状况，发现交易与客户身份、风险状况等不符的，应当进一步核实相关情况；对存在洗钱、恐怖融资、制裁高风险情形的，应当采取相应的强化尽职调查措施，必要时可以采取与风险相匹配的风险管理措施；在法律法规允许范围内，配合基金托管人开展尽职调查，提供相关客户身份信息和资料；妥善保管、更新客户及投资者身份资料及交易记录；根据反洗钱等相关法律法规，要求投资者积极配合完成尽职调查等必要程序；与基金托管人在法律法规允许范围内积极开展反洗钱与制裁合规领域的信息支持与合作；落实反洗钱等相关法律法规要求的其他合规相关工作。</w:t>
      </w:r>
    </w:p>
    <w:p>
      <w:pPr>
        <w:widowControl/>
        <w:spacing w:line="360" w:lineRule="auto"/>
        <w:ind w:firstLine="480" w:firstLineChars="200"/>
        <w:rPr>
          <w:rFonts w:hint="eastAsia" w:ascii="宋体" w:hAnsi="宋体" w:cs="宋体"/>
          <w:sz w:val="24"/>
          <w:highlight w:val="none"/>
          <w:lang w:val="en-GB"/>
        </w:rPr>
      </w:pPr>
      <w:r>
        <w:rPr>
          <w:rFonts w:hint="eastAsia" w:ascii="宋体" w:hAnsi="宋体" w:cs="宋体"/>
          <w:sz w:val="24"/>
          <w:highlight w:val="none"/>
          <w:lang w:val="en-GB"/>
        </w:rPr>
        <w:t>基金管理人应采取适当措施，确保该基金的受益所有人、受益人、委托人及其主要关联方、投资者及其主要关联方等不得为我国有关机关发布的反洗钱特别预防措施名单所列对象，不得为联合国、我国及其他可适用的反洗钱、反恐怖融资、制裁名单所列对象，或中国人民银行及其他监管机构要求执行的反洗钱和反恐怖融资名单。</w:t>
      </w:r>
    </w:p>
    <w:p>
      <w:pPr>
        <w:widowControl/>
        <w:spacing w:line="360" w:lineRule="auto"/>
        <w:ind w:firstLine="480" w:firstLineChars="200"/>
        <w:rPr>
          <w:rFonts w:hint="eastAsia" w:ascii="宋体" w:hAnsi="宋体" w:cs="宋体"/>
          <w:sz w:val="24"/>
          <w:highlight w:val="none"/>
          <w:lang w:val="en-GB"/>
        </w:rPr>
      </w:pPr>
      <w:r>
        <w:rPr>
          <w:rFonts w:hint="eastAsia" w:ascii="宋体" w:hAnsi="宋体" w:cs="宋体"/>
          <w:sz w:val="24"/>
          <w:highlight w:val="none"/>
          <w:lang w:val="en-GB"/>
        </w:rPr>
        <w:t>基金管理人承诺基金的投资行为、资金交易不得违反我国、联合国及其他可适用的有关制裁项目或反洗钱法律法规，或用于其他洗钱、恐怖融资、逃税、欺诈等违法违规用途，以及交易对手方不得触发反洗钱与制裁名单。</w:t>
      </w:r>
    </w:p>
    <w:p>
      <w:pPr>
        <w:widowControl/>
        <w:spacing w:line="360" w:lineRule="auto"/>
        <w:ind w:firstLine="480" w:firstLineChars="200"/>
        <w:rPr>
          <w:rFonts w:ascii="宋体" w:hAnsi="宋体" w:cs="宋体"/>
          <w:sz w:val="24"/>
          <w:highlight w:val="none"/>
          <w:lang w:val="en-GB"/>
        </w:rPr>
      </w:pPr>
      <w:r>
        <w:rPr>
          <w:rFonts w:hint="eastAsia" w:ascii="宋体" w:hAnsi="宋体" w:cs="宋体"/>
          <w:sz w:val="24"/>
          <w:highlight w:val="none"/>
          <w:lang w:val="en-GB"/>
        </w:rPr>
        <w:t>对于该基金的受益所有人、受益人、委托人及其主要关联方、投资者及其主要关联方等为我国有关机关发布的反洗钱特别预防措施名单所列对象，或该基金的投资行为、资金交易违反我国、联合国及其他可适用的制裁或反洗钱法律法规，或用于其他洗钱、恐怖融资、逃税、欺诈等违法违规用途，以及交易对手方触发反洗钱与制裁名单的，基金托管人有权不予划款，或配合结算交收。</w:t>
      </w:r>
    </w:p>
    <w:p>
      <w:pPr>
        <w:spacing w:line="360" w:lineRule="auto"/>
        <w:ind w:firstLine="480" w:firstLineChars="200"/>
        <w:rPr>
          <w:rFonts w:ascii="宋体" w:hAnsi="宋体" w:cs="宋体"/>
          <w:sz w:val="24"/>
          <w:highlight w:val="none"/>
          <w:lang w:val="en-GB"/>
        </w:rPr>
      </w:pPr>
    </w:p>
    <w:p>
      <w:pPr>
        <w:pStyle w:val="2"/>
        <w:jc w:val="center"/>
        <w:rPr>
          <w:rFonts w:ascii="宋体" w:hAnsi="宋体" w:cs="宋体"/>
          <w:sz w:val="30"/>
          <w:szCs w:val="24"/>
          <w:highlight w:val="none"/>
        </w:rPr>
      </w:pPr>
      <w:r>
        <w:rPr>
          <w:rFonts w:hint="eastAsia" w:ascii="宋体" w:hAnsi="宋体" w:cs="宋体"/>
          <w:sz w:val="21"/>
          <w:szCs w:val="24"/>
          <w:highlight w:val="none"/>
        </w:rPr>
        <w:br w:type="page"/>
      </w:r>
      <w:bookmarkStart w:id="10" w:name="_Toc384992691"/>
      <w:bookmarkStart w:id="11" w:name="_Toc449"/>
      <w:bookmarkStart w:id="12" w:name="_Toc348082029"/>
      <w:bookmarkStart w:id="13" w:name="_Toc15390"/>
      <w:bookmarkStart w:id="14" w:name="_Toc27252"/>
      <w:r>
        <w:rPr>
          <w:rFonts w:hint="eastAsia" w:ascii="宋体" w:hAnsi="宋体" w:cs="宋体"/>
          <w:sz w:val="30"/>
          <w:szCs w:val="30"/>
          <w:highlight w:val="none"/>
        </w:rPr>
        <w:t>一、基金托管协议当事人</w:t>
      </w:r>
      <w:bookmarkEnd w:id="10"/>
      <w:bookmarkEnd w:id="11"/>
      <w:bookmarkEnd w:id="12"/>
      <w:bookmarkEnd w:id="13"/>
      <w:bookmarkEnd w:id="14"/>
    </w:p>
    <w:p>
      <w:pPr>
        <w:spacing w:line="360" w:lineRule="auto"/>
        <w:ind w:firstLine="480" w:firstLineChars="200"/>
        <w:rPr>
          <w:rFonts w:ascii="宋体" w:hAnsi="宋体" w:cs="宋体"/>
          <w:sz w:val="24"/>
          <w:highlight w:val="none"/>
        </w:rPr>
      </w:pPr>
      <w:r>
        <w:rPr>
          <w:rFonts w:hint="eastAsia" w:ascii="宋体" w:hAnsi="宋体" w:cs="宋体"/>
          <w:sz w:val="24"/>
          <w:highlight w:val="none"/>
        </w:rPr>
        <w:t>（一）基金管理人（也可称资产管理人）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名称：东方阿尔法基金管理有限公司</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住所：深圳市福田区莲花街道紫荆社区深南大道6008号深圳特区报业大厦23楼BC</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办公地址：深圳市福田区莲花街道紫荆社区深南大道6008号深圳特区报业大厦23楼BC</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邮政编码：518034</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法定代表人：刘明</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成立时间：2017年7月4日</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批准设立机关：中国证券监督管理委员会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批准设立文号： 证监许可〔2017〕1031号</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组织形式：有限责任公司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注册资本：人民币1亿元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存续期间：持续经营</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经营范围：公开募集证券投资基金管理；基金销售；特定客户资产管理。</w:t>
      </w:r>
    </w:p>
    <w:p>
      <w:pPr>
        <w:spacing w:line="360" w:lineRule="auto"/>
        <w:ind w:firstLine="480" w:firstLineChars="200"/>
        <w:rPr>
          <w:rFonts w:ascii="宋体" w:hAnsi="宋体" w:cs="宋体"/>
          <w:sz w:val="24"/>
          <w:highlight w:val="none"/>
        </w:rPr>
      </w:pP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（二）基金托管人（也可称资产托管人）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名称：招商银行股份有限公司(简称：招商银行)</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住所：深圳市深南大道7088号招商银行大厦</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办公地址：深圳市深南大道7088号招商银行大厦</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邮政编码：518040</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法定代表人：缪建民</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成立时间：1987年3月31日</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基金托管业务批准文号：证监基金字[2002]83号</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组织形式：股份有限公司</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注册资本：人民币252.20亿元</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存续期间：持续经营</w:t>
      </w:r>
    </w:p>
    <w:p>
      <w:pPr>
        <w:pStyle w:val="2"/>
        <w:jc w:val="center"/>
        <w:rPr>
          <w:rFonts w:ascii="宋体" w:hAnsi="宋体" w:cs="宋体"/>
          <w:sz w:val="30"/>
          <w:szCs w:val="30"/>
          <w:highlight w:val="none"/>
        </w:rPr>
      </w:pPr>
      <w:bookmarkStart w:id="15" w:name="_Toc31118"/>
      <w:bookmarkStart w:id="16" w:name="_Toc26167"/>
      <w:r>
        <w:rPr>
          <w:rFonts w:hint="eastAsia" w:ascii="宋体" w:hAnsi="宋体" w:cs="宋体"/>
          <w:sz w:val="30"/>
          <w:szCs w:val="30"/>
          <w:highlight w:val="none"/>
        </w:rPr>
        <w:t>二、</w:t>
      </w:r>
      <w:bookmarkStart w:id="17" w:name="_Toc348082030"/>
      <w:bookmarkStart w:id="18" w:name="_Toc384992692"/>
      <w:bookmarkStart w:id="19" w:name="_Toc2183"/>
      <w:r>
        <w:rPr>
          <w:rFonts w:hint="eastAsia" w:ascii="宋体" w:hAnsi="宋体" w:cs="宋体"/>
          <w:sz w:val="30"/>
          <w:szCs w:val="30"/>
          <w:highlight w:val="none"/>
        </w:rPr>
        <w:t>基金托管协议的依据、目的和原则</w:t>
      </w:r>
      <w:bookmarkEnd w:id="15"/>
      <w:bookmarkEnd w:id="16"/>
      <w:bookmarkEnd w:id="17"/>
      <w:bookmarkEnd w:id="18"/>
      <w:bookmarkEnd w:id="19"/>
    </w:p>
    <w:p>
      <w:pPr>
        <w:spacing w:line="360" w:lineRule="auto"/>
        <w:ind w:firstLine="480" w:firstLineChars="200"/>
        <w:rPr>
          <w:rFonts w:ascii="宋体" w:hAnsi="宋体" w:cs="宋体"/>
          <w:sz w:val="24"/>
          <w:highlight w:val="none"/>
        </w:rPr>
      </w:pPr>
      <w:r>
        <w:rPr>
          <w:rFonts w:hint="eastAsia" w:ascii="宋体" w:hAnsi="宋体" w:cs="宋体"/>
          <w:sz w:val="24"/>
          <w:highlight w:val="none"/>
        </w:rPr>
        <w:t>（一）订立托管协议的依据</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本协议依据《中华人民共和国证券投资基金法》(以下简称“《基金法》”)、《公开募集证券投资基金运作管理办法》（以下简称“《运作办法》”）、《公开募集证券投资基金信息披露管理办法》（以下简称</w:t>
      </w:r>
      <w:bookmarkStart w:id="20" w:name="OLE_LINK246"/>
      <w:bookmarkStart w:id="21" w:name="OLE_LINK247"/>
      <w:r>
        <w:rPr>
          <w:rFonts w:hint="eastAsia" w:ascii="宋体" w:hAnsi="宋体" w:cs="宋体"/>
          <w:sz w:val="24"/>
          <w:highlight w:val="none"/>
        </w:rPr>
        <w:t>“《</w:t>
      </w:r>
      <w:bookmarkEnd w:id="20"/>
      <w:bookmarkEnd w:id="21"/>
      <w:r>
        <w:rPr>
          <w:rFonts w:hint="eastAsia" w:ascii="宋体" w:hAnsi="宋体" w:cs="宋体"/>
          <w:sz w:val="24"/>
          <w:highlight w:val="none"/>
        </w:rPr>
        <w:t>信息披露办法》”）等有关法律法规、基金合同及其他有关规定制订。</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（二）订立托管协议的目的</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（三）订立托管协议的原则</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基金管理人和基金托管人本着平等自愿、诚实信用、充分保护基金份额持有人合法权益的原则，经协商一致，签订本协议。</w:t>
      </w:r>
    </w:p>
    <w:p>
      <w:pPr>
        <w:spacing w:line="360" w:lineRule="auto"/>
        <w:ind w:firstLine="480" w:firstLineChars="200"/>
        <w:rPr>
          <w:rFonts w:ascii="宋体" w:hAnsi="宋体" w:cs="宋体"/>
          <w:sz w:val="24"/>
          <w:highlight w:val="none"/>
        </w:rPr>
      </w:pPr>
    </w:p>
    <w:p>
      <w:pPr>
        <w:spacing w:line="360" w:lineRule="auto"/>
        <w:ind w:firstLine="480" w:firstLineChars="200"/>
        <w:rPr>
          <w:rFonts w:ascii="宋体" w:hAnsi="宋体" w:cs="宋体"/>
          <w:sz w:val="24"/>
          <w:highlight w:val="none"/>
        </w:rPr>
      </w:pPr>
    </w:p>
    <w:p>
      <w:pPr>
        <w:pStyle w:val="2"/>
        <w:jc w:val="center"/>
        <w:rPr>
          <w:rFonts w:ascii="宋体" w:hAnsi="宋体" w:cs="宋体"/>
          <w:sz w:val="30"/>
          <w:szCs w:val="24"/>
          <w:highlight w:val="none"/>
        </w:rPr>
      </w:pPr>
      <w:r>
        <w:rPr>
          <w:rFonts w:hint="eastAsia" w:ascii="宋体" w:hAnsi="宋体" w:cs="宋体"/>
          <w:sz w:val="24"/>
          <w:szCs w:val="24"/>
          <w:highlight w:val="none"/>
        </w:rPr>
        <w:br w:type="page"/>
      </w:r>
      <w:bookmarkStart w:id="22" w:name="_Toc30630"/>
      <w:bookmarkStart w:id="23" w:name="_Toc348082031"/>
      <w:bookmarkStart w:id="24" w:name="_Toc384992693"/>
      <w:bookmarkStart w:id="25" w:name="_Toc1109"/>
      <w:bookmarkStart w:id="26" w:name="_Toc1620"/>
      <w:r>
        <w:rPr>
          <w:rFonts w:hint="eastAsia" w:ascii="宋体" w:hAnsi="宋体" w:cs="宋体"/>
          <w:sz w:val="30"/>
          <w:szCs w:val="30"/>
          <w:highlight w:val="none"/>
        </w:rPr>
        <w:t>三、基金托管人对基金管理人的业务监督和核查</w:t>
      </w:r>
      <w:bookmarkEnd w:id="22"/>
      <w:bookmarkEnd w:id="23"/>
      <w:bookmarkEnd w:id="24"/>
      <w:bookmarkEnd w:id="25"/>
      <w:bookmarkEnd w:id="26"/>
    </w:p>
    <w:p>
      <w:pPr>
        <w:spacing w:line="360" w:lineRule="auto"/>
        <w:ind w:firstLine="480" w:firstLineChars="200"/>
        <w:rPr>
          <w:rFonts w:ascii="宋体" w:hAnsi="宋体" w:cs="宋体"/>
          <w:sz w:val="24"/>
          <w:highlight w:val="none"/>
        </w:rPr>
      </w:pPr>
      <w:r>
        <w:rPr>
          <w:rFonts w:hint="eastAsia" w:ascii="宋体" w:hAnsi="宋体" w:cs="宋体"/>
          <w:sz w:val="24"/>
          <w:highlight w:val="none"/>
        </w:rPr>
        <w:t>（一）基金托管人根据有关法律法规的规定以及《基金合同》的约定，对基金投资范围、投资比例、投资限制、关联方交易等进行监督。</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1.本基金的投资范围为：</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本基金的投资范围为具有良好流动性的金融工具，包括国内依法发行的债券（国债、金融债、央行票据、地方政府债、企业债、公司债、中期票据、短期融资券、超短期融资券、政府支持机构债券、政府支持债券、证券公司短期公司债券、公开发行的次级债）、资产支持证券、债券回购、银行存款（包括协议存款、通知存款、定期存款及其他银行存款）、货币市场工具、同业存单以及法律法规或中国证监会允许基金投资的其他金融工具（但须符合中国证监会的相关规定）。</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本基金不投资于股票等权益类资产，也不投资于可转换债券、可交换债券。</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如法律法规或监管机构以后允许基金投资其他品种，基金管理人在履行适当程序后，可以将</w:t>
      </w:r>
      <w:bookmarkStart w:id="27" w:name="OLE_LINK119"/>
      <w:bookmarkStart w:id="28" w:name="OLE_LINK118"/>
      <w:r>
        <w:rPr>
          <w:rFonts w:hint="eastAsia" w:ascii="宋体" w:hAnsi="宋体" w:cs="宋体"/>
          <w:sz w:val="24"/>
          <w:szCs w:val="24"/>
        </w:rPr>
        <w:t>其纳入投资范围。</w:t>
      </w:r>
    </w:p>
    <w:bookmarkEnd w:id="27"/>
    <w:bookmarkEnd w:id="28"/>
    <w:p>
      <w:pPr>
        <w:spacing w:line="360" w:lineRule="auto"/>
        <w:ind w:firstLine="480"/>
        <w:rPr>
          <w:rFonts w:hint="eastAsia" w:ascii="宋体" w:hAnsi="宋体" w:cs="宋体"/>
          <w:sz w:val="24"/>
          <w:szCs w:val="24"/>
        </w:rPr>
      </w:pPr>
      <w:bookmarkStart w:id="29" w:name="OLE_LINK33"/>
      <w:r>
        <w:rPr>
          <w:rFonts w:hint="eastAsia" w:ascii="宋体" w:hAnsi="宋体" w:cs="宋体"/>
          <w:sz w:val="24"/>
          <w:szCs w:val="24"/>
        </w:rPr>
        <w:t>基金的投资组合比例为：</w:t>
      </w:r>
      <w:bookmarkStart w:id="30" w:name="OLE_LINK132"/>
      <w:bookmarkStart w:id="31" w:name="OLE_LINK133"/>
      <w:r>
        <w:rPr>
          <w:rFonts w:hint="eastAsia" w:ascii="宋体" w:hAnsi="宋体" w:cs="宋体"/>
          <w:sz w:val="24"/>
          <w:szCs w:val="24"/>
        </w:rPr>
        <w:t>本基金投资于债券资产的比例不低于基金资产的80%，但在封闭期结束前3个月可不受前述投资组合比例的限制。</w:t>
      </w:r>
      <w:bookmarkEnd w:id="29"/>
      <w:bookmarkEnd w:id="30"/>
      <w:bookmarkEnd w:id="31"/>
      <w:bookmarkStart w:id="32" w:name="OLE_LINK134"/>
      <w:bookmarkStart w:id="33" w:name="OLE_LINK135"/>
    </w:p>
    <w:p>
      <w:pPr>
        <w:spacing w:line="360" w:lineRule="auto"/>
        <w:ind w:firstLine="480"/>
        <w:rPr>
          <w:rFonts w:hint="eastAsia" w:ascii="宋体" w:hAnsi="宋体" w:cs="宋体"/>
          <w:sz w:val="24"/>
          <w:szCs w:val="24"/>
        </w:rPr>
      </w:pPr>
      <w:r>
        <w:rPr>
          <w:rFonts w:hint="eastAsia" w:ascii="宋体" w:hAnsi="宋体" w:cs="宋体"/>
          <w:sz w:val="24"/>
          <w:szCs w:val="24"/>
        </w:rPr>
        <w:t>如法律法规或中国证监会变更投资品种的投资比例限制，基金管理人在履 行适当程序后，可以调整上述投资品种的投资比例。</w:t>
      </w:r>
    </w:p>
    <w:bookmarkEnd w:id="32"/>
    <w:bookmarkEnd w:id="33"/>
    <w:p>
      <w:pPr>
        <w:numPr>
          <w:ilvl w:val="0"/>
          <w:numId w:val="1"/>
        </w:numPr>
        <w:spacing w:line="360" w:lineRule="auto"/>
        <w:ind w:firstLine="480" w:firstLineChars="200"/>
        <w:rPr>
          <w:rFonts w:ascii="宋体" w:hAnsi="宋体" w:cs="宋体"/>
          <w:sz w:val="24"/>
          <w:highlight w:val="none"/>
        </w:rPr>
      </w:pPr>
      <w:r>
        <w:rPr>
          <w:rFonts w:hint="eastAsia" w:ascii="宋体" w:hAnsi="宋体" w:cs="宋体"/>
          <w:sz w:val="24"/>
          <w:highlight w:val="none"/>
        </w:rPr>
        <w:t>本基金各类品种的投资比例、投资限制为：</w:t>
      </w:r>
    </w:p>
    <w:p>
      <w:pPr>
        <w:numPr>
          <w:ilvl w:val="255"/>
          <w:numId w:val="0"/>
        </w:numPr>
        <w:spacing w:line="360" w:lineRule="auto"/>
        <w:ind w:firstLine="480" w:firstLineChars="200"/>
        <w:rPr>
          <w:rFonts w:ascii="宋体" w:hAnsi="宋体" w:cs="宋体"/>
          <w:sz w:val="24"/>
          <w:highlight w:val="none"/>
        </w:rPr>
      </w:pPr>
      <w:r>
        <w:rPr>
          <w:rFonts w:ascii="宋体" w:hAnsi="宋体" w:cs="宋体"/>
          <w:sz w:val="24"/>
          <w:highlight w:val="none"/>
        </w:rPr>
        <w:t>基金的投资组合比例为：本基金投资于债券资产的比例不低于基金资产的80%，但在封闭期结束前3个月可不受前述投资组合比例的限制。</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基金的投资组合应遵循以下限制：</w:t>
      </w:r>
    </w:p>
    <w:p>
      <w:pPr>
        <w:numPr>
          <w:ilvl w:val="255"/>
          <w:numId w:val="0"/>
        </w:num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ascii="宋体" w:hAnsi="宋体" w:eastAsia="宋体" w:cs="宋体"/>
          <w:sz w:val="24"/>
          <w:highlight w:val="none"/>
        </w:rPr>
        <w:t>1）在封闭期内，本基金投资的各类金融工具的到期日（或回售日）不得晚于该封闭期的最后一日；</w:t>
      </w:r>
    </w:p>
    <w:p>
      <w:pPr>
        <w:numPr>
          <w:ilvl w:val="255"/>
          <w:numId w:val="0"/>
        </w:numPr>
        <w:spacing w:line="360" w:lineRule="auto"/>
        <w:ind w:firstLine="480" w:firstLineChars="200"/>
        <w:rPr>
          <w:rFonts w:ascii="宋体" w:hAnsi="宋体" w:cs="宋体"/>
          <w:sz w:val="24"/>
          <w:highlight w:val="none"/>
        </w:rPr>
      </w:pPr>
      <w:bookmarkStart w:id="34" w:name="OLE_LINK251"/>
      <w:bookmarkStart w:id="35" w:name="OLE_LINK250"/>
      <w:r>
        <w:rPr>
          <w:rFonts w:hint="eastAsia" w:ascii="宋体" w:hAnsi="宋体" w:cs="宋体"/>
          <w:sz w:val="24"/>
          <w:highlight w:val="none"/>
        </w:rPr>
        <w:t>（2）本基金投资于债券资产的比例不低于基金资产的80%，但在封闭期结束前3个月可不受前述投资组合比例的限制；</w:t>
      </w:r>
    </w:p>
    <w:bookmarkEnd w:id="34"/>
    <w:bookmarkEnd w:id="35"/>
    <w:p>
      <w:pPr>
        <w:numPr>
          <w:ilvl w:val="255"/>
          <w:numId w:val="0"/>
        </w:num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hint="eastAsia" w:ascii="宋体" w:hAnsi="宋体" w:cs="宋体"/>
          <w:sz w:val="24"/>
          <w:highlight w:val="none"/>
        </w:rPr>
        <w:t>3</w:t>
      </w:r>
      <w:r>
        <w:rPr>
          <w:rFonts w:hint="eastAsia" w:ascii="宋体" w:hAnsi="宋体" w:eastAsia="宋体" w:cs="宋体"/>
          <w:sz w:val="24"/>
          <w:highlight w:val="none"/>
        </w:rPr>
        <w:t>）本基金持有一家公司发行的证券，其市值不超过基金资产净值的</w:t>
      </w:r>
      <w:r>
        <w:rPr>
          <w:rFonts w:ascii="宋体" w:hAnsi="宋体" w:eastAsia="宋体" w:cs="宋体"/>
          <w:sz w:val="24"/>
          <w:highlight w:val="none"/>
        </w:rPr>
        <w:t>10%；</w:t>
      </w:r>
    </w:p>
    <w:p>
      <w:pPr>
        <w:numPr>
          <w:ilvl w:val="255"/>
          <w:numId w:val="0"/>
        </w:num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hint="eastAsia" w:ascii="宋体" w:hAnsi="宋体" w:cs="宋体"/>
          <w:sz w:val="24"/>
          <w:highlight w:val="none"/>
        </w:rPr>
        <w:t>4</w:t>
      </w:r>
      <w:r>
        <w:rPr>
          <w:rFonts w:hint="eastAsia" w:ascii="宋体" w:hAnsi="宋体" w:eastAsia="宋体" w:cs="宋体"/>
          <w:sz w:val="24"/>
          <w:highlight w:val="none"/>
        </w:rPr>
        <w:t>）本基金管理人管理的全部基金持有一家公司发行的证券，不超过该证券的</w:t>
      </w:r>
      <w:r>
        <w:rPr>
          <w:rFonts w:ascii="宋体" w:hAnsi="宋体" w:eastAsia="宋体" w:cs="宋体"/>
          <w:sz w:val="24"/>
          <w:highlight w:val="none"/>
        </w:rPr>
        <w:t>10%，完全按照有关指数的构成比例进行证券投资的基金品种可以不受此条款规定的比例限制；</w:t>
      </w:r>
    </w:p>
    <w:p>
      <w:pPr>
        <w:numPr>
          <w:ilvl w:val="255"/>
          <w:numId w:val="0"/>
        </w:num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hint="eastAsia" w:ascii="宋体" w:hAnsi="宋体" w:cs="宋体"/>
          <w:sz w:val="24"/>
          <w:highlight w:val="none"/>
        </w:rPr>
        <w:t>5</w:t>
      </w:r>
      <w:r>
        <w:rPr>
          <w:rFonts w:hint="eastAsia" w:ascii="宋体" w:hAnsi="宋体" w:eastAsia="宋体" w:cs="宋体"/>
          <w:sz w:val="24"/>
          <w:highlight w:val="none"/>
        </w:rPr>
        <w:t>）本基金投资于同一原始权益人的各类资产支持证券的比例，不得超过基金资产净值的</w:t>
      </w:r>
      <w:r>
        <w:rPr>
          <w:rFonts w:ascii="宋体" w:hAnsi="宋体" w:eastAsia="宋体" w:cs="宋体"/>
          <w:sz w:val="24"/>
          <w:highlight w:val="none"/>
        </w:rPr>
        <w:t>10%；</w:t>
      </w:r>
    </w:p>
    <w:p>
      <w:pPr>
        <w:numPr>
          <w:ilvl w:val="255"/>
          <w:numId w:val="0"/>
        </w:numPr>
        <w:spacing w:line="360" w:lineRule="auto"/>
        <w:ind w:firstLine="480" w:firstLineChars="200"/>
        <w:jc w:val="left"/>
        <w:rPr>
          <w:rFonts w:ascii="宋体" w:hAnsi="宋体" w:eastAsia="宋体" w:cs="宋体"/>
          <w:sz w:val="24"/>
          <w:highlight w:val="none"/>
        </w:rPr>
      </w:pPr>
      <w:r>
        <w:rPr>
          <w:rFonts w:hint="eastAsia" w:ascii="宋体" w:hAnsi="宋体" w:eastAsia="宋体" w:cs="宋体"/>
          <w:sz w:val="24"/>
          <w:highlight w:val="none"/>
        </w:rPr>
        <w:t>（</w:t>
      </w:r>
      <w:r>
        <w:rPr>
          <w:rFonts w:hint="eastAsia" w:ascii="宋体" w:hAnsi="宋体" w:cs="宋体"/>
          <w:sz w:val="24"/>
          <w:highlight w:val="none"/>
        </w:rPr>
        <w:t>6</w:t>
      </w:r>
      <w:r>
        <w:rPr>
          <w:rFonts w:hint="eastAsia" w:ascii="宋体" w:hAnsi="宋体" w:eastAsia="宋体" w:cs="宋体"/>
          <w:sz w:val="24"/>
          <w:highlight w:val="none"/>
        </w:rPr>
        <w:t>）本基金持有的全部资产支持证券，其市值不得超过基金资产净值的</w:t>
      </w:r>
      <w:r>
        <w:rPr>
          <w:rFonts w:ascii="宋体" w:hAnsi="宋体" w:eastAsia="宋体" w:cs="宋体"/>
          <w:sz w:val="24"/>
          <w:highlight w:val="none"/>
        </w:rPr>
        <w:t>20%；</w:t>
      </w:r>
    </w:p>
    <w:p>
      <w:pPr>
        <w:numPr>
          <w:ilvl w:val="255"/>
          <w:numId w:val="0"/>
        </w:num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hint="eastAsia" w:ascii="宋体" w:hAnsi="宋体" w:cs="宋体"/>
          <w:sz w:val="24"/>
          <w:highlight w:val="none"/>
        </w:rPr>
        <w:t>7</w:t>
      </w:r>
      <w:r>
        <w:rPr>
          <w:rFonts w:hint="eastAsia" w:ascii="宋体" w:hAnsi="宋体" w:eastAsia="宋体" w:cs="宋体"/>
          <w:sz w:val="24"/>
          <w:highlight w:val="none"/>
        </w:rPr>
        <w:t>）本基金持有的同一</w:t>
      </w:r>
      <w:r>
        <w:rPr>
          <w:rFonts w:ascii="宋体" w:hAnsi="宋体" w:eastAsia="宋体" w:cs="宋体"/>
          <w:sz w:val="24"/>
          <w:highlight w:val="none"/>
        </w:rPr>
        <w:t>(指同一信用级别)资产支持证券的比例，不得超过该资产支持证券规模的10%；</w:t>
      </w:r>
    </w:p>
    <w:p>
      <w:pPr>
        <w:numPr>
          <w:ilvl w:val="255"/>
          <w:numId w:val="0"/>
        </w:num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hint="eastAsia" w:ascii="宋体" w:hAnsi="宋体" w:cs="宋体"/>
          <w:sz w:val="24"/>
          <w:highlight w:val="none"/>
        </w:rPr>
        <w:t>8</w:t>
      </w:r>
      <w:r>
        <w:rPr>
          <w:rFonts w:hint="eastAsia" w:ascii="宋体" w:hAnsi="宋体" w:eastAsia="宋体" w:cs="宋体"/>
          <w:sz w:val="24"/>
          <w:highlight w:val="none"/>
        </w:rPr>
        <w:t>）本基金管理人管理的全部基金投资于同一原始权益人的各类资产支持证券，不得超过其各类资产支持证券合计规模的</w:t>
      </w:r>
      <w:r>
        <w:rPr>
          <w:rFonts w:ascii="宋体" w:hAnsi="宋体" w:eastAsia="宋体" w:cs="宋体"/>
          <w:sz w:val="24"/>
          <w:highlight w:val="none"/>
        </w:rPr>
        <w:t>10%；</w:t>
      </w:r>
    </w:p>
    <w:p>
      <w:pPr>
        <w:numPr>
          <w:ilvl w:val="255"/>
          <w:numId w:val="0"/>
        </w:num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hint="eastAsia" w:ascii="宋体" w:hAnsi="宋体" w:cs="宋体"/>
          <w:sz w:val="24"/>
          <w:highlight w:val="none"/>
        </w:rPr>
        <w:t>9</w:t>
      </w:r>
      <w:r>
        <w:rPr>
          <w:rFonts w:hint="eastAsia" w:ascii="宋体" w:hAnsi="宋体" w:eastAsia="宋体" w:cs="宋体"/>
          <w:sz w:val="24"/>
          <w:highlight w:val="none"/>
        </w:rPr>
        <w:t>）本基金应投资于信用级别评级为AA以上(含AA)的资产支持证券。基金持有资产支持证券期间，如果其信用等级下降、不再符合投资标准，应在评级报告发布之日起</w:t>
      </w:r>
      <w:r>
        <w:rPr>
          <w:rFonts w:ascii="宋体" w:hAnsi="宋体" w:eastAsia="宋体" w:cs="宋体"/>
          <w:sz w:val="24"/>
          <w:highlight w:val="none"/>
        </w:rPr>
        <w:t>3个月内予以全部卖出；</w:t>
      </w:r>
    </w:p>
    <w:p>
      <w:pPr>
        <w:numPr>
          <w:ilvl w:val="255"/>
          <w:numId w:val="0"/>
        </w:num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w:t>
      </w:r>
      <w:r>
        <w:rPr>
          <w:rFonts w:hint="eastAsia" w:ascii="宋体" w:hAnsi="宋体" w:cs="宋体"/>
          <w:sz w:val="24"/>
          <w:highlight w:val="none"/>
        </w:rPr>
        <w:t>10</w:t>
      </w:r>
      <w:r>
        <w:rPr>
          <w:rFonts w:hint="eastAsia" w:ascii="宋体" w:hAnsi="宋体" w:eastAsia="宋体" w:cs="宋体"/>
          <w:sz w:val="24"/>
          <w:highlight w:val="none"/>
        </w:rPr>
        <w:t>）本基金进入全国银行间同业市场进行债券回购的最长期限为</w:t>
      </w:r>
      <w:r>
        <w:rPr>
          <w:rFonts w:ascii="宋体" w:hAnsi="宋体" w:eastAsia="宋体" w:cs="宋体"/>
          <w:sz w:val="24"/>
          <w:highlight w:val="none"/>
        </w:rPr>
        <w:t>1年，债券回购到期后不得展期</w:t>
      </w:r>
      <w:r>
        <w:rPr>
          <w:rFonts w:hint="eastAsia" w:ascii="宋体" w:hAnsi="宋体" w:eastAsia="宋体" w:cs="宋体"/>
          <w:sz w:val="24"/>
          <w:highlight w:val="none"/>
        </w:rPr>
        <w:t>；</w:t>
      </w:r>
    </w:p>
    <w:p>
      <w:pPr>
        <w:numPr>
          <w:ilvl w:val="255"/>
          <w:numId w:val="0"/>
        </w:numPr>
        <w:spacing w:line="360" w:lineRule="auto"/>
        <w:ind w:firstLine="480" w:firstLineChars="200"/>
        <w:rPr>
          <w:rFonts w:ascii="宋体" w:hAnsi="宋体" w:cs="宋体"/>
          <w:sz w:val="24"/>
          <w:highlight w:val="none"/>
        </w:rPr>
      </w:pPr>
      <w:r>
        <w:rPr>
          <w:rFonts w:ascii="宋体" w:hAnsi="宋体" w:cs="宋体"/>
          <w:sz w:val="24"/>
          <w:highlight w:val="none"/>
        </w:rPr>
        <w:t>（</w:t>
      </w:r>
      <w:r>
        <w:rPr>
          <w:rFonts w:hint="eastAsia" w:ascii="宋体" w:hAnsi="宋体" w:cs="宋体"/>
          <w:sz w:val="24"/>
          <w:highlight w:val="none"/>
        </w:rPr>
        <w:t>11</w:t>
      </w:r>
      <w:r>
        <w:rPr>
          <w:rFonts w:ascii="宋体" w:hAnsi="宋体" w:cs="宋体"/>
          <w:sz w:val="24"/>
          <w:highlight w:val="none"/>
        </w:rPr>
        <w:t>）本基金资产总值不得超过基金资产净值的200%；</w:t>
      </w:r>
    </w:p>
    <w:p>
      <w:pPr>
        <w:numPr>
          <w:ilvl w:val="255"/>
          <w:numId w:val="0"/>
        </w:numPr>
        <w:spacing w:line="360" w:lineRule="auto"/>
        <w:ind w:firstLine="480" w:firstLineChars="200"/>
        <w:rPr>
          <w:rFonts w:ascii="宋体" w:hAnsi="宋体" w:eastAsia="宋体" w:cs="宋体"/>
          <w:sz w:val="24"/>
          <w:highlight w:val="none"/>
        </w:rPr>
      </w:pPr>
      <w:r>
        <w:rPr>
          <w:rFonts w:hint="eastAsia" w:ascii="宋体" w:hAnsi="宋体" w:cs="宋体"/>
          <w:sz w:val="24"/>
          <w:highlight w:val="none"/>
        </w:rPr>
        <w:t>（12）</w:t>
      </w:r>
      <w:r>
        <w:rPr>
          <w:rFonts w:hint="eastAsia" w:ascii="宋体" w:hAnsi="宋体" w:eastAsia="宋体" w:cs="宋体"/>
          <w:sz w:val="24"/>
          <w:highlight w:val="none"/>
        </w:rPr>
        <w:t>法律法规及中国证监会规定的和基金合同约定的其他投资限制。</w:t>
      </w:r>
    </w:p>
    <w:p>
      <w:pPr>
        <w:numPr>
          <w:ilvl w:val="255"/>
          <w:numId w:val="0"/>
        </w:numPr>
        <w:spacing w:line="360" w:lineRule="auto"/>
        <w:ind w:firstLine="480" w:firstLineChars="200"/>
        <w:jc w:val="left"/>
        <w:rPr>
          <w:rFonts w:ascii="宋体" w:hAnsi="宋体" w:eastAsia="宋体" w:cs="宋体"/>
          <w:sz w:val="24"/>
          <w:highlight w:val="none"/>
        </w:rPr>
      </w:pPr>
      <w:r>
        <w:rPr>
          <w:rFonts w:hint="eastAsia" w:ascii="宋体" w:hAnsi="宋体" w:cs="宋体"/>
          <w:sz w:val="24"/>
          <w:szCs w:val="24"/>
          <w:highlight w:val="none"/>
          <w:lang w:val="en-US" w:eastAsia="zh-CN"/>
        </w:rPr>
        <w:t>除上述第（9）项外，</w:t>
      </w:r>
      <w:r>
        <w:rPr>
          <w:rFonts w:hint="eastAsia" w:ascii="宋体" w:hAnsi="宋体" w:eastAsia="宋体" w:cs="宋体"/>
          <w:sz w:val="24"/>
          <w:highlight w:val="none"/>
        </w:rPr>
        <w:t>因证券市场波动、证券发行人合并、基金规模变动等基金管理人之外的因素致使基金投资比例不符合上述规定投资比例的，基金管理人应当在</w:t>
      </w:r>
      <w:r>
        <w:rPr>
          <w:rFonts w:ascii="宋体" w:hAnsi="宋体" w:eastAsia="宋体" w:cs="宋体"/>
          <w:sz w:val="24"/>
          <w:highlight w:val="none"/>
        </w:rPr>
        <w:t>10个交易日内进行调整，但中国证监会规定的特殊情形除外。</w:t>
      </w:r>
      <w:r>
        <w:rPr>
          <w:rFonts w:hint="eastAsia" w:ascii="宋体" w:hAnsi="宋体" w:eastAsia="宋体" w:cs="宋体"/>
          <w:sz w:val="24"/>
          <w:highlight w:val="none"/>
        </w:rPr>
        <w:t>法律法规另有规定的，从其规定。</w:t>
      </w:r>
    </w:p>
    <w:p>
      <w:pPr>
        <w:numPr>
          <w:ilvl w:val="255"/>
          <w:numId w:val="0"/>
        </w:numPr>
        <w:spacing w:line="360" w:lineRule="auto"/>
        <w:ind w:firstLine="480" w:firstLineChars="200"/>
        <w:jc w:val="left"/>
        <w:rPr>
          <w:rFonts w:ascii="宋体" w:hAnsi="宋体" w:eastAsia="宋体" w:cs="宋体"/>
          <w:sz w:val="24"/>
          <w:highlight w:val="none"/>
        </w:rPr>
      </w:pPr>
      <w:r>
        <w:rPr>
          <w:rFonts w:hint="eastAsia" w:ascii="宋体" w:hAnsi="宋体" w:eastAsia="宋体" w:cs="宋体"/>
          <w:sz w:val="24"/>
          <w:highlight w:val="none"/>
        </w:rPr>
        <w:t>基金管理人应当自基金合同生效之日起</w:t>
      </w:r>
      <w:r>
        <w:rPr>
          <w:rFonts w:ascii="宋体" w:hAnsi="宋体" w:eastAsia="宋体" w:cs="宋体"/>
          <w:sz w:val="24"/>
          <w:highlight w:val="none"/>
        </w:rPr>
        <w:t>6个月内使基金的投资组合比例符合基金合同的有关约定。在上述期间，本基金的投资范围、投资策略应当符合</w:t>
      </w:r>
      <w:r>
        <w:rPr>
          <w:rFonts w:hint="eastAsia" w:ascii="宋体" w:hAnsi="宋体" w:eastAsia="宋体" w:cs="宋体"/>
          <w:sz w:val="24"/>
          <w:highlight w:val="none"/>
        </w:rPr>
        <w:t>基金合同的约定。基金托管人对基金的投资的监督与检查自基金合同生效之日起开始。</w:t>
      </w:r>
    </w:p>
    <w:p>
      <w:pPr>
        <w:numPr>
          <w:ilvl w:val="255"/>
          <w:numId w:val="0"/>
        </w:numPr>
        <w:spacing w:line="360" w:lineRule="auto"/>
        <w:ind w:firstLine="480" w:firstLineChars="200"/>
        <w:rPr>
          <w:rFonts w:ascii="仿宋" w:hAnsi="仿宋" w:eastAsia="仿宋"/>
          <w:sz w:val="24"/>
          <w:highlight w:val="none"/>
        </w:rPr>
      </w:pPr>
      <w:r>
        <w:rPr>
          <w:rFonts w:hint="eastAsia" w:ascii="宋体" w:hAnsi="宋体" w:eastAsia="宋体" w:cs="宋体"/>
          <w:sz w:val="24"/>
          <w:highlight w:val="none"/>
        </w:rPr>
        <w:t>若法律法规或监管部门取消或调整上述限制，如适用于本基金，基金管理人在履行适当程序后，本基金投资不再受相关限制或按照调整后的规定执行。</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3.本基金财产不得用于以下投资或者活动：</w:t>
      </w:r>
    </w:p>
    <w:p>
      <w:pPr>
        <w:spacing w:line="360" w:lineRule="auto"/>
        <w:ind w:firstLine="480" w:firstLineChars="200"/>
        <w:rPr>
          <w:rFonts w:ascii="宋体" w:hAnsi="宋体" w:cs="宋体"/>
          <w:bCs/>
          <w:sz w:val="24"/>
          <w:highlight w:val="none"/>
        </w:rPr>
      </w:pPr>
      <w:r>
        <w:rPr>
          <w:rFonts w:hint="eastAsia" w:ascii="宋体" w:hAnsi="宋体" w:cs="宋体"/>
          <w:bCs/>
          <w:sz w:val="24"/>
          <w:highlight w:val="none"/>
        </w:rPr>
        <w:t>（</w:t>
      </w:r>
      <w:r>
        <w:rPr>
          <w:rFonts w:ascii="宋体" w:hAnsi="宋体" w:cs="宋体"/>
          <w:bCs/>
          <w:sz w:val="24"/>
          <w:highlight w:val="none"/>
        </w:rPr>
        <w:t>1</w:t>
      </w:r>
      <w:r>
        <w:rPr>
          <w:rFonts w:hint="eastAsia" w:ascii="宋体" w:hAnsi="宋体" w:cs="宋体"/>
          <w:bCs/>
          <w:sz w:val="24"/>
          <w:highlight w:val="none"/>
        </w:rPr>
        <w:t>）承销证券；</w:t>
      </w:r>
    </w:p>
    <w:p>
      <w:pPr>
        <w:spacing w:line="360" w:lineRule="auto"/>
        <w:ind w:firstLine="480" w:firstLineChars="200"/>
        <w:rPr>
          <w:rFonts w:ascii="宋体" w:hAnsi="宋体" w:cs="宋体"/>
          <w:bCs/>
          <w:sz w:val="24"/>
          <w:highlight w:val="none"/>
        </w:rPr>
      </w:pPr>
      <w:r>
        <w:rPr>
          <w:rFonts w:hint="eastAsia" w:ascii="宋体" w:hAnsi="宋体" w:cs="宋体"/>
          <w:bCs/>
          <w:sz w:val="24"/>
          <w:highlight w:val="none"/>
        </w:rPr>
        <w:t>（</w:t>
      </w:r>
      <w:r>
        <w:rPr>
          <w:rFonts w:ascii="宋体" w:hAnsi="宋体" w:cs="宋体"/>
          <w:bCs/>
          <w:sz w:val="24"/>
          <w:highlight w:val="none"/>
        </w:rPr>
        <w:t>2</w:t>
      </w:r>
      <w:r>
        <w:rPr>
          <w:rFonts w:hint="eastAsia" w:ascii="宋体" w:hAnsi="宋体" w:cs="宋体"/>
          <w:bCs/>
          <w:sz w:val="24"/>
          <w:highlight w:val="none"/>
        </w:rPr>
        <w:t>）违反规定向他人贷款或者提供担保；</w:t>
      </w:r>
    </w:p>
    <w:p>
      <w:pPr>
        <w:spacing w:line="360" w:lineRule="auto"/>
        <w:ind w:firstLine="480" w:firstLineChars="200"/>
        <w:rPr>
          <w:rFonts w:ascii="宋体" w:hAnsi="宋体" w:cs="宋体"/>
          <w:bCs/>
          <w:sz w:val="24"/>
          <w:highlight w:val="none"/>
        </w:rPr>
      </w:pPr>
      <w:r>
        <w:rPr>
          <w:rFonts w:hint="eastAsia" w:ascii="宋体" w:hAnsi="宋体" w:cs="宋体"/>
          <w:bCs/>
          <w:sz w:val="24"/>
          <w:highlight w:val="none"/>
        </w:rPr>
        <w:t>（</w:t>
      </w:r>
      <w:r>
        <w:rPr>
          <w:rFonts w:ascii="宋体" w:hAnsi="宋体" w:cs="宋体"/>
          <w:bCs/>
          <w:sz w:val="24"/>
          <w:highlight w:val="none"/>
        </w:rPr>
        <w:t>3</w:t>
      </w:r>
      <w:r>
        <w:rPr>
          <w:rFonts w:hint="eastAsia" w:ascii="宋体" w:hAnsi="宋体" w:cs="宋体"/>
          <w:bCs/>
          <w:sz w:val="24"/>
          <w:highlight w:val="none"/>
        </w:rPr>
        <w:t>）从事承担无限责任的投资；</w:t>
      </w:r>
    </w:p>
    <w:p>
      <w:pPr>
        <w:spacing w:line="360" w:lineRule="auto"/>
        <w:ind w:firstLine="480" w:firstLineChars="200"/>
        <w:rPr>
          <w:rFonts w:ascii="宋体" w:hAnsi="宋体" w:cs="宋体"/>
          <w:bCs/>
          <w:sz w:val="24"/>
          <w:highlight w:val="none"/>
        </w:rPr>
      </w:pPr>
      <w:r>
        <w:rPr>
          <w:rFonts w:hint="eastAsia" w:ascii="宋体" w:hAnsi="宋体" w:cs="宋体"/>
          <w:bCs/>
          <w:sz w:val="24"/>
          <w:highlight w:val="none"/>
        </w:rPr>
        <w:t>（</w:t>
      </w:r>
      <w:r>
        <w:rPr>
          <w:rFonts w:ascii="宋体" w:hAnsi="宋体" w:cs="宋体"/>
          <w:bCs/>
          <w:sz w:val="24"/>
          <w:highlight w:val="none"/>
        </w:rPr>
        <w:t>4</w:t>
      </w:r>
      <w:r>
        <w:rPr>
          <w:rFonts w:hint="eastAsia" w:ascii="宋体" w:hAnsi="宋体" w:cs="宋体"/>
          <w:bCs/>
          <w:sz w:val="24"/>
          <w:highlight w:val="none"/>
        </w:rPr>
        <w:t>）买卖其他基金份额，但是中国证监会另有规定的除外；</w:t>
      </w:r>
    </w:p>
    <w:p>
      <w:pPr>
        <w:spacing w:line="360" w:lineRule="auto"/>
        <w:ind w:firstLine="480" w:firstLineChars="200"/>
        <w:rPr>
          <w:rFonts w:ascii="宋体" w:hAnsi="宋体" w:cs="宋体"/>
          <w:bCs/>
          <w:sz w:val="24"/>
          <w:highlight w:val="none"/>
        </w:rPr>
      </w:pPr>
      <w:r>
        <w:rPr>
          <w:rFonts w:hint="eastAsia" w:ascii="宋体" w:hAnsi="宋体" w:cs="宋体"/>
          <w:bCs/>
          <w:sz w:val="24"/>
          <w:highlight w:val="none"/>
        </w:rPr>
        <w:t>（</w:t>
      </w:r>
      <w:r>
        <w:rPr>
          <w:rFonts w:ascii="宋体" w:hAnsi="宋体" w:cs="宋体"/>
          <w:bCs/>
          <w:sz w:val="24"/>
          <w:highlight w:val="none"/>
        </w:rPr>
        <w:t>5</w:t>
      </w:r>
      <w:r>
        <w:rPr>
          <w:rFonts w:hint="eastAsia" w:ascii="宋体" w:hAnsi="宋体" w:cs="宋体"/>
          <w:bCs/>
          <w:sz w:val="24"/>
          <w:highlight w:val="none"/>
        </w:rPr>
        <w:t>）向其基金管理人、基金托管人出资；</w:t>
      </w:r>
    </w:p>
    <w:p>
      <w:pPr>
        <w:spacing w:line="360" w:lineRule="auto"/>
        <w:ind w:firstLine="480" w:firstLineChars="200"/>
        <w:rPr>
          <w:rFonts w:ascii="宋体" w:hAnsi="宋体" w:cs="宋体"/>
          <w:bCs/>
          <w:sz w:val="24"/>
          <w:highlight w:val="none"/>
        </w:rPr>
      </w:pPr>
      <w:r>
        <w:rPr>
          <w:rFonts w:hint="eastAsia" w:ascii="宋体" w:hAnsi="宋体" w:cs="宋体"/>
          <w:bCs/>
          <w:sz w:val="24"/>
          <w:highlight w:val="none"/>
        </w:rPr>
        <w:t>（</w:t>
      </w:r>
      <w:r>
        <w:rPr>
          <w:rFonts w:ascii="宋体" w:hAnsi="宋体" w:cs="宋体"/>
          <w:bCs/>
          <w:sz w:val="24"/>
          <w:highlight w:val="none"/>
        </w:rPr>
        <w:t>6</w:t>
      </w:r>
      <w:r>
        <w:rPr>
          <w:rFonts w:hint="eastAsia" w:ascii="宋体" w:hAnsi="宋体" w:cs="宋体"/>
          <w:bCs/>
          <w:sz w:val="24"/>
          <w:highlight w:val="none"/>
        </w:rPr>
        <w:t>）从事内幕交易、操纵证券交易价格及其他不正当的证券交易活动；</w:t>
      </w:r>
    </w:p>
    <w:p>
      <w:pPr>
        <w:spacing w:line="360" w:lineRule="auto"/>
        <w:ind w:firstLine="480" w:firstLineChars="200"/>
        <w:rPr>
          <w:rFonts w:ascii="宋体" w:hAnsi="宋体" w:cs="宋体"/>
          <w:bCs/>
          <w:sz w:val="24"/>
          <w:highlight w:val="none"/>
        </w:rPr>
      </w:pPr>
      <w:r>
        <w:rPr>
          <w:rFonts w:hint="eastAsia" w:ascii="宋体" w:hAnsi="宋体" w:cs="宋体"/>
          <w:bCs/>
          <w:sz w:val="24"/>
          <w:highlight w:val="none"/>
        </w:rPr>
        <w:t>（</w:t>
      </w:r>
      <w:r>
        <w:rPr>
          <w:rFonts w:ascii="宋体" w:hAnsi="宋体" w:cs="宋体"/>
          <w:bCs/>
          <w:sz w:val="24"/>
          <w:highlight w:val="none"/>
        </w:rPr>
        <w:t>7</w:t>
      </w:r>
      <w:r>
        <w:rPr>
          <w:rFonts w:hint="eastAsia" w:ascii="宋体" w:hAnsi="宋体" w:cs="宋体"/>
          <w:bCs/>
          <w:sz w:val="24"/>
          <w:highlight w:val="none"/>
        </w:rPr>
        <w:t>）法律、行政法规和中国证监会规定禁止的其他活动。</w:t>
      </w:r>
    </w:p>
    <w:p>
      <w:pPr>
        <w:spacing w:line="360" w:lineRule="auto"/>
        <w:ind w:firstLine="480" w:firstLineChars="200"/>
        <w:rPr>
          <w:rFonts w:ascii="宋体" w:hAnsi="宋体" w:cs="宋体"/>
          <w:bCs/>
          <w:sz w:val="24"/>
          <w:highlight w:val="none"/>
        </w:rPr>
      </w:pPr>
      <w:r>
        <w:rPr>
          <w:rFonts w:hint="eastAsia" w:ascii="宋体" w:hAnsi="宋体" w:cs="宋体"/>
          <w:bCs/>
          <w:sz w:val="24"/>
          <w:highlight w:val="none"/>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numPr>
          <w:ilvl w:val="0"/>
          <w:numId w:val="0"/>
        </w:numPr>
        <w:spacing w:line="360" w:lineRule="auto"/>
        <w:ind w:firstLine="480" w:firstLineChars="200"/>
        <w:rPr>
          <w:rFonts w:ascii="宋体" w:hAnsi="宋体" w:cs="宋体"/>
          <w:sz w:val="24"/>
          <w:highlight w:val="none"/>
        </w:rPr>
      </w:pPr>
      <w:r>
        <w:rPr>
          <w:rFonts w:hint="eastAsia" w:ascii="宋体" w:hAnsi="宋体" w:cs="宋体"/>
          <w:bCs/>
          <w:sz w:val="24"/>
          <w:highlight w:val="none"/>
        </w:rPr>
        <w:t>法律、行政法规或监管部门取消或变更上述限制，如适用于本基金，基金管理人在履行适当程序后，则本基金投资不再受相关限制或按变更后的规定执行。</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基金托管人根据有关法律法规的规定及《基金合同》的约定，对基金管理人选择存款银行进行监督。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对于不符合规定的银行存款，基金托管人可以拒绝执行，并通知基金管理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本基金投资银行存款应符合如下规定：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 本基金投资于有固定期限银行存款的比例不得超过基金资产净值的30%，但投资于有存款期限，根据协议可提前支取的银行存款，不受上述比例限制；投资于具有基金托管人资格的同一商业银行的银行存款、同业存单占基金资产净值的比例合计不得超过20%；投资于不具有基金托管人资格的同一商业银行的银行存款、同业存单占基金资产净值的比例合计不得超过5%。</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有关法律法规或监管部门制定或修改新的定期存款投资政策，基金管理人履行适当程序后，可相应调整投资组合限制的规定。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管理人负责对本基金存款银行的评估与研究，建立健全银行存款的业务流程、岗位职责、风险控制措施和监察稽核制度，切实防范有关风险。基金托管人负责对本基金银行定期存款业务的监督与核查，审查、复核相关协议、账户资料、投资指令、存款证实书等有关文件，切实履行托管职责。</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（1）基金管理人负责控制信用风险。信用风险主要包括存款银行的信用等级、存款银行的支付能力等涉及到存款银行选择方面的风险。因选择存款银行不当造成基金财产损失的，由基金管理人承担责任。</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管理人负责控制流动性风险，并承担因控制不力而造成的损失。流动性风险主要包括基金管理人要求全部提前支取、部分提前支取或到期支取而存款银行未能及时兑付的风险、基金投资银行存款不能满足基金正常结算业务的风险、因全部提前支取或部分提前支取而涉及的利息损失影响估值等涉及到基金流动性方面的风险。</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（3）基金管理人须加强内部风险控制制度的建设。如因基金管理人员工职务行为导致基金财产受到损失的，需由基金管理人在其责任范围内承担由此造成的损失。</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（4）基金管理人与基金托管人在开展基金存款业务时，应严格遵守《基金法》、《运作办法》等有关法律法规，以及国家有关账户管理、利率管理、支付结算等的各项规定。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（三）基金投资银行存款协议的签订、账户开设与管理、投资指令与资金划付、账目核对、到期兑付、提前支取</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1.基金投资银行存款协议的签订</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基金管理人应与符合资格的存款银行总行或其授权分行签订《基金存款业务总体合作协议》（以下简称《总体合作协议》），确定《存款协议书》的格式范本。《总体合作协议》和《存款协议书》的格式范本由基金托管人与基金管理人共同商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（2）基金托管人依据相关法规对《总体合作协议》和《存款协议书》的内容进行复核，审查存款银行资格等。</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（3）基金管理人应在《存款协议书》中明确存款证实书或其他有效存款凭证的办理方式、邮寄地址、联系人和联系电话，以及存款证实书或其他有效凭证在邮寄过程中遗失后，存款余额的确认及兑付办法等。</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4）由存款银行指定的存放存款的分支机构（以下简称“存款分支机构”）寄送或上门交付存款证实书或其他有效存款凭证的，基金托管人可向存款分支机构的上级行发出存款余额询证函，存款分支机构及其上级行应予配合。</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（5）基金管理人应在《存款协议书》中规定，基金存放到期或提前兑付的资金应全部划转到指定的基金托管账户，并在《存款协议书》写明账户名称和账号，未划入指定账户的，由存款银行承担一切责任。</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6）基金管理人应在《存款协议书》中规定，在存期内，如本基金银行账户、预留印鉴发生变更，管理人应及时书面通知存款行，书面通知应加盖基金托管人预留印鉴。存款分支机构应及时就变更事项向基金管理人、基金托管人出具正式书面确认书。变更通知的送达方式同开户手续。在存期内，存款分支机构和基金托管人的指定联系人变更，应及时加盖公章书面通知对方。</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（7）基金管理人应在《存款协议书》中规定，因定期存款产生的存单不得被质押或以任何方式被抵押，不得用于转让和背书。</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2.基金投资银行存款时的账户开设与管理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（1）基金投资于银行存款时，基金管理人应当依据基金管理人与存款银行签订的《总体合作协议》、《存款协议书》等，以基金的名义在存款银行总行或授权分行指定的分支机构开立银行账户。</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（2）基金投资于银行存款时的预留印鉴由基金托管人保管和使用。</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3.存款凭证传递、账目核对及到期兑付</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（1）存款证实书等存款凭证传递</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存款资金只能存放于存款银行总行或者其授权分行指定的分支机构。基金管理人应在《存款协议书》中规定，存款银行分支机构应为基金开具存款证实书或其他有效存款凭证（下称“存款凭证”），该存款凭证为基金存款确认或到期提款的有效凭证，且对应每笔存款仅能开具唯一存款凭证。资金到账当日，由存款银行分支机构指定的会计主管传真一份存款凭证复印件并与基金托管人电话确认收妥后，将存款凭证原件通过快递寄送或上门交付至基金托管人指定联系人；若存款银行分支机构代为保管存款凭证的，由存款银行分支机构指定会计主管传真一份存款凭证复印件并与基金托管人电话确认收妥。</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（2）存款凭证的遗失补办</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存款凭证在邮寄过程中遗失的，由基金管理人向存款银行提出补办申请，基金管理人应督促存款银行尽快补办存款凭证，并按以上（1）的方式快递或上门交付至托管人，原存款凭证自动作废。</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（3）账目核对</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每个工作日，基金管理人应与基金托管人核对各项银行存款投资余额及应计利息。</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应在《存款协议书》中规定，对于存期超过3个月的定期存款，基金托管人于每季度向存款银行发起查询查复，存款银行应按照人行查询查复的有关时限要求及时回复。基金管理人有责任督促存款银行及时回复查询查复。因存款银行未及时回复造成的资金被挪用、盗取的责任由存款银行承担。</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存款银行应配合基金托管人对存款凭证的询证，并在询证函上加盖存款银行公章寄送至基金托管人指定联系人。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（4）到期兑付</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提前通知基金托管人通过快递将存款凭证原件寄给存款银行分支机构指定的会计主管。存款银行未收到存款凭证原件的，应与基金托管人电话询问。存款到期前基金管理人与存款银行确认存款凭证收到并于到期日兑付存款本息事宜。</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托管人在存款到期日未收到存款本息或存款本息金额不符时，通知基金管理人与存款银行接洽存款到账时间及利息补付事宜。基金管理人应将接洽结果告知基金托管人，基金托管人收妥存款本息的当日通知基金管理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应在《存款协议书》中规定，存款凭证在邮寄过程中遗失的，存款银行应立即通知基金托管人，基金托管人在原存款凭证复印件上加盖公章并出具相关证明文件后，与存款银行指定会计主管电话确认后，存款银行应在到期日将存款本息划至指定的基金资金账户。如果存款到期日为法定节假日，存款银行顺延至到期后第一个工作日支付，存款银行需按原协议约定利率和实际延期天数支付延期利息。</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4.提前支取</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如果在存款期限内，由于基金规模发生缩减的原因或者出于流动性管理的需要等原因，基金管理人可以提前支取全部或部分资金。</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提前支取的具体事项按照基金管理人与存款银行签订的《存款协议书》执行。</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5.基金投资银行存款的监督</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基金托管人发现基金管理人在进行存款投资时有违反有关法律法规的规定及《基金合同》的约定的行为，应及时以书面形式通知基金管理人在10 个工作日内纠正。基金管理人对基金托管人通知的违规事项未能在10 个工作日内纠正的，基金托管人应报告中国证监会。基金托管人发现基金管理人有重大违规行为，应立即报告中国证监会，同时通知基金管理人在10 个工作日内纠正或拒绝结算，若因基金管理人拒不执行造成基金财产损失的，相关损失由基金管理人承担，基金托管人不承担相应责任。</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四）基金托管人根据有关法律法规的规定及《基金合同》的约定，对基金管理人参与银行间债券市场进行监督。基金管理人应在基金投资运作之前向基金托管人提供符合法律法规及行业标准的、经慎重选择的、本基金适用的银行间债券市场交易对手名单并约定各交易对手所适用的交易结算方式。基金管理人有责任确保及时将更新后的交易对手名单发送给基金托管人，否则由此造成的损失应由基金管理人承担。如基金管理人在基金投资运作之前未向基金托管人提供银行间债券市场交易对手名单的，视为基金管理人认可全市场交易对手。基金管理人应严格按照交易对手名单的范围在银行间债券市场选择交易对手。基金托管人监督基金管理人是否按事前提供的银行间债券市场交易对手名单进行交易。在基金存续期间基金管理人可以调整交易对手名单，但应将调整结果至少提前一个工作日书面通知基金托管人。新名单确定时已与本次剔除的交易对手所进行但尚未结算的交易，仍应按照协议进行结算，但不得再发生新的交易。如基金管理人根据市场需要临时调整银行间债券交易对手名单及结算方式的，应向基金托管人说明理由，并在与交易对手发生交易前与基金托管人协商解决。</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负责对交易对手的资信控制，按银行间债券市场的交易规则进行交易，并负责处理因交易对手不履行合同而造成的纠纷。若未履约的交易对手在基金管理人确定的时间内仍未承担违约责任及其他相关法律责任的，基金管理人有权向相关交易对手追偿，基金托管人应予以充分的协助与配合。基金托管人则根据银行间债券市场成交单对合同履行情况进行监督。如基金托管人事后发现基金管理人没有按照事先约定的交易对手进行交易时，基金托管人应及时提醒基金管理人，基金托管人不承担由此造成的相应损失和责任。</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w:t>
      </w:r>
      <w:r>
        <w:rPr>
          <w:rFonts w:ascii="宋体" w:hAnsi="宋体" w:cs="宋体"/>
          <w:sz w:val="24"/>
          <w:highlight w:val="none"/>
        </w:rPr>
        <w:t>五</w:t>
      </w:r>
      <w:r>
        <w:rPr>
          <w:rFonts w:hint="eastAsia" w:ascii="宋体" w:hAnsi="宋体" w:cs="宋体"/>
          <w:sz w:val="24"/>
          <w:highlight w:val="none"/>
        </w:rPr>
        <w:t>）基金管理人应当对投资中期票据业务进行研究，认真评估中期票据投资业务的风险，本着审慎、勤勉尽责的原则进行中期票据的投资业务，并应符合法律法规及监管机构的相关规定</w:t>
      </w:r>
      <w:bookmarkStart w:id="36" w:name="OLE_LINK261"/>
      <w:bookmarkStart w:id="37" w:name="OLE_LINK260"/>
      <w:r>
        <w:rPr>
          <w:rFonts w:hint="eastAsia" w:ascii="宋体" w:hAnsi="宋体" w:cs="宋体"/>
          <w:sz w:val="24"/>
          <w:highlight w:val="none"/>
        </w:rPr>
        <w:t>。</w:t>
      </w:r>
      <w:bookmarkEnd w:id="36"/>
      <w:bookmarkEnd w:id="37"/>
    </w:p>
    <w:p>
      <w:pPr>
        <w:spacing w:line="360" w:lineRule="auto"/>
        <w:ind w:firstLine="480" w:firstLineChars="200"/>
        <w:rPr>
          <w:rFonts w:ascii="宋体" w:hAnsi="宋体" w:cs="宋体"/>
          <w:sz w:val="24"/>
          <w:highlight w:val="none"/>
        </w:rPr>
      </w:pPr>
      <w:r>
        <w:rPr>
          <w:rFonts w:hint="eastAsia" w:ascii="宋体" w:hAnsi="宋体" w:cs="宋体"/>
          <w:sz w:val="24"/>
          <w:highlight w:val="none"/>
        </w:rPr>
        <w:t>（</w:t>
      </w:r>
      <w:r>
        <w:rPr>
          <w:rFonts w:ascii="宋体" w:hAnsi="宋体" w:cs="宋体"/>
          <w:sz w:val="24"/>
          <w:highlight w:val="none"/>
        </w:rPr>
        <w:t>六</w:t>
      </w:r>
      <w:r>
        <w:rPr>
          <w:rFonts w:hint="eastAsia" w:ascii="宋体" w:hAnsi="宋体" w:cs="宋体"/>
          <w:sz w:val="24"/>
          <w:highlight w:val="none"/>
        </w:rPr>
        <w:t>）基金托管人根据有关法律法规的规定及《基金合同》的约定，对基金资产净值计算、基金份额净值计算、基金费用开支及收入确定、基金收益分配、相关信息披露、基金宣传推介材料中登载基金业绩表现数据等进行监督和核查。</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w:t>
      </w:r>
      <w:r>
        <w:rPr>
          <w:rFonts w:ascii="宋体" w:hAnsi="宋体" w:cs="宋体"/>
          <w:sz w:val="24"/>
          <w:highlight w:val="none"/>
        </w:rPr>
        <w:t>七</w:t>
      </w:r>
      <w:r>
        <w:rPr>
          <w:rFonts w:hint="eastAsia" w:ascii="宋体" w:hAnsi="宋体" w:cs="宋体"/>
          <w:sz w:val="24"/>
          <w:highlight w:val="none"/>
        </w:rPr>
        <w:t>）基金托管人发现基金管理人的上述事项及投资指令或实际投资运作违反法律法规、《基金合同》和本托管协议的规定，应及时以电话、邮件或书面提示等方式通知基金管理人限期纠正。基金管理人应积极配合和协助基金托管人的监督和核查。基金管理人收到通知后应及时核对并回复基金托管人，对于收到的书面通知，基金管理人应以书面形式给基金托管人发出回函，就基金托管人的合理疑义进行解释或举证，说明违规原因及纠正期限。在上述规定期限内，基金托管人有权随时对通知事项进行复查，督促基金管理人改正。基金管理人对基金托管人通知的违规事项未能在限期内纠正的，基金托管人应报告中国证监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w:t>
      </w:r>
      <w:r>
        <w:rPr>
          <w:rFonts w:ascii="宋体" w:hAnsi="宋体" w:cs="宋体"/>
          <w:sz w:val="24"/>
          <w:highlight w:val="none"/>
        </w:rPr>
        <w:t>八</w:t>
      </w:r>
      <w:r>
        <w:rPr>
          <w:rFonts w:hint="eastAsia" w:ascii="宋体" w:hAnsi="宋体" w:cs="宋体"/>
          <w:sz w:val="24"/>
          <w:highlight w:val="none"/>
        </w:rPr>
        <w:t>）基金管理人有义务配合和协助基金托管人依照法律法规、《基金合同》和本托管协议对基金业务执行核查。包括但不限于：对基金托管人发出的提示，基金管理人应在规定时间内答复并改正，或就基金托管人的合理疑义进行解释或举证；对基金托管人按照法律法规、基金合同和本托管协议的要求需向中国证监会报送基金监督报告的事项，基金管理人应积极配合提供相关数据资料和制度等。</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w:t>
      </w:r>
      <w:r>
        <w:rPr>
          <w:rFonts w:ascii="宋体" w:hAnsi="宋体" w:cs="宋体"/>
          <w:sz w:val="24"/>
          <w:highlight w:val="none"/>
        </w:rPr>
        <w:t>九</w:t>
      </w:r>
      <w:r>
        <w:rPr>
          <w:rFonts w:hint="eastAsia" w:ascii="宋体" w:hAnsi="宋体" w:cs="宋体"/>
          <w:sz w:val="24"/>
          <w:highlight w:val="none"/>
        </w:rPr>
        <w:t>）若基金托管人发现基金管理人依据交易程序已经生效的指令违反法律、行政法规和其他有关</w:t>
      </w:r>
      <w:bookmarkStart w:id="38" w:name="OLE_LINK262"/>
      <w:bookmarkStart w:id="39" w:name="OLE_LINK263"/>
      <w:r>
        <w:rPr>
          <w:rFonts w:hint="eastAsia" w:ascii="宋体" w:hAnsi="宋体" w:cs="宋体"/>
          <w:sz w:val="24"/>
          <w:highlight w:val="none"/>
        </w:rPr>
        <w:t>规定，或者违反基金合同约定的，应</w:t>
      </w:r>
      <w:bookmarkEnd w:id="38"/>
      <w:bookmarkEnd w:id="39"/>
      <w:r>
        <w:rPr>
          <w:rFonts w:hint="eastAsia" w:ascii="宋体" w:hAnsi="宋体" w:cs="宋体"/>
          <w:sz w:val="24"/>
          <w:highlight w:val="none"/>
        </w:rPr>
        <w:t>当立即通知基金管理人及时纠正，由此造成的损失由基金管理人承担，托管人在履行其通知义务后，予以免责。</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（十）基金托管人发现基金管理人有重大违规行为，应及时报告中国证监会，同时通知基金管理人限期纠正。</w:t>
      </w:r>
    </w:p>
    <w:p>
      <w:pPr>
        <w:spacing w:line="360" w:lineRule="auto"/>
        <w:ind w:firstLine="480" w:firstLineChars="200"/>
        <w:rPr>
          <w:rFonts w:ascii="宋体" w:hAnsi="宋体" w:cs="宋体"/>
          <w:sz w:val="24"/>
          <w:highlight w:val="none"/>
        </w:rPr>
      </w:pPr>
      <w:bookmarkStart w:id="40" w:name="_Toc86649722"/>
      <w:bookmarkStart w:id="41" w:name="_Toc118972648"/>
      <w:bookmarkStart w:id="42" w:name="_Toc384992694"/>
      <w:bookmarkStart w:id="43" w:name="_Toc6082"/>
      <w:bookmarkStart w:id="44" w:name="_Toc348082032"/>
      <w:bookmarkStart w:id="45" w:name="_Toc89163368"/>
      <w:bookmarkStart w:id="46" w:name="_Toc86727355"/>
      <w:bookmarkStart w:id="47" w:name="_Toc86225291"/>
      <w:bookmarkStart w:id="48" w:name="_Toc110830492"/>
      <w:bookmarkStart w:id="49" w:name="_Toc118212950"/>
      <w:bookmarkStart w:id="50" w:name="_Toc108512358"/>
      <w:bookmarkStart w:id="51" w:name="_Toc110765660"/>
      <w:bookmarkStart w:id="52" w:name="_Toc110761796"/>
      <w:bookmarkStart w:id="53" w:name="_Toc86726439"/>
      <w:bookmarkStart w:id="54" w:name="_Toc118774803"/>
      <w:bookmarkStart w:id="55" w:name="_Toc86737929"/>
      <w:bookmarkStart w:id="56" w:name="_Toc86223242"/>
      <w:bookmarkStart w:id="57" w:name="_Toc120435783"/>
      <w:bookmarkStart w:id="58" w:name="_Toc119402710"/>
      <w:r>
        <w:rPr>
          <w:rFonts w:hint="eastAsia" w:ascii="宋体" w:hAnsi="宋体" w:cs="宋体"/>
          <w:sz w:val="24"/>
          <w:highlight w:val="none"/>
        </w:rPr>
        <w:br w:type="page"/>
      </w:r>
    </w:p>
    <w:p>
      <w:pPr>
        <w:pStyle w:val="2"/>
        <w:jc w:val="center"/>
        <w:rPr>
          <w:rFonts w:ascii="宋体" w:hAnsi="宋体" w:cs="宋体"/>
          <w:sz w:val="30"/>
          <w:szCs w:val="30"/>
          <w:highlight w:val="none"/>
        </w:rPr>
      </w:pPr>
      <w:bookmarkStart w:id="59" w:name="_Toc12128"/>
      <w:bookmarkStart w:id="60" w:name="_Toc22055"/>
      <w:r>
        <w:rPr>
          <w:rFonts w:hint="eastAsia" w:ascii="宋体" w:hAnsi="宋体" w:cs="宋体"/>
          <w:sz w:val="30"/>
          <w:szCs w:val="30"/>
          <w:highlight w:val="none"/>
        </w:rPr>
        <w:t>四、基金管理人对基金托管人的业务核查</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spacing w:line="360" w:lineRule="auto"/>
        <w:ind w:firstLine="480" w:firstLineChars="200"/>
        <w:rPr>
          <w:rFonts w:ascii="宋体" w:hAnsi="宋体" w:cs="宋体"/>
          <w:sz w:val="24"/>
          <w:highlight w:val="none"/>
        </w:rPr>
      </w:pPr>
      <w:r>
        <w:rPr>
          <w:rFonts w:hint="eastAsia" w:ascii="宋体" w:hAnsi="宋体" w:cs="宋体"/>
          <w:sz w:val="24"/>
          <w:highlight w:val="none"/>
        </w:rPr>
        <w:t>（一）基金管理人对基金托管人履行托管职责情况进行核查，核查事项包括基金托管人安全保管基金财产、开设基金财产的资金账户、证券账户等投资所需账户、复核基金管理人计算的基金资产净值和基金份额净值、根据基金管理人指令办理清算交收、相关信息披露和监督基金投资运作等行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基金管理人发现基金托管人擅自挪用基金财产、未对基金财产实行分账管理、未执行或无故延迟执行基金管理人资金划拨指令、泄露基金投资信息等违反《基金法》、基金合同、托管协议及其他有关规定时，应及时以电话、邮件或书面提示等方式通知基金托管人限期纠正。基金托管人收到通知后应在下一工作日前及时核对并以书面形式给基金管理人发出回函，说明违规原因及纠正期限，并保证在规定期限内及时改正。在上述规定期限内，基金管理人有权随时对通知事项进行复查，督促基金托管人改正。</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三）基金托管人有义务配合和协助基金管理人依照法律法规、基金合同和本托管协议对基金业务执行核查，包括但不限于：对基金管理人发出的书面提示，基金托管人应在规定时间内答复并改正，或就基金管理人的疑义进行解释或举证；基金托管人应积极配合提供相关资料以供基金管理人核查托管财产的完整性和真实性。</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（四）基金管理人发现基金托管人有重大违规行为，应及时报告中国证监会，同时通知基金托管人限期纠正，并将纠正结果报告中国证监会。</w:t>
      </w:r>
    </w:p>
    <w:p>
      <w:pPr>
        <w:spacing w:line="360" w:lineRule="auto"/>
        <w:ind w:firstLine="480" w:firstLineChars="200"/>
        <w:rPr>
          <w:rFonts w:ascii="宋体" w:hAnsi="宋体" w:cs="宋体"/>
          <w:sz w:val="24"/>
          <w:highlight w:val="none"/>
        </w:rPr>
      </w:pPr>
    </w:p>
    <w:p>
      <w:pPr>
        <w:pStyle w:val="2"/>
        <w:jc w:val="center"/>
        <w:rPr>
          <w:rFonts w:ascii="宋体" w:hAnsi="宋体" w:cs="宋体"/>
          <w:sz w:val="30"/>
          <w:szCs w:val="24"/>
          <w:highlight w:val="none"/>
        </w:rPr>
      </w:pPr>
      <w:bookmarkStart w:id="61" w:name="_Toc84133786"/>
      <w:bookmarkStart w:id="62" w:name="_Toc86223243"/>
      <w:bookmarkStart w:id="63" w:name="_Toc120435784"/>
      <w:bookmarkStart w:id="64" w:name="_Toc86225292"/>
      <w:bookmarkStart w:id="65" w:name="_Toc110830493"/>
      <w:bookmarkStart w:id="66" w:name="_Toc119402711"/>
      <w:bookmarkStart w:id="67" w:name="_Toc118972649"/>
      <w:bookmarkStart w:id="68" w:name="_Toc86726440"/>
      <w:bookmarkStart w:id="69" w:name="_Toc89163369"/>
      <w:bookmarkStart w:id="70" w:name="_Toc118774804"/>
      <w:bookmarkStart w:id="71" w:name="_Toc86649723"/>
      <w:bookmarkStart w:id="72" w:name="_Toc108512359"/>
      <w:bookmarkStart w:id="73" w:name="_Toc86204789"/>
      <w:bookmarkStart w:id="74" w:name="_Toc110765661"/>
      <w:bookmarkStart w:id="75" w:name="_Toc110761797"/>
      <w:bookmarkStart w:id="76" w:name="_Toc86727356"/>
      <w:bookmarkStart w:id="77" w:name="_Toc86737930"/>
      <w:bookmarkStart w:id="78" w:name="_Toc84234435"/>
      <w:bookmarkStart w:id="79" w:name="_Toc84234388"/>
      <w:bookmarkStart w:id="80" w:name="_Toc118212951"/>
      <w:r>
        <w:rPr>
          <w:rFonts w:hint="eastAsia" w:ascii="宋体" w:hAnsi="宋体" w:cs="宋体"/>
          <w:sz w:val="24"/>
          <w:szCs w:val="24"/>
          <w:highlight w:val="none"/>
        </w:rPr>
        <w:br w:type="page"/>
      </w:r>
      <w:bookmarkStart w:id="81" w:name="_Toc384992695"/>
      <w:bookmarkStart w:id="82" w:name="_Toc16233"/>
      <w:bookmarkStart w:id="83" w:name="_Toc5522"/>
      <w:bookmarkStart w:id="84" w:name="_Toc348082033"/>
      <w:bookmarkStart w:id="85" w:name="_Toc6122"/>
      <w:r>
        <w:rPr>
          <w:rFonts w:hint="eastAsia" w:ascii="宋体" w:hAnsi="宋体" w:cs="宋体"/>
          <w:sz w:val="30"/>
          <w:szCs w:val="30"/>
          <w:highlight w:val="none"/>
        </w:rPr>
        <w:t>五、基金财产的保管</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spacing w:line="360" w:lineRule="auto"/>
        <w:ind w:firstLine="480" w:firstLineChars="200"/>
        <w:rPr>
          <w:rFonts w:ascii="宋体" w:hAnsi="宋体" w:cs="宋体"/>
          <w:sz w:val="24"/>
          <w:highlight w:val="none"/>
        </w:rPr>
      </w:pPr>
      <w:r>
        <w:rPr>
          <w:rFonts w:hint="eastAsia" w:ascii="宋体" w:hAnsi="宋体" w:cs="宋体"/>
          <w:sz w:val="24"/>
          <w:highlight w:val="none"/>
        </w:rPr>
        <w:t>（一）基金财产保管的原则</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1.基金财产应独立于基金管理人、基金托管人和证券经纪机构的固有财产。</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2.基金托管人应安全保管基金财产。</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3.基金托管人按照规定开设基金财产投资所需的相关账户。</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4.基金托管人对所托管的不同基金财产分别设置账户，确保基金财产的完整与独立。</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5.基金托管人根据基金管理人的指令，按照基金合同和本协议的约定保管基金财产。未经基金管理人的正当指令，不得自行运用、处分、分配基金的任何资产。不属于基金托管人实际有效控制下的资产及实物证券等在基金托管人保管期间的损坏、灭失，基金托管人不承担由此产生的责任。</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6.对于因为基金投资产生的应收资产，应由基金管理人负责与有关当事人确定到账日期并通知基金托管人，到账日基金财产没有到达基金资金账户的，基金托管人应及时通知基金管理人采取措施进行催收，由此给基金财产造成损失的，基金管理人应负责向有关当事人追偿基金财产的损失，基金托管人应提供必要的协助。</w:t>
      </w:r>
    </w:p>
    <w:p>
      <w:pPr>
        <w:adjustRightInd w:val="0"/>
        <w:snapToGrid w:val="0"/>
        <w:spacing w:line="360" w:lineRule="auto"/>
        <w:ind w:firstLine="480" w:firstLineChars="200"/>
        <w:rPr>
          <w:rFonts w:hint="eastAsia" w:ascii="宋体" w:hAnsi="宋体" w:cs="Arial"/>
          <w:sz w:val="21"/>
          <w:szCs w:val="21"/>
          <w:highlight w:val="none"/>
        </w:rPr>
      </w:pPr>
      <w:r>
        <w:rPr>
          <w:rFonts w:hint="eastAsia" w:ascii="宋体" w:hAnsi="宋体" w:cs="宋体"/>
          <w:sz w:val="24"/>
          <w:szCs w:val="24"/>
          <w:highlight w:val="none"/>
        </w:rPr>
        <w:t>7.基金托管人对因为基金管理人投资产生的存放或存管在基金托管人以外机构的基金资产，或交由证券公司负责清算交收的基金资产（包括但不限于证券交易资金账户内的资金</w:t>
      </w:r>
      <w:r>
        <w:rPr>
          <w:rFonts w:hint="eastAsia" w:ascii="宋体" w:hAnsi="宋体" w:cs="宋体"/>
          <w:sz w:val="24"/>
          <w:highlight w:val="none"/>
        </w:rPr>
        <w:t>、证券类基金资产</w:t>
      </w:r>
      <w:r>
        <w:rPr>
          <w:rFonts w:hint="eastAsia" w:ascii="宋体" w:hAnsi="宋体" w:cs="宋体"/>
          <w:sz w:val="24"/>
          <w:szCs w:val="24"/>
          <w:highlight w:val="none"/>
        </w:rPr>
        <w:t>等）及其收益，由于该等机构或该机构会员单位等本协议当事人外第三方的欺诈、疏忽、过失或破产等原因给基金资产造成的损失等不承担责任。</w:t>
      </w:r>
    </w:p>
    <w:p>
      <w:pPr>
        <w:spacing w:line="360" w:lineRule="auto"/>
        <w:ind w:firstLine="480" w:firstLineChars="200"/>
        <w:rPr>
          <w:rFonts w:ascii="宋体" w:hAnsi="宋体" w:cs="宋体"/>
          <w:sz w:val="24"/>
          <w:highlight w:val="none"/>
        </w:rPr>
      </w:pPr>
      <w:r>
        <w:rPr>
          <w:rFonts w:ascii="宋体" w:hAnsi="宋体" w:cs="宋体"/>
          <w:sz w:val="24"/>
          <w:highlight w:val="none"/>
        </w:rPr>
        <w:t>8</w:t>
      </w:r>
      <w:r>
        <w:rPr>
          <w:rFonts w:hint="eastAsia" w:ascii="宋体" w:hAnsi="宋体" w:cs="宋体"/>
          <w:sz w:val="24"/>
          <w:highlight w:val="none"/>
        </w:rPr>
        <w:t>.除依据法律法规和基金合同的规定外，基金托管人不得委托第三人托管基金财产。</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（二）基金募集期间及募集资金的验资</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1.基金募集期间募集的资金应开立“基金募集专户”。该账户由基金管理人或基金管理人委托的登记机构开立并管理。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募集期满或基金停止募集时，募集的基金份额总额、基金募集金额、基金份额持有人人数符合《基金法》、《运作办法》等有关规定后，基金管理人应将属于基金财产的全部资金划入基金托管人为基金开立的基金资金账户，同时在规定时间内，基金管理人应聘请符合《中华人民共和国证券法》规定的会计师事务所进行验资，出具验资报告。出具的验资报告由参加验资的2名或2名以上中国注册会计师签字方为有效。</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3.若基金募集期限届满，未能达到基金合同生效的条件，由基金管理人按规定办理退款等事宜，基金托管人应当予以必要的协助和配合。</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（三）基金资金账户的开立和管理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基金托管人以本基金的名义在其营业机构开立基金的资金账户（也可称为“托管账户”），保管基金的银行存款，并根据基金管理人的指令办理资金收付。基金开立的托管账户原则上应按“开户主体全称+产品全称”规则命名，如遇账户名称过长影响其他业务办理等特殊情况时，开户主体或产品名称可以使用简称，确保资金账户名称与所托管的产品名称相对应，预留印鉴为基金托管人印章。</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2.基金资金账户的开立和使用，限于满足开展本基金业务的需要。基金托管人和基金管理人不得假借本基金的名义开立任何其他银行账户；亦不得使用基金的任何账户进行本基金业务以外的活动。</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3.基金资金账户的开立和管理应符合法律法规及银行业监督管理机构的有关规定。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（四）基金证券账户和证券交易资金账户的开立和管理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1.基金托管人在中国证券登记结算有限责任公司为基金开立基金托管人与基金联名的证券账户。</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3.基金证券账户的开立和证券账户卡的保管由基金托管人负责，账户资产的管理和运用由基金管理人负责。</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4.基金管理人为基金财产在证券经纪机构开立证券交易资金账户，用于基金财产证券交易结算资金的存管、记载交易结算资金的变动明细以及场内证券交易清算，并与基金托管人开立的托管账户建立第三方存管关系。</w:t>
      </w:r>
    </w:p>
    <w:p>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5.基金托管人和基金管理人不得出借或转让证券账户、证券交易资金账户，亦不得使用证券账户或证券交易资金账户进行本基金业务以外的活动。本基金通过证券经纪机构进行的交易由证券经纪机构作为结算参与人代理本基金进行结算。</w:t>
      </w:r>
    </w:p>
    <w:p>
      <w:pPr>
        <w:numPr>
          <w:ilvl w:val="255"/>
          <w:numId w:val="0"/>
        </w:numPr>
        <w:spacing w:line="360" w:lineRule="auto"/>
        <w:ind w:firstLine="480" w:firstLineChars="200"/>
        <w:rPr>
          <w:rFonts w:ascii="宋体" w:hAnsi="宋体" w:cs="宋体"/>
          <w:sz w:val="24"/>
          <w:highlight w:val="none"/>
        </w:rPr>
      </w:pPr>
      <w:r>
        <w:rPr>
          <w:rFonts w:hint="eastAsia" w:ascii="宋体" w:hAnsi="宋体" w:cs="宋体"/>
          <w:sz w:val="24"/>
          <w:highlight w:val="none"/>
        </w:rPr>
        <w:t>6.基金管理人承诺证券交易资金账户为主资金账户，不开立任何辅助资金账户；不为证券交易资金账户另行开立银行托管账户以外的其他银行账户</w:t>
      </w:r>
    </w:p>
    <w:p>
      <w:pPr>
        <w:numPr>
          <w:ilvl w:val="255"/>
          <w:numId w:val="0"/>
        </w:numPr>
        <w:spacing w:line="360" w:lineRule="auto"/>
        <w:ind w:firstLine="480" w:firstLineChars="200"/>
        <w:rPr>
          <w:rFonts w:ascii="宋体" w:hAnsi="宋体" w:cs="宋体"/>
          <w:sz w:val="24"/>
          <w:highlight w:val="none"/>
        </w:rPr>
      </w:pPr>
      <w:r>
        <w:rPr>
          <w:rFonts w:hint="eastAsia" w:ascii="宋体" w:hAnsi="宋体" w:cs="宋体"/>
          <w:sz w:val="24"/>
          <w:highlight w:val="none"/>
        </w:rPr>
        <w:t>7.若中国证监会或其他监管机构在本托管协议订立日之后允许基金从事其他投资品种的投资业务，涉及相关账户的开立、使用的，按有关规定开立、使用并管理；若无相关规定，则基金托管人比照上述关于账户开立、使用的规定执行。</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（五）债券托管账户的开设和管理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合同生效后，基金托管人根据中国人民银行、中央国债登记结算有限责任公司和银行间市场清算所股份有限公司的有关规定，以基金的名义在银行间市场登记结算机构开立债券托管账户，并代表基金进行银行间市场债券的结算。</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（六）其他账户的开立和管理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1.因业务发展需要而开立的其他账户，可以根据法律法规和基金合同的规定，由基金管理人协助基金托管人按照有关法律法规和本协议的约定协商后开立。新账户按有关规定使用并管理。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2.法律法规等有关规定对相关账户的开立和管理另有规定的，从其规定办理。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（七）基金财产投资的有关有价凭证等的保管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财产投资的有关实物证券等有价凭证按约定由基金托管人存放于基金托管人的保管库，或存入中央国债登记结算有限责任公司、银行间市场清算所股份有限公司、中国证券登记结算有限责任公司或票据营业中心的代保管库，实物保管凭证由基金托管人持有。实物证券等有价凭证的购买和转让，由基金托管人根据基金管理人的指令办理。基金托管人对由上述存放机构及基金托管人以外机构实际有效控制</w:t>
      </w:r>
      <w:bookmarkStart w:id="86" w:name="OLE_LINK269"/>
      <w:bookmarkStart w:id="87" w:name="OLE_LINK268"/>
      <w:r>
        <w:rPr>
          <w:rFonts w:hint="eastAsia" w:ascii="宋体" w:hAnsi="宋体" w:cs="宋体"/>
          <w:sz w:val="24"/>
          <w:highlight w:val="none"/>
        </w:rPr>
        <w:t>的有价凭证不承担保管责任。</w:t>
      </w:r>
    </w:p>
    <w:bookmarkEnd w:id="86"/>
    <w:bookmarkEnd w:id="87"/>
    <w:p>
      <w:pPr>
        <w:spacing w:line="360" w:lineRule="auto"/>
        <w:ind w:firstLine="480" w:firstLineChars="200"/>
        <w:rPr>
          <w:rFonts w:ascii="宋体" w:hAnsi="宋体" w:cs="宋体"/>
          <w:sz w:val="24"/>
          <w:highlight w:val="none"/>
        </w:rPr>
      </w:pPr>
      <w:r>
        <w:rPr>
          <w:rFonts w:hint="eastAsia" w:ascii="宋体" w:hAnsi="宋体" w:cs="宋体"/>
          <w:sz w:val="24"/>
          <w:highlight w:val="none"/>
        </w:rPr>
        <w:t>（八）与基金财产有关的重大合同的保管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由基金管理人代表基金签署的、与基金财产有关的重大合同的原件分别由基金管理人、基金托管人保管。除本协议另有规定外，基金管理人代表基金签署的与基金财产有关的重大合同应保证基金管理人和基金托管人尽量至少各持有一份正本的原件。基金管理人应在重大合同签署后及时将重大合同传真给基金托管人，并在三十个工作日内将正本送达基金托管人处。因基金管理人发送的合同传真件与事后送达的合同原件不一致所造成的后果，由基金管理人负责。重大合同的保管期限为基金合同终止后不少于20年。</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对于无法取得二份以上的正本的，基金管理人应向基金托管人提供加盖公章的合同传真件，未经双方协商一致，合同原件不得转移。基金管理人向基金托管人提供的合同传真件与基金管理人留存原件不一致的，以传真件为准。</w:t>
      </w:r>
    </w:p>
    <w:p>
      <w:pPr>
        <w:spacing w:line="360" w:lineRule="auto"/>
        <w:ind w:firstLine="480" w:firstLineChars="200"/>
        <w:rPr>
          <w:rFonts w:ascii="宋体" w:hAnsi="宋体" w:cs="宋体"/>
          <w:sz w:val="24"/>
          <w:highlight w:val="none"/>
        </w:rPr>
      </w:pPr>
    </w:p>
    <w:p>
      <w:pPr>
        <w:pStyle w:val="2"/>
        <w:jc w:val="center"/>
        <w:rPr>
          <w:rFonts w:ascii="宋体" w:hAnsi="宋体" w:cs="宋体"/>
          <w:sz w:val="24"/>
          <w:szCs w:val="24"/>
          <w:highlight w:val="none"/>
        </w:rPr>
      </w:pPr>
      <w:bookmarkStart w:id="88" w:name="_Toc86204790"/>
      <w:bookmarkStart w:id="89" w:name="_Toc86737931"/>
      <w:bookmarkStart w:id="90" w:name="_Toc110761798"/>
      <w:bookmarkStart w:id="91" w:name="_Toc86726441"/>
      <w:bookmarkStart w:id="92" w:name="_Toc89163370"/>
      <w:bookmarkStart w:id="93" w:name="_Toc84234389"/>
      <w:bookmarkStart w:id="94" w:name="_Toc84234436"/>
      <w:bookmarkStart w:id="95" w:name="_Toc86649724"/>
      <w:bookmarkStart w:id="96" w:name="_Toc108512360"/>
      <w:bookmarkStart w:id="97" w:name="_Toc86223244"/>
      <w:bookmarkStart w:id="98" w:name="_Toc118774805"/>
      <w:bookmarkStart w:id="99" w:name="_Toc110765662"/>
      <w:bookmarkStart w:id="100" w:name="_Toc120435785"/>
      <w:bookmarkStart w:id="101" w:name="_Toc84133787"/>
      <w:bookmarkStart w:id="102" w:name="_Toc118212952"/>
      <w:bookmarkStart w:id="103" w:name="_Toc86225293"/>
      <w:bookmarkStart w:id="104" w:name="_Toc86727357"/>
      <w:bookmarkStart w:id="105" w:name="_Toc118972650"/>
      <w:bookmarkStart w:id="106" w:name="_Toc110830494"/>
      <w:bookmarkStart w:id="107" w:name="_Toc119402712"/>
      <w:r>
        <w:rPr>
          <w:rFonts w:hint="eastAsia" w:ascii="宋体" w:hAnsi="宋体" w:cs="宋体"/>
          <w:sz w:val="24"/>
          <w:szCs w:val="24"/>
          <w:highlight w:val="none"/>
        </w:rPr>
        <w:br w:type="page"/>
      </w:r>
      <w:bookmarkStart w:id="108" w:name="_Toc17383"/>
      <w:bookmarkStart w:id="109" w:name="_Toc384992696"/>
      <w:bookmarkStart w:id="110" w:name="_Toc32588"/>
      <w:bookmarkStart w:id="111" w:name="_Toc1677"/>
      <w:bookmarkStart w:id="112" w:name="_Toc348082034"/>
      <w:r>
        <w:rPr>
          <w:rFonts w:hint="eastAsia" w:ascii="宋体" w:hAnsi="宋体" w:cs="宋体"/>
          <w:sz w:val="30"/>
          <w:szCs w:val="30"/>
          <w:highlight w:val="none"/>
        </w:rPr>
        <w:t>六、指令的发送、确认及执行</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基金管理人在运用基金财产时向基金托管人发送资金划拨及其他款项付款指令，基金托管人执行基金管理人的指令、办理基金名下的资金往来等有关事项。</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基金管理人发送的指令包括电子指令和纸质指令。</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电子指令包括基金管理人发送的电子指令（采用电子报文传送的电子指令、招商银行托管+综合服务平台录入的电子指令）、自动产生的电子指令（网上托管银行托管人端根据管理人同意设定的业务规则自动产生的电子指令）。纸质指令包括基金管理人给基金托管人传真指令或原件指令。</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（一）基金管理人对发送指令人员的书面授权</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应事先向基金托管人提供书面授权通知书（以下称“授权通知书”），指定指令的被授权人员及被授权印鉴，授权通知书的内容包括被授权人的名单、签字/印章样本、权限和预留印鉴，以及授权的传真号码、邮箱、电话号码等。授权通知书应加盖基金管理人公司公章和法定代表人（或授权人）签字/签章，若由授权代表签署，还须附上法定代表人的授权书，并写明生效时间，未写明生效时间的以本协议签署日期或授权通知书的落款日期为生效时间。基金管理人应使用传真或其他与基金托管人协商一致的方式向基金托管人发出授权通知书，同时电话通知基金托管人。授权通知书经基金管理人与基金托管人以电话方式或其他基金管理人和基金托管人认可的方式确认后，于授权通知书载明的生效时间生效或授权通知书的落款时间生效（授权通知书未载明生效时间的）。基金管理人在此后三个工作日内将授权通知书的正本送交基金托管人。授权通知书正本内容与基金托管人收到的传真不一致的，以基金托管人收到的传真为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基金管理人和基金托管人对授权通知书负有保密义务，其内容不得向授权人、被授权人及相关操作人员以外的任何人泄露，但法律法规规定或有权机关另有要求的除外。</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（二）指令的内容</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投资指令是在管理本基金时，基金管理人向基金托管人发出的交易成交单、交易指令及资金划拨类指令（以下简称“指令”）。指令应加盖预留印鉴并由被授权人印章/签字。基金管理人发给基金托管人的资金划拨类指令应写明款项事由、时间、金额、出款和收款账户信息等。</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（三）指令的发送、确认及执行的时间和程序</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1.指令发送的方式</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基金管理人选择以下第（1）种方式向基金托管人发送指令：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（1）基金管理人通过招商银行托管+综合服务平台录入方式，向基金托管人发送电子划款指令或投资指令。</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招商银行托管+综合服务平台是指基金托管人基于Internet网络，向基金管理人提供的客户服务软件，实现基金管理人与基金托管人之间指令处理、数据传输、业务查询、资料传递和信息服务等直通式处理。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基金管理人和基金托管人另行签订《招商银行“托管+”综合服务平台服务协议》，具体事宜以《招商银行“托管+”综合服务平台服务协议》的约定为准。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（2）基金管理人通过深证通电子直连对接方式，向基金托管人发送电子划款指令或投资指令。</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基金管理人通过深证通电子直连对接方式发送电子指令的，基金管理人应至少在基金成立日前一日，通过预留邮箱或加盖预留印鉴的函件告知基金托管人本基金的基金代码。</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对于基金管理人通过上述（1）、（2）方式发送的指令，基金管理人不得否认其效力。</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对于基金管理人通过上述（1）、（2）方式发送指令的，在应急情况下，基金管理人可以传真发送划款指令或者快递、现场交互原件指令。具体操作方式分别按照以下第（3）、（4）款指令发送方式执行。</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（3）基金管理人选择以传真方式发送指令</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对于基金管理人通过预留传真号码发出的指令，基金管理人不得否认其效力。</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特殊情况下，基金管理人无法使用预留传真号码发送指令时，可通过非预留传真号码应急发送传真指令，基金管理人须通过授权的电话号码通知基金托管人接收传真指令。如因基金管理人未通知基金托管人接收传真指令造成的损失，基金托管人不承担责任。上述特殊情况解决后，基金管理人应向基金托管人出具预留传真号码更新通知，并加盖基金管理人在授权通知书中的预留印鉴。</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（4）基金管理人快递寄送或现场交互指令原件的形式传递指令</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如需变更指令发送形式，基金管理人须提前向基金托管人提供变更指令发送形式的指令发送方式变更通知书。</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2.指令附件的发送方式</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向基金托管人发送指令的同时，通过招商银行托管+综合服务平台、预留传真号码或预留指令附件发送电子邮箱提供相关合同、交易凭证或其他证明材料。基金管理人对该等资料的真实性、有效性、完整性和合法合规性负责。</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对于通过招商银行托管+综合服务平台、预留传真号码或预留电子邮箱发出的指令附件，基金管理人和基金托管人不得否认其效力。</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3.指令发送的时间</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对于场内业务，基金管理人在运用基金财产开展场内证券交易前，基金管理人通过基金托管账户与证券交易资金账户已建立的第三方存管系统在基金托管户与证券交易资金账户之间划款，即银证互转。</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对于银行间业务，基金管理人应于交易日15:00前将银行间成交单及相关划款指令发送至基金托管人。基金管理人应与基金托管人确认基金托管人已完成证书和权限设置后方可进行本基金的银行间交易。对于向基金托管人出具无需银行间成交单授权书的，基金管理人应在首笔银行间交易时通过预留电话通知基金托管人，如基金管理人未通知基金托管人，导致指令未执行或执行失败的，基金托管人不承担责任。</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对于指定时间出款的交易指令，基金管理人应提前2小时将指令发送至基金托管人；对于基金管理人于15:00以后发送至基金托管人的指令，基金托管人不保证当日出款，但应尽力划款及配合，如出款不成功，基金托管人不承担责任。</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4.指令的确认</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有义务在发送指令后与基金托管人进行电话确认，如因基金管理人未通知基金托管人接收传真指令造成的损失，基金托管人不承担责任。对于依照“授权通知书”发出的指令，基金管理人不得否认其效力。</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5.指令的执行</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基金管理人在发送指令时，应确保出款账户有足够的资金余额、文件资料齐全，并为基金托管人留出执行指令所必需的时间，因基金管理人未给予合理必需的时间导致</w:t>
      </w:r>
      <w:bookmarkStart w:id="113" w:name="OLE_LINK270"/>
      <w:bookmarkStart w:id="114" w:name="OLE_LINK271"/>
      <w:r>
        <w:rPr>
          <w:rFonts w:hint="eastAsia" w:ascii="宋体" w:hAnsi="宋体" w:cs="宋体"/>
          <w:sz w:val="24"/>
          <w:highlight w:val="none"/>
        </w:rPr>
        <w:t>基金托管人操作不成功的，基金托管人不承担责任。</w:t>
      </w:r>
    </w:p>
    <w:bookmarkEnd w:id="113"/>
    <w:bookmarkEnd w:id="114"/>
    <w:p>
      <w:pPr>
        <w:spacing w:line="360" w:lineRule="auto"/>
        <w:ind w:firstLine="480" w:firstLineChars="200"/>
        <w:rPr>
          <w:rFonts w:ascii="宋体" w:hAnsi="宋体" w:cs="宋体"/>
          <w:sz w:val="24"/>
          <w:highlight w:val="none"/>
        </w:rPr>
      </w:pPr>
      <w:r>
        <w:rPr>
          <w:rFonts w:hint="eastAsia" w:ascii="宋体" w:hAnsi="宋体" w:cs="宋体"/>
          <w:sz w:val="24"/>
          <w:highlight w:val="none"/>
        </w:rPr>
        <w:t>基金托管人确认收到基金管理人发送的指令后，应对指令进行形式审查，验证指令的要素（金额、收款账号、收款户名、用途）是否齐全，传真指令还应审核印鉴和印章/签字是否和预留印鉴和签章样本表面一致性相符，传真指令加盖的印鉴和预留印鉴形式上不存在重大差异即视为表面一致性审查通过，对于因传真或扫描引起的印章、签字等变形、扭曲，基金托管人不承担审查义务。基金托管人仅对基金管理人提交的指令按照本协议约定进行表面一致性审查，不负责审查基金管理人发送指令同时提交的其他文件资料的合法性、真实性、完整性和有效性，基金管理人应保证上述文件资料合法、真实、完整和有效。如因基金管理人提供的上述文件不合法、不真实、不完整或失去效力而影响基金托管人的审核或给任何第三人带来损失，由基金管理人承担责任。</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基金托管人审核指令无误后应在规定期限内及时执行。</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6.指令的撤销</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在指令未执行的前提下，若基金管理人撤销指令，基金管理人应在原指令上注明“作废”、“废”、“取消”等字样并加盖预留印鉴及被授权人印章/签字后传真给基金托管人，并电话通知基金托管人。若撤销电子指令，基金管理人应通过相关系统撤销，系统功能不支持撤销的，应参照撤销传真指令方式撤销电子指令。</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（四）基金管理人发送错误指令的情形和处理程序</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1、基金管理人发送错误指令的情形包括指令发送人员无权或超越权限发送指令，指令不能辨识或要素不全导致无法执行等情形。</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2、当基金托管人认为所接收指令为错误指令时，应及时与基金管理人进行电话确认，并暂停指令的执行，由基金管理人撤销指令或撤销后再重新发送指令。</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（五）基金托管人依照法律法规暂缓、拒绝执行指令的情形和处理程序</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托管人发现基金管理人发送的指令有可能违反《基金法》、《运作办法》、《基金合同》、本协议或其他有关法律法规的规定时，应暂缓执行指令，并及时通知基金管理人，基金管理人收到通知后应及时核对并纠正；如相关交易已生效，则应通知基金管理人在法规规定期限内及时纠正。对于基金托管人事前难以监督的交易行为，基金托管人在事后履行了对基金管理人的通知义务后，即视为完全履行了其投资监督职责。对于基金管理人违反《基金法》、《运作办法》、《基金合同》、本协议或其他有关法律法规的规定造成基金财产损失的，由基金管理人承担相应责任，基金托管人免于承担责任。</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（六）基金托管人未按照基金管理人指令执行的处理方法</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对于基金管理人的有效指令和通知，除非违反法律法规、基金合同、托管协议或具有第（四）项所述错误，基金托管人不得无故拒绝或拖延执行。除因故意或重大过失致使本基金、基金管理人的利益受到损害而负赔偿责任外，基金托管人对正确及时执行基金管理人的合法指令对基金财产造成的损失不承担赔偿责任。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（七）更换被授权人员的程序</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撤换被授权人员、改变被授权人员的权限、变更或新增接收传真指令的号码、预留电话号码、预留邮箱，必须提前至少一个交易日，使用传真方式或其他基金管理人和基金托管人认可的方式重新向基金托管人发出加盖基金管理人公司公章的授权通知书，同时电话通知基金托管人。经基金管理人与基金托管人以电话方式或其他基金管理人和基金托管人认可的方式确认后，于授权通知书载明的生效时间生效，同时原授权通知书失效。基金管理人在此后三个工作日内将被授权人变更通知的正本送交基金托管人。授权通知书正本内容与基金托管人收到的传真不一致的，以基金托管人收到的传真为准。基金托管人更换接收基金管理人指令的人员，应提前通知基金管理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（八）指令的保管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指令若以传真形式发出，则正本由基金管理人保管，基金托管人保管指令传真件。当两者不一致时，以基金托管人收到的指令传真件为准。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（九）相关责任</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对基金管理人在没有充足资金的情况下向基金托管人发出的指令致使资金未能及时清算所造成的损失，由基金管理人承担。因基金管理人原因造成的传输不及时、未能留出足够执行时间、未能及时与基金托管人进行指令确认致使资金未能及时清算或交易失败所造成的损失由基金管理人承担，但如遇到不可抗力的情况除外。基金托管人正确及时执行基金管理人发送的有效指令，基金财产发生损失的，基金托管人不承担相应的责任。在正常业务受理渠道和指令规定的时间内，因基金托管人原因造成未能及时或正确执行合法合规的指令而导致基金财产受损的，基金托管人应承担相应的责任，但如遇到不可抗力的情况除外。</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托管人根据本协议相关规定履行印鉴和签名的表面一致性形式审核职责，如果基金管理人的指令存在事实上未经授权、欺诈、伪造或未能及时提供授权通知书等情形，基金托管人不承担因执行有关指令或拒绝执行有关指令而给基金管理人或基金资产或任何第三方带来的损失，相应责任由基金管理人承担，但基金托管人未按本协议约定尽形式审核义务执行指令而造成损失的情形除外。</w:t>
      </w:r>
    </w:p>
    <w:p>
      <w:pPr>
        <w:pStyle w:val="2"/>
        <w:jc w:val="center"/>
        <w:rPr>
          <w:rFonts w:ascii="宋体" w:hAnsi="宋体" w:cs="宋体"/>
          <w:sz w:val="24"/>
          <w:szCs w:val="24"/>
          <w:highlight w:val="none"/>
        </w:rPr>
      </w:pPr>
      <w:bookmarkStart w:id="115" w:name="_Toc86727358"/>
      <w:bookmarkStart w:id="116" w:name="_Toc31503"/>
      <w:bookmarkStart w:id="117" w:name="_Toc86737932"/>
      <w:bookmarkStart w:id="118" w:name="_Toc119402713"/>
      <w:bookmarkStart w:id="119" w:name="_Toc86225294"/>
      <w:bookmarkStart w:id="120" w:name="_Toc9684"/>
      <w:bookmarkStart w:id="121" w:name="_Toc86726442"/>
      <w:bookmarkStart w:id="122" w:name="_Toc118774806"/>
      <w:bookmarkStart w:id="123" w:name="_Toc118972651"/>
      <w:bookmarkStart w:id="124" w:name="_Toc384992697"/>
      <w:bookmarkStart w:id="125" w:name="_Toc26448"/>
      <w:bookmarkStart w:id="126" w:name="_Toc84234390"/>
      <w:bookmarkStart w:id="127" w:name="_Toc110765663"/>
      <w:bookmarkStart w:id="128" w:name="_Toc84234437"/>
      <w:bookmarkStart w:id="129" w:name="_Toc108512361"/>
      <w:bookmarkStart w:id="130" w:name="_Toc86649725"/>
      <w:bookmarkStart w:id="131" w:name="_Toc86204791"/>
      <w:bookmarkStart w:id="132" w:name="_Toc118212953"/>
      <w:bookmarkStart w:id="133" w:name="_Toc110830495"/>
      <w:bookmarkStart w:id="134" w:name="_Toc110761799"/>
      <w:bookmarkStart w:id="135" w:name="_Toc84133788"/>
      <w:bookmarkStart w:id="136" w:name="_Toc348082035"/>
      <w:bookmarkStart w:id="137" w:name="_Toc120435786"/>
      <w:bookmarkStart w:id="138" w:name="_Toc89163371"/>
      <w:bookmarkStart w:id="139" w:name="_Toc86223245"/>
      <w:r>
        <w:rPr>
          <w:rFonts w:hint="eastAsia" w:ascii="宋体" w:hAnsi="宋体" w:cs="宋体"/>
          <w:sz w:val="30"/>
          <w:szCs w:val="30"/>
          <w:highlight w:val="none"/>
        </w:rPr>
        <w:t>七、交易及清算交收安排</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spacing w:line="360" w:lineRule="auto"/>
        <w:ind w:firstLine="480" w:firstLineChars="200"/>
        <w:rPr>
          <w:rFonts w:ascii="宋体" w:hAnsi="宋体" w:cs="宋体"/>
          <w:sz w:val="24"/>
          <w:highlight w:val="none"/>
        </w:rPr>
      </w:pPr>
      <w:r>
        <w:rPr>
          <w:rFonts w:hint="eastAsia" w:ascii="宋体" w:hAnsi="宋体" w:cs="宋体"/>
          <w:sz w:val="24"/>
          <w:highlight w:val="none"/>
        </w:rPr>
        <w:t>（一）选择代理证券买卖的证券经纪机构</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应制定选择的标准和程序，并负责根据相关标准以及内部管理制度对有关证券经纪机构进行考察后确定代理本基金证券买卖证券经纪机构，并承担相应责任。基金管理人、基金托管人和证券经纪机构可就本基金参与证券交易的具体事项另行签订证券经纪服务协议。</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（二）基金投资证券后的清算交收安排</w:t>
      </w:r>
    </w:p>
    <w:p>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本基金通过证券经纪机构进行的交易由证券经纪机构作为结算参与人代理本基金进行结算；本基金其他证券交易由基金托管人或相关机构负责结算。基金管理人、基金托管人以及被选择的证券经纪机构应根据有关法律法规及相关业务规则，签订证券经纪服务协议，用以具体明确三方在证券交易资金结算业务中的责任。 </w:t>
      </w:r>
    </w:p>
    <w:p>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对基金管理人的资金划拨指令，基金托管人在复核无误后应在规定期限内执行不得延误。 </w:t>
      </w:r>
    </w:p>
    <w:p>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本基金投资于所有场外交易的资金汇划，由基金托管人负责办理。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证券经纪机构代理本基金财产与中登公司完成证券交易及非交易涉及的证券资金</w:t>
      </w:r>
      <w:bookmarkStart w:id="140" w:name="OLE_LINK272"/>
      <w:bookmarkStart w:id="141" w:name="OLE_LINK273"/>
      <w:r>
        <w:rPr>
          <w:rFonts w:hint="eastAsia" w:ascii="宋体" w:hAnsi="宋体" w:cs="宋体"/>
          <w:sz w:val="24"/>
          <w:highlight w:val="none"/>
        </w:rPr>
        <w:t>结算业务，并承担由证券经纪机构原因造成的正常结算</w:t>
      </w:r>
      <w:bookmarkEnd w:id="140"/>
      <w:bookmarkEnd w:id="141"/>
      <w:r>
        <w:rPr>
          <w:rFonts w:hint="eastAsia" w:ascii="宋体" w:hAnsi="宋体" w:cs="宋体"/>
          <w:sz w:val="24"/>
          <w:highlight w:val="none"/>
        </w:rPr>
        <w:t>、交收业务无法完成的责任。</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（三）资金净额结算</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资金账户与“基金清算账户”间的资金结算遵循“全额清算、净额交收”的原则，每日按照资金账户应收资金与应付资金的差额来确定资金账户净应收额或净应付额，以此确定资金交收额，基金托管人应当为基金管理人提供适当方式，便于基金管理人进行查询和账务管理。当存在资金账户净应收额时，基金管理人应在交收日15:00时之前从基金清算账户划往基金资金账户，基金管理人通过基金托管人提供的方式查询结果；当存在资金账户净应付额时，基金托管人按照基金管理人的划款指令将托管账户净应付额在交收日及时划往基金清算账户，基金管理人通过基金托管人提供的方式查询结果。</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当存在资金账户净应付额时，如基金银行账户有足够的资金，基金托管人应按时划付；因基金资金账户没有足够的资金，导致基金托管人不能按时划付，基金托管人应及时通知基金管理人，基金托管人不承担责任；如系基金管理人的原因造成，责任由基金管理人承担，基金托管人不承担垫款义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（四）基金现金分红</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1.基金管理人确定分红方案通知基金托管人，双方核定后依照《信息披露办法》的有关规定在中国证监会规定媒介上公告。</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2.基金托管人和基金管理人对基金分红进行账务处理并核对后，基金管理人向基金托管人发送现金红利的划款指令，基金托管人应根据指令及时将分红款划往基金清算账户。</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3.基金管理人在下达指令时，应给基金托管人留出必需的划款时间。</w:t>
      </w:r>
    </w:p>
    <w:p>
      <w:pPr>
        <w:spacing w:line="360" w:lineRule="auto"/>
        <w:ind w:firstLine="480" w:firstLineChars="200"/>
        <w:rPr>
          <w:rFonts w:ascii="宋体" w:hAnsi="宋体" w:cs="宋体"/>
          <w:sz w:val="24"/>
          <w:highlight w:val="none"/>
        </w:rPr>
      </w:pPr>
    </w:p>
    <w:p>
      <w:pPr>
        <w:spacing w:line="360" w:lineRule="auto"/>
        <w:ind w:firstLine="480" w:firstLineChars="200"/>
        <w:rPr>
          <w:rFonts w:ascii="宋体" w:hAnsi="宋体" w:cs="宋体"/>
          <w:sz w:val="24"/>
          <w:highlight w:val="none"/>
        </w:rPr>
      </w:pPr>
    </w:p>
    <w:p>
      <w:pPr>
        <w:pStyle w:val="2"/>
        <w:jc w:val="center"/>
        <w:rPr>
          <w:rFonts w:ascii="宋体" w:hAnsi="宋体" w:cs="宋体"/>
          <w:sz w:val="24"/>
          <w:szCs w:val="24"/>
          <w:highlight w:val="none"/>
        </w:rPr>
      </w:pPr>
      <w:r>
        <w:rPr>
          <w:rFonts w:hint="eastAsia" w:ascii="宋体" w:hAnsi="宋体" w:cs="宋体"/>
          <w:sz w:val="24"/>
          <w:szCs w:val="24"/>
          <w:highlight w:val="none"/>
        </w:rPr>
        <w:br w:type="page"/>
      </w:r>
      <w:bookmarkStart w:id="142" w:name="_Toc21859"/>
      <w:bookmarkStart w:id="143" w:name="_Toc6790"/>
      <w:bookmarkStart w:id="144" w:name="_Toc30134"/>
      <w:bookmarkStart w:id="145" w:name="_Toc348082036"/>
      <w:bookmarkStart w:id="146" w:name="_Toc384992698"/>
      <w:r>
        <w:rPr>
          <w:rFonts w:hint="eastAsia" w:ascii="宋体" w:hAnsi="宋体" w:cs="宋体"/>
          <w:sz w:val="30"/>
          <w:szCs w:val="30"/>
          <w:highlight w:val="none"/>
        </w:rPr>
        <w:t>八、基金资产净值计算、估值和会计核算</w:t>
      </w:r>
      <w:bookmarkEnd w:id="142"/>
      <w:bookmarkEnd w:id="143"/>
      <w:bookmarkEnd w:id="144"/>
      <w:bookmarkEnd w:id="145"/>
      <w:bookmarkEnd w:id="146"/>
    </w:p>
    <w:p>
      <w:pPr>
        <w:spacing w:line="360" w:lineRule="auto"/>
        <w:ind w:firstLine="480" w:firstLineChars="200"/>
        <w:rPr>
          <w:rFonts w:ascii="宋体" w:hAnsi="宋体" w:cs="宋体"/>
          <w:sz w:val="24"/>
          <w:highlight w:val="none"/>
        </w:rPr>
      </w:pPr>
      <w:r>
        <w:rPr>
          <w:rFonts w:hint="eastAsia" w:ascii="宋体" w:hAnsi="宋体" w:cs="宋体"/>
          <w:sz w:val="24"/>
          <w:highlight w:val="none"/>
        </w:rPr>
        <w:t>（一）基金资产净值的计算、复核与完成的时间及程序</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1.基金资产净值</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基金资产净值是指基金资产总值减去基金负债后的价值。</w:t>
      </w:r>
    </w:p>
    <w:p>
      <w:pPr>
        <w:spacing w:line="360" w:lineRule="auto"/>
        <w:ind w:firstLine="480" w:firstLineChars="200"/>
        <w:rPr>
          <w:rFonts w:ascii="宋体" w:hAnsi="宋体" w:cs="宋体"/>
          <w:sz w:val="24"/>
          <w:highlight w:val="none"/>
        </w:rPr>
      </w:pPr>
      <w:bookmarkStart w:id="147" w:name="OLE_LINK276"/>
      <w:bookmarkStart w:id="148" w:name="OLE_LINK277"/>
      <w:r>
        <w:rPr>
          <w:rFonts w:hint="eastAsia" w:ascii="宋体" w:hAnsi="宋体" w:cs="宋体"/>
          <w:sz w:val="24"/>
          <w:highlight w:val="none"/>
        </w:rPr>
        <w:t>基金份额净值是按照每个</w:t>
      </w:r>
      <w:r>
        <w:rPr>
          <w:rFonts w:ascii="宋体" w:hAnsi="宋体" w:cs="宋体"/>
          <w:sz w:val="24"/>
          <w:highlight w:val="none"/>
        </w:rPr>
        <w:t>估值</w:t>
      </w:r>
      <w:r>
        <w:rPr>
          <w:rFonts w:hint="eastAsia" w:ascii="宋体" w:hAnsi="宋体" w:cs="宋体"/>
          <w:sz w:val="24"/>
          <w:highlight w:val="none"/>
        </w:rPr>
        <w:t>日闭市后，基金资产净值除以当日基金份额的余额数量计算，精确到 0.0001元，小数点后第5位四舍五入，由此产生的误差计入基金财产。国家另有规定的，从其规定。</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基金管理人每个</w:t>
      </w:r>
      <w:r>
        <w:rPr>
          <w:rFonts w:ascii="宋体" w:hAnsi="宋体" w:cs="宋体"/>
          <w:sz w:val="24"/>
          <w:highlight w:val="none"/>
        </w:rPr>
        <w:t>估值</w:t>
      </w:r>
      <w:r>
        <w:rPr>
          <w:rFonts w:hint="eastAsia" w:ascii="宋体" w:hAnsi="宋体" w:cs="宋体"/>
          <w:sz w:val="24"/>
          <w:highlight w:val="none"/>
        </w:rPr>
        <w:t>日计算基金资产净值及基金份额净值，经基金托管人复核，按规定公告。如遇特殊情况，经履行适当程序，可以适当延迟计算或公告。</w:t>
      </w:r>
    </w:p>
    <w:bookmarkEnd w:id="147"/>
    <w:bookmarkEnd w:id="148"/>
    <w:p>
      <w:pPr>
        <w:spacing w:line="360" w:lineRule="auto"/>
        <w:ind w:firstLine="480" w:firstLineChars="200"/>
        <w:rPr>
          <w:rFonts w:ascii="宋体" w:hAnsi="宋体" w:cs="宋体"/>
          <w:sz w:val="24"/>
          <w:highlight w:val="none"/>
        </w:rPr>
      </w:pPr>
      <w:r>
        <w:rPr>
          <w:rFonts w:hint="eastAsia" w:ascii="宋体" w:hAnsi="宋体" w:cs="宋体"/>
          <w:sz w:val="24"/>
          <w:highlight w:val="none"/>
        </w:rPr>
        <w:t>2.复核程序</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基金管理人每个</w:t>
      </w:r>
      <w:r>
        <w:rPr>
          <w:rFonts w:ascii="宋体" w:hAnsi="宋体" w:cs="宋体"/>
          <w:sz w:val="24"/>
          <w:highlight w:val="none"/>
        </w:rPr>
        <w:t>估值</w:t>
      </w:r>
      <w:r>
        <w:rPr>
          <w:rFonts w:hint="eastAsia" w:ascii="宋体" w:hAnsi="宋体" w:cs="宋体"/>
          <w:sz w:val="24"/>
          <w:highlight w:val="none"/>
        </w:rPr>
        <w:t>日对基金资产进行估值后，将基金份额净值结果发送基金托管人，经基金托管人复核无误后，由基金管理人对外公布。</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根据有关法律法规，基金资产净值计算和基金会计核算的义务由基金管理人承担。本基金的基金会计责任方由基金管理人担任，基金托管人发现错误的应当及时提示基金管理人。就与本基金有关的会计问题，如经相关各方在平等基础上充分讨论后，仍无法达成一致意见的，按照基金管理人对基金净值信息的计算结果对外予以公布。</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4.可以从第三方渠道获取可靠数据的，基金托管人应当主要使用第三方数据进行会计核算。对仅依赖基金管理人所提供数据且无法从其他渠道获取可靠数据进行会计核算的，相关责任由基金管理人承担。</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（二）基金资产的估值</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基金管理人及基金托管人应当按照《基金合同》的约定进行估值。</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（三）基金份额净值错误的处理方式</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基金管理人及基金托管人应当按照《基金合同》的约定处理份额净值错误。</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（四）基金会计制度</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按国家有关部门规定的会计制度执行。</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（五）基金账册的建立</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和基金托管人在基金合同生效后，应按照双方约定的同一记账方法和会计处理原则，分别独立地设置、记录和保管本基金的全套账册，对相关各方各自的账册定期进行核对，互相监督，以保证基金资产的安全。</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（六）基金财务报表与报告的编制和复核</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1.财务报表的编制</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基金财务报表由基金管理人编制，基金托管人复核。</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2.报表复核</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基金托管人在收到基金管理人编制的基金财务报表后，进行独立的复核。核对不符时，应及时通知基金管理人共同查出原因，进行调整，直至双方数据完全一致。</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3.财务报表的编制与复核时间安排</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基金托管人应当在每月结束后5个工作日内完成月度报表的编制及复核；在每个季度结束之日起15个工作日内完成基金季度报告的编制及复核，将季度报告登载在规定网站上，并将季度报告提示性公告登载在规定报刊上；在上半年结束之日起2个月内完成基金中期报告的编制及复核，将中期报告登载在规定网站上，并将中期报告提示性公告登载在规定报刊上；在每年结束之日起三个月内完成基金年度报告的编制及复核，将年度报告登载于规定网站上，并将年度报告提示性公告登载在规定报刊上。基金托管人在复核过程中，发现双方的报表存在不符时，基金管理人和基金托管人应共同查明原因，进行调整，调整以国家有关规定为准。基金年度报告的财务会计报告应当经过符合《中华人民共和国证券法》规定的会计师事务所审计。基金合同生效不足两个月的，基金管理人可以不编制当期季度报告、中期报告或者年度报告。</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（七）在有需要时，基金管理人应每季度向基金托管人提供基金业绩比较基准的基础数据和编制结果。</w:t>
      </w:r>
    </w:p>
    <w:p>
      <w:pPr>
        <w:spacing w:line="360" w:lineRule="auto"/>
        <w:ind w:firstLine="480" w:firstLineChars="200"/>
        <w:rPr>
          <w:rFonts w:ascii="宋体" w:hAnsi="宋体" w:cs="宋体"/>
          <w:sz w:val="24"/>
          <w:highlight w:val="none"/>
        </w:rPr>
      </w:pPr>
    </w:p>
    <w:p>
      <w:pPr>
        <w:pStyle w:val="2"/>
        <w:jc w:val="center"/>
        <w:rPr>
          <w:rFonts w:ascii="宋体" w:hAnsi="宋体" w:cs="宋体"/>
          <w:sz w:val="24"/>
          <w:szCs w:val="24"/>
          <w:highlight w:val="none"/>
        </w:rPr>
      </w:pPr>
      <w:r>
        <w:rPr>
          <w:rFonts w:hint="eastAsia" w:ascii="宋体" w:hAnsi="宋体" w:cs="宋体"/>
          <w:sz w:val="24"/>
          <w:szCs w:val="24"/>
          <w:highlight w:val="none"/>
        </w:rPr>
        <w:br w:type="page"/>
      </w:r>
      <w:bookmarkStart w:id="149" w:name="_Toc2381"/>
      <w:bookmarkStart w:id="150" w:name="_Toc384992699"/>
      <w:bookmarkStart w:id="151" w:name="_Toc7004"/>
      <w:bookmarkStart w:id="152" w:name="_Toc348082037"/>
      <w:bookmarkStart w:id="153" w:name="_Toc22259"/>
      <w:r>
        <w:rPr>
          <w:rFonts w:hint="eastAsia"/>
          <w:sz w:val="30"/>
          <w:szCs w:val="30"/>
          <w:highlight w:val="none"/>
        </w:rPr>
        <w:t>九、基金收益分配</w:t>
      </w:r>
      <w:bookmarkEnd w:id="149"/>
      <w:bookmarkEnd w:id="150"/>
      <w:bookmarkEnd w:id="151"/>
      <w:bookmarkEnd w:id="152"/>
      <w:bookmarkEnd w:id="153"/>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基金管理人与基金托管人按照《基金合同》的约定处理基金收益分配。</w:t>
      </w:r>
    </w:p>
    <w:p>
      <w:pPr>
        <w:spacing w:line="360" w:lineRule="auto"/>
        <w:ind w:firstLine="480" w:firstLineChars="200"/>
        <w:rPr>
          <w:rFonts w:ascii="宋体" w:hAnsi="宋体" w:cs="宋体"/>
          <w:sz w:val="24"/>
          <w:highlight w:val="none"/>
        </w:rPr>
      </w:pPr>
    </w:p>
    <w:p>
      <w:pPr>
        <w:pStyle w:val="2"/>
        <w:jc w:val="center"/>
        <w:rPr>
          <w:rFonts w:ascii="宋体" w:hAnsi="宋体" w:cs="宋体"/>
          <w:sz w:val="24"/>
          <w:szCs w:val="24"/>
          <w:highlight w:val="none"/>
        </w:rPr>
      </w:pPr>
      <w:r>
        <w:rPr>
          <w:rFonts w:hint="eastAsia" w:ascii="宋体" w:hAnsi="宋体" w:cs="宋体"/>
          <w:sz w:val="24"/>
          <w:szCs w:val="24"/>
          <w:highlight w:val="none"/>
        </w:rPr>
        <w:br w:type="page"/>
      </w:r>
      <w:bookmarkStart w:id="154" w:name="_Toc18705"/>
      <w:bookmarkStart w:id="155" w:name="_Toc12507"/>
      <w:bookmarkStart w:id="156" w:name="_Toc384992700"/>
      <w:bookmarkStart w:id="157" w:name="_Toc2884"/>
      <w:bookmarkStart w:id="158" w:name="_Toc348082038"/>
      <w:r>
        <w:rPr>
          <w:rFonts w:hint="eastAsia"/>
          <w:sz w:val="30"/>
          <w:szCs w:val="30"/>
          <w:highlight w:val="none"/>
        </w:rPr>
        <w:t>十、基金信息披露</w:t>
      </w:r>
      <w:bookmarkEnd w:id="154"/>
      <w:bookmarkEnd w:id="155"/>
      <w:bookmarkEnd w:id="156"/>
      <w:bookmarkEnd w:id="157"/>
      <w:bookmarkEnd w:id="158"/>
    </w:p>
    <w:p>
      <w:pPr>
        <w:spacing w:line="360" w:lineRule="auto"/>
        <w:ind w:firstLine="480" w:firstLineChars="200"/>
        <w:rPr>
          <w:rFonts w:ascii="宋体" w:hAnsi="宋体" w:cs="宋体"/>
          <w:sz w:val="24"/>
          <w:highlight w:val="none"/>
        </w:rPr>
      </w:pPr>
      <w:r>
        <w:rPr>
          <w:rFonts w:hint="eastAsia" w:ascii="宋体" w:hAnsi="宋体" w:cs="宋体"/>
          <w:sz w:val="24"/>
          <w:highlight w:val="none"/>
        </w:rPr>
        <w:t>（一）保密义务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托管人和基金管理人应按法律法规、基金合同的有关规定进行信息披露，拟公开披露的信息在公开披露之前应予保密。除按《基金法》、基金合同、《信息披露办法》及其他有关规定进行信息披露外，基金管理人和基金托管人对基金运作中产生的信息以及从对方获得的业务信息应予保密。但是，如下情况不应视为基金管理人或基金托管人违反保密义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1.非因基金管理人和基金托管人的原因导致保密信息被披露、泄露或公开；</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2.基金管理人和基金托管人为遵守和服从法院判决或裁定、仲裁裁决或中国证监会等监管机构的命令、决定所做出的信息披露或公开；</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3.因审计、法律等专业服务向外部专业顾问提供信息，并要求专业顾问遵守保密义务。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（二）信息披露的</w:t>
      </w:r>
      <w:bookmarkStart w:id="159" w:name="OLE_LINK323"/>
      <w:bookmarkStart w:id="160" w:name="OLE_LINK322"/>
      <w:r>
        <w:rPr>
          <w:rFonts w:hint="eastAsia" w:ascii="宋体" w:hAnsi="宋体" w:cs="宋体"/>
          <w:sz w:val="24"/>
          <w:highlight w:val="none"/>
        </w:rPr>
        <w:t>内容</w:t>
      </w:r>
    </w:p>
    <w:bookmarkEnd w:id="159"/>
    <w:bookmarkEnd w:id="160"/>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的信息披露内容主要包括基金招募说明书、基金合同、托管协议、基金产品资料概要、基金份额发售公告、基金合同生效公告、基金净值信息、基金定期报告（包括基金年度报告、基金中期报告和基金季度报告）、临时报告、澄清公告、基金份额持有人大会决议、清算报告、中国证监会规定的其他信息。基金年度报告中的财务会计报告需经符合《中华人民共和国证券法》规定的会计师事务所审计后，方可披露。</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应在基金年度报告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10名资产支持证券明细。</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（三）基金托管人和基金管理人在信息披露中的职责和信息披露程序</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1.职责</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托管人和基金管理人在信息披露过程中应以保护基金份额持有人利益为宗旨，诚实信用，严守秘密。基金管理人负责办理与基金有关的信息披露事宜，对于根据相关法律法规和基金合同规定的需要由基金托管人复核的信息披露文件，在经基金托管人复核无误后，由基金管理人予以公布。</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基金管理人和基金托管人应积极配合、互相监督，保证其履行按照法定方式和限时披露的义务。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应当在中国证监会规定的时间内，将应予披露的基金信息通过符合中国证监会规定条件的全国性报刊及《信息披露办法》规定的互联网网站披露。根据法律法规应由基金托管人公开披露的信息，基金托管人在规定媒介公开披露。</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当出现下述情况时，基金管理人和基金托管人可暂停或延迟披露基金相关信息：</w:t>
      </w:r>
    </w:p>
    <w:p>
      <w:pPr>
        <w:spacing w:line="360" w:lineRule="auto"/>
        <w:ind w:firstLine="480" w:firstLineChars="200"/>
        <w:rPr>
          <w:rFonts w:ascii="宋体" w:hAnsi="宋体" w:cs="宋体"/>
          <w:sz w:val="24"/>
          <w:highlight w:val="none"/>
        </w:rPr>
      </w:pPr>
      <w:bookmarkStart w:id="161" w:name="OLE_LINK293"/>
      <w:bookmarkStart w:id="162" w:name="OLE_LINK292"/>
      <w:r>
        <w:rPr>
          <w:rFonts w:hint="eastAsia" w:ascii="宋体" w:hAnsi="宋体" w:cs="宋体"/>
          <w:sz w:val="24"/>
          <w:highlight w:val="none"/>
        </w:rPr>
        <w:t>（1）</w:t>
      </w:r>
      <w:r>
        <w:rPr>
          <w:rFonts w:hint="eastAsia" w:ascii="宋体" w:hAnsi="宋体" w:cs="宋体"/>
          <w:bCs/>
          <w:sz w:val="24"/>
          <w:highlight w:val="none"/>
        </w:rPr>
        <w:t>因不可抗力致使基金管理人、基金托管人无法准确评估基金资产价值时</w:t>
      </w:r>
      <w:r>
        <w:rPr>
          <w:rFonts w:hint="eastAsia" w:ascii="宋体" w:hAnsi="宋体" w:cs="宋体"/>
          <w:sz w:val="24"/>
          <w:highlight w:val="none"/>
        </w:rPr>
        <w:t>；</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（2）基金投资所涉及的证券交易市场遇法定节假日或因其他原因暂停营业时；</w:t>
      </w:r>
    </w:p>
    <w:bookmarkEnd w:id="161"/>
    <w:bookmarkEnd w:id="162"/>
    <w:p>
      <w:pPr>
        <w:spacing w:line="360" w:lineRule="auto"/>
        <w:ind w:firstLine="480" w:firstLineChars="200"/>
        <w:rPr>
          <w:rFonts w:ascii="宋体" w:hAnsi="宋体" w:cs="宋体"/>
          <w:sz w:val="24"/>
          <w:highlight w:val="none"/>
        </w:rPr>
      </w:pPr>
      <w:bookmarkStart w:id="163" w:name="OLE_LINK296"/>
      <w:r>
        <w:rPr>
          <w:rFonts w:hint="eastAsia" w:ascii="宋体" w:hAnsi="宋体" w:cs="宋体"/>
          <w:sz w:val="24"/>
          <w:highlight w:val="none"/>
        </w:rPr>
        <w:t>（3）基金合同约定的暂停估值的情形；</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（4）</w:t>
      </w:r>
      <w:r>
        <w:rPr>
          <w:rFonts w:hint="eastAsia" w:ascii="宋体" w:hAnsi="宋体" w:cs="宋体"/>
          <w:bCs/>
          <w:sz w:val="24"/>
          <w:highlight w:val="none"/>
        </w:rPr>
        <w:t>法律法规规定、中国证监会或基金合同认定的其他情形</w:t>
      </w:r>
      <w:r>
        <w:rPr>
          <w:rFonts w:hint="eastAsia" w:ascii="宋体" w:hAnsi="宋体" w:cs="宋体"/>
          <w:sz w:val="24"/>
          <w:highlight w:val="none"/>
        </w:rPr>
        <w:t>。</w:t>
      </w:r>
    </w:p>
    <w:bookmarkEnd w:id="163"/>
    <w:p>
      <w:pPr>
        <w:spacing w:line="360" w:lineRule="auto"/>
        <w:ind w:firstLine="480" w:firstLineChars="200"/>
        <w:rPr>
          <w:rFonts w:ascii="宋体" w:hAnsi="宋体" w:cs="宋体"/>
          <w:sz w:val="24"/>
          <w:highlight w:val="none"/>
        </w:rPr>
      </w:pPr>
      <w:r>
        <w:rPr>
          <w:rFonts w:hint="eastAsia" w:ascii="宋体" w:hAnsi="宋体" w:cs="宋体"/>
          <w:sz w:val="24"/>
          <w:highlight w:val="none"/>
        </w:rPr>
        <w:t>2.程序</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按有关规定须经基金托管人复核的信息披露文件，由基金管理人起草、并经基金托管人复核后由基金管理人公告。发生基金合同中规定需要披露的事项时，按基金合同规定公布。</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3.信息文本的存放</w:t>
      </w:r>
    </w:p>
    <w:p>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依法必须披露的信息发布后，基金管理人、基金托管人应当按照相关法律法规规定将信息置备于公司住所，供社会公众查阅、复制。在支付工本费后可在合理时间获得上述文件的复制件或复印件。基金管理人和基金托管人应保证文本的内容与所公告的内容完全一致。</w:t>
      </w:r>
      <w:r>
        <w:rPr>
          <w:rFonts w:hint="eastAsia" w:ascii="宋体" w:hAnsi="宋体" w:cs="宋体"/>
          <w:sz w:val="24"/>
          <w:highlight w:val="none"/>
        </w:rPr>
        <w:br w:type="page"/>
      </w:r>
    </w:p>
    <w:p>
      <w:pPr>
        <w:pStyle w:val="2"/>
        <w:jc w:val="center"/>
        <w:rPr>
          <w:sz w:val="30"/>
          <w:szCs w:val="30"/>
          <w:highlight w:val="none"/>
        </w:rPr>
      </w:pPr>
      <w:bookmarkStart w:id="164" w:name="_Toc19819"/>
      <w:bookmarkStart w:id="165" w:name="_Toc384992701"/>
      <w:bookmarkStart w:id="166" w:name="_Toc393"/>
      <w:bookmarkStart w:id="167" w:name="_Toc29679"/>
      <w:bookmarkStart w:id="168" w:name="_Toc348082039"/>
      <w:r>
        <w:rPr>
          <w:rFonts w:hint="eastAsia"/>
          <w:bCs w:val="0"/>
          <w:kern w:val="2"/>
          <w:sz w:val="30"/>
          <w:szCs w:val="30"/>
          <w:highlight w:val="none"/>
        </w:rPr>
        <w:t>十一、</w:t>
      </w:r>
      <w:r>
        <w:rPr>
          <w:rFonts w:hint="eastAsia"/>
          <w:sz w:val="30"/>
          <w:szCs w:val="30"/>
          <w:highlight w:val="none"/>
        </w:rPr>
        <w:t>基金费用</w:t>
      </w:r>
      <w:bookmarkEnd w:id="164"/>
      <w:bookmarkEnd w:id="165"/>
      <w:bookmarkEnd w:id="166"/>
      <w:bookmarkEnd w:id="167"/>
      <w:bookmarkEnd w:id="168"/>
    </w:p>
    <w:p>
      <w:pPr>
        <w:spacing w:line="360" w:lineRule="auto"/>
        <w:ind w:firstLine="480" w:firstLineChars="200"/>
        <w:rPr>
          <w:rFonts w:ascii="宋体" w:hAnsi="宋体" w:cs="宋体"/>
          <w:sz w:val="24"/>
          <w:highlight w:val="none"/>
        </w:rPr>
      </w:pPr>
      <w:bookmarkStart w:id="169" w:name="OLE_LINK301"/>
      <w:bookmarkStart w:id="170" w:name="OLE_LINK302"/>
      <w:r>
        <w:rPr>
          <w:rFonts w:hint="eastAsia" w:ascii="宋体" w:hAnsi="宋体" w:cs="宋体"/>
          <w:sz w:val="24"/>
          <w:highlight w:val="none"/>
        </w:rPr>
        <w:t xml:space="preserve">（一）基金管理人的管理费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本基金的管理费按前一日基金资产净值的0.15%年费率计提。管理费的计算方法如下：</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H＝E×0.15%÷当年天数</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H为每日应计提的基金管理费</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E为前一日的基金资产净值</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费每日计提，逐日累计至每月月末，按月支付，经基金管理人与基金托管人双方核对无误后，基金托管人按照与基金管理人协商一致的方式于次月首日起5个工作日内从基金财产中一次性支付给基金管理人。若遇法定节假日、公休假或不可抗力等，支付日期顺延。</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（二）基金托管人的托管费</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本基金的托管费按前一日基金资产净值的0.05%的年费率计提。托管费的计算方法如下：</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H＝E×0.05%÷当年天数</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H为每日应计提的基金托管费</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E为前一日的基金资产净值</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托管费每日计提，逐日累计至每月月末，按月支付，经基金管理人与基金托管人双方核对无误后，基金托管人按照与基金管理人协商一致的方式于次月首日起5个工作日内从基金财产中一次性支取。若遇法定节假日、公休假或不可抗力等，支付日期顺延。</w:t>
      </w:r>
    </w:p>
    <w:bookmarkEnd w:id="169"/>
    <w:bookmarkEnd w:id="170"/>
    <w:p>
      <w:pPr>
        <w:spacing w:line="360" w:lineRule="auto"/>
        <w:ind w:firstLine="482" w:firstLineChars="200"/>
        <w:rPr>
          <w:rFonts w:ascii="宋体" w:hAnsi="宋体" w:cs="宋体"/>
          <w:highlight w:val="none"/>
        </w:rPr>
      </w:pPr>
      <w:r>
        <w:rPr>
          <w:rFonts w:hint="eastAsia" w:ascii="宋体" w:hAnsi="宋体" w:cs="宋体"/>
          <w:b/>
          <w:bCs/>
          <w:sz w:val="24"/>
          <w:highlight w:val="none"/>
        </w:rPr>
        <w:t>本章节未明确的事项按照《基金合同》的约定执行。</w:t>
      </w:r>
      <w:bookmarkStart w:id="171" w:name="_Toc384992702"/>
      <w:bookmarkStart w:id="172" w:name="_Toc348082040"/>
      <w:r>
        <w:rPr>
          <w:rFonts w:hint="eastAsia" w:ascii="宋体" w:hAnsi="宋体" w:cs="宋体"/>
          <w:highlight w:val="none"/>
        </w:rPr>
        <w:br w:type="page"/>
      </w:r>
    </w:p>
    <w:p>
      <w:pPr>
        <w:pStyle w:val="2"/>
        <w:jc w:val="center"/>
        <w:rPr>
          <w:sz w:val="30"/>
          <w:szCs w:val="30"/>
          <w:highlight w:val="none"/>
        </w:rPr>
      </w:pPr>
      <w:bookmarkStart w:id="173" w:name="_Toc17853"/>
      <w:bookmarkStart w:id="174" w:name="_Toc16376"/>
      <w:bookmarkStart w:id="175" w:name="_Toc32158"/>
      <w:r>
        <w:rPr>
          <w:rFonts w:hint="eastAsia"/>
          <w:bCs w:val="0"/>
          <w:kern w:val="2"/>
          <w:sz w:val="30"/>
          <w:szCs w:val="30"/>
          <w:highlight w:val="none"/>
        </w:rPr>
        <w:t>十二、</w:t>
      </w:r>
      <w:r>
        <w:rPr>
          <w:rFonts w:hint="eastAsia"/>
          <w:bCs w:val="0"/>
          <w:sz w:val="30"/>
          <w:szCs w:val="30"/>
          <w:highlight w:val="none"/>
        </w:rPr>
        <w:t>基</w:t>
      </w:r>
      <w:r>
        <w:rPr>
          <w:rFonts w:hint="eastAsia"/>
          <w:sz w:val="30"/>
          <w:szCs w:val="30"/>
          <w:highlight w:val="none"/>
        </w:rPr>
        <w:t>金份额持有人名册的保管</w:t>
      </w:r>
      <w:bookmarkEnd w:id="171"/>
      <w:bookmarkEnd w:id="172"/>
      <w:bookmarkEnd w:id="173"/>
      <w:bookmarkEnd w:id="174"/>
      <w:bookmarkEnd w:id="175"/>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份额持有人名册至少应包括基金份额持有人的名称、证件号码和持有的基金份额。基金份额持有人名册由基金登记机构根据基金管理人的指令编制和保管，基金管理人和基金托管人应分别保管基金份额持有人名册，保存期不少于20年。如</w:t>
      </w:r>
      <w:bookmarkStart w:id="176" w:name="OLE_LINK308"/>
      <w:bookmarkStart w:id="177" w:name="OLE_LINK307"/>
      <w:r>
        <w:rPr>
          <w:rFonts w:hint="eastAsia" w:ascii="宋体" w:hAnsi="宋体" w:cs="宋体"/>
          <w:sz w:val="24"/>
          <w:highlight w:val="none"/>
        </w:rPr>
        <w:t>不能妥善保管，则按相关法律法规承担责任。</w:t>
      </w:r>
    </w:p>
    <w:bookmarkEnd w:id="176"/>
    <w:bookmarkEnd w:id="177"/>
    <w:p>
      <w:pPr>
        <w:spacing w:line="360" w:lineRule="auto"/>
        <w:ind w:firstLine="480" w:firstLineChars="200"/>
        <w:rPr>
          <w:rFonts w:ascii="宋体" w:hAnsi="宋体" w:cs="宋体"/>
          <w:sz w:val="24"/>
          <w:highlight w:val="none"/>
        </w:rPr>
      </w:pPr>
      <w:r>
        <w:rPr>
          <w:rFonts w:hint="eastAsia" w:ascii="宋体" w:hAnsi="宋体" w:cs="宋体"/>
          <w:sz w:val="24"/>
          <w:highlight w:val="none"/>
        </w:rPr>
        <w:t>在基金托管人要求或编制中期报告和年度报告前，基金管理人应将有关资料送交基金托管人，不得无故拒绝或延误提供，并保证其的真实性、准确性和完整性。基金托管人不得将所保管的基金份额持有人名册用于基金托管业务以外的其他用途，并应遵守保密义务。</w:t>
      </w:r>
    </w:p>
    <w:p>
      <w:pPr>
        <w:pStyle w:val="2"/>
        <w:jc w:val="center"/>
        <w:rPr>
          <w:rFonts w:ascii="宋体" w:hAnsi="宋体" w:cs="宋体"/>
          <w:sz w:val="30"/>
          <w:szCs w:val="24"/>
          <w:highlight w:val="none"/>
        </w:rPr>
      </w:pPr>
      <w:r>
        <w:rPr>
          <w:rFonts w:hint="eastAsia" w:ascii="宋体" w:hAnsi="宋体" w:cs="宋体"/>
          <w:sz w:val="24"/>
          <w:szCs w:val="24"/>
          <w:highlight w:val="none"/>
        </w:rPr>
        <w:br w:type="page"/>
      </w:r>
      <w:bookmarkStart w:id="178" w:name="_Toc8723"/>
      <w:bookmarkStart w:id="179" w:name="_Toc23725"/>
      <w:bookmarkStart w:id="180" w:name="_Toc31791"/>
      <w:bookmarkStart w:id="181" w:name="_Toc348082041"/>
      <w:bookmarkStart w:id="182" w:name="_Toc384992703"/>
      <w:r>
        <w:rPr>
          <w:rFonts w:hint="eastAsia"/>
          <w:bCs w:val="0"/>
          <w:sz w:val="30"/>
          <w:szCs w:val="30"/>
          <w:highlight w:val="none"/>
        </w:rPr>
        <w:t>十三、基金有关文件档案的保存</w:t>
      </w:r>
      <w:bookmarkEnd w:id="178"/>
      <w:bookmarkEnd w:id="179"/>
      <w:bookmarkEnd w:id="180"/>
      <w:bookmarkEnd w:id="181"/>
      <w:bookmarkEnd w:id="182"/>
    </w:p>
    <w:p>
      <w:pPr>
        <w:spacing w:line="360" w:lineRule="auto"/>
        <w:ind w:firstLine="480" w:firstLineChars="200"/>
        <w:rPr>
          <w:rFonts w:ascii="宋体" w:hAnsi="宋体" w:cs="宋体"/>
          <w:sz w:val="24"/>
          <w:highlight w:val="none"/>
        </w:rPr>
      </w:pPr>
      <w:r>
        <w:rPr>
          <w:rFonts w:hint="eastAsia" w:ascii="宋体" w:hAnsi="宋体" w:cs="宋体"/>
          <w:sz w:val="24"/>
          <w:highlight w:val="none"/>
        </w:rPr>
        <w:t>（一）档案保存</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应保存基金财产管理业务活动的记录、账册、报表和其他相关资料。基金托管人应保存基金托管业务活动的记录、账册、报表和其他相关资料。基金管理人和基金托管人都应当按规定的期限保管。保存期限不少于20年。</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（二）合同档案的建立</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1.基金管理人签署重大合同文本后，应及时将合同文本正本送达基金托管人处。</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2.基金管理人应及时将与本基金账务处理、资金划拨等有关的合同、协议传真至基金托管人。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（三）变更与协助</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若基金管理人/基金托管人发生变更，未变更的一方有义务协助变更后的接任人接收相应文件。</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（四）基金管理人和基金托管人应按各自职责完整保存原始凭证、记账凭证、基金账册、交易记录和重要合同等，承担保密义务并保存至少20年以上。</w:t>
      </w:r>
    </w:p>
    <w:p>
      <w:pPr>
        <w:spacing w:line="360" w:lineRule="auto"/>
        <w:ind w:firstLine="480" w:firstLineChars="200"/>
        <w:rPr>
          <w:rFonts w:ascii="宋体" w:hAnsi="宋体" w:cs="宋体"/>
          <w:sz w:val="24"/>
          <w:highlight w:val="none"/>
        </w:rPr>
      </w:pPr>
    </w:p>
    <w:p>
      <w:pPr>
        <w:pStyle w:val="2"/>
        <w:jc w:val="center"/>
        <w:rPr>
          <w:rFonts w:ascii="宋体" w:hAnsi="宋体" w:cs="宋体"/>
          <w:sz w:val="24"/>
          <w:szCs w:val="24"/>
          <w:highlight w:val="none"/>
        </w:rPr>
      </w:pPr>
      <w:r>
        <w:rPr>
          <w:rFonts w:hint="eastAsia" w:ascii="宋体" w:hAnsi="宋体" w:cs="宋体"/>
          <w:sz w:val="24"/>
          <w:szCs w:val="24"/>
          <w:highlight w:val="none"/>
        </w:rPr>
        <w:br w:type="page"/>
      </w:r>
      <w:bookmarkStart w:id="183" w:name="_Toc14908"/>
      <w:bookmarkStart w:id="184" w:name="_Toc348082042"/>
      <w:bookmarkStart w:id="185" w:name="_Toc3907"/>
      <w:bookmarkStart w:id="186" w:name="_Toc28459"/>
      <w:bookmarkStart w:id="187" w:name="_Toc384992704"/>
      <w:r>
        <w:rPr>
          <w:rFonts w:hint="eastAsia"/>
          <w:sz w:val="30"/>
          <w:szCs w:val="30"/>
          <w:highlight w:val="none"/>
        </w:rPr>
        <w:t>十四、基金管理人和基金托管人的更换</w:t>
      </w:r>
      <w:bookmarkEnd w:id="183"/>
      <w:bookmarkEnd w:id="184"/>
      <w:bookmarkEnd w:id="185"/>
      <w:bookmarkEnd w:id="186"/>
      <w:bookmarkEnd w:id="187"/>
    </w:p>
    <w:p>
      <w:pPr>
        <w:spacing w:line="360" w:lineRule="auto"/>
        <w:ind w:firstLine="480" w:firstLineChars="200"/>
        <w:rPr>
          <w:rFonts w:ascii="宋体" w:hAnsi="宋体" w:cs="宋体"/>
          <w:sz w:val="24"/>
          <w:highlight w:val="none"/>
        </w:rPr>
      </w:pPr>
      <w:r>
        <w:rPr>
          <w:rFonts w:hint="eastAsia" w:ascii="宋体" w:hAnsi="宋体" w:cs="宋体"/>
          <w:sz w:val="24"/>
          <w:highlight w:val="none"/>
        </w:rPr>
        <w:t>（一）基金管理人职责终止后，仍应妥善保管基金管理业务资料，保证不做出对基金份额持有人的利益造成损害的行为，并与新任基金管理人或临时基金管理人及时办理基金管理业务的移交手续，临时基金管理人或新任基金管理人应及时接收。基金托管人应给予积极配合，并与新任基金管理人或临时基金管理人核对基金资产总值和基金资产净值。</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基金托管人职责终止后，仍应妥善保管基金财产和基金托管业务资料，保证不做出对基金份额持有人的利益造成损害的行为，并与新任基金托管人或临时基金托管人及时办理基金财产和基金托管业务的移交手续，新任基金托管人或者临时基金托管人应当及时接收。基金管理人应给予积极配合，并与新任基金托管人或临时基金托管人核对基金资产总值和基金资产净值。</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（三）其他事宜见基金合同的相关约定。</w:t>
      </w:r>
    </w:p>
    <w:p>
      <w:pPr>
        <w:spacing w:line="360" w:lineRule="auto"/>
        <w:ind w:firstLine="480" w:firstLineChars="200"/>
        <w:rPr>
          <w:rFonts w:ascii="宋体" w:hAnsi="宋体" w:cs="宋体"/>
          <w:sz w:val="24"/>
          <w:highlight w:val="none"/>
        </w:rPr>
      </w:pPr>
    </w:p>
    <w:p>
      <w:pPr>
        <w:pStyle w:val="2"/>
        <w:jc w:val="center"/>
        <w:rPr>
          <w:rFonts w:ascii="宋体" w:hAnsi="宋体" w:cs="宋体"/>
          <w:sz w:val="24"/>
          <w:szCs w:val="24"/>
          <w:highlight w:val="none"/>
        </w:rPr>
      </w:pPr>
      <w:r>
        <w:rPr>
          <w:rFonts w:hint="eastAsia" w:ascii="宋体" w:hAnsi="宋体" w:cs="宋体"/>
          <w:sz w:val="24"/>
          <w:szCs w:val="24"/>
          <w:highlight w:val="none"/>
        </w:rPr>
        <w:br w:type="page"/>
      </w:r>
      <w:bookmarkStart w:id="188" w:name="_Toc348082043"/>
      <w:bookmarkStart w:id="189" w:name="_Toc17612"/>
      <w:bookmarkStart w:id="190" w:name="_Toc384992705"/>
      <w:bookmarkStart w:id="191" w:name="_Toc2763"/>
      <w:bookmarkStart w:id="192" w:name="_Toc5196"/>
      <w:r>
        <w:rPr>
          <w:rFonts w:hint="eastAsia"/>
          <w:sz w:val="30"/>
          <w:szCs w:val="30"/>
          <w:highlight w:val="none"/>
        </w:rPr>
        <w:t>十五、禁止行为</w:t>
      </w:r>
      <w:bookmarkEnd w:id="188"/>
      <w:bookmarkEnd w:id="189"/>
      <w:bookmarkEnd w:id="190"/>
      <w:bookmarkEnd w:id="191"/>
      <w:bookmarkEnd w:id="192"/>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（一）本协议当事人禁止从事的行为，包括但不限于：</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1、基金管理人、基金托管人将其固有财产或者他人财产混同于基金财产从事证券投资。</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2、基金管理人不公平地对待其管理的不同基金财产，基金托管人不公平地对待其托管的不同基金财产。</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3、基金管理人、基金托管人利用基金财产或职务之便为基金份额持有人以外的第三人牟取利益。</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4、基金管理人、基金托管人向基金份额持有人违规承诺收益或者承担损失。</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5、基金管理人、基金托管人对他人泄露基金运作和管理过程中任何尚未按法律法规规定的方式公开披露的信息。</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6、基金管理人在没有充足资金的情况下向基金托管人发出投资指令和付款指令，或违规向基金托管人发出指令。</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7、基金管理人、基金托管人在行政上、财务上不独立，其高级管理人员和其他从业人员相互兼职。</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8、基金托管人私自动用或处分基金财产，根据基金管理人的合法指令、基金合同或托管协议的规定进行处分的除外。</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9、基金管理人利用基金托管人的品牌、声誉开展不当营销宣传，暗示基金托管人担保或兜底责任或从事其他损害基金托管人利益的行为。基金托管人有权对该等行为要求相关主体立即纠正、终止合作并承担赔偿责任。</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10、法律法规和基金合同禁止的其他行为，以及依照法律、行政法规有关规定，由中国证监会规定禁止基金管理人、基金托管人从事的其他行为。</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 xml:space="preserve">（二）基金托管人不得承担以下职责： </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1、承担托管基金财产的信用风险、市场风险等；</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2、为托管基金提供直接或间接、显性或隐性担保，包括承诺本金或保证收益；</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3、为托管基金垫付资金、提供流动性支持或融资承诺等；</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 xml:space="preserve">4、参与投资者适当性管理； </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 xml:space="preserve">5、保证投资项目及交易信息真实性； </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6、保证托管基金资金来源的合法合规性；</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7、对已划出托管账户以及处于基金托管人实际控制之外的资产承担保管责任；</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8、参与基金管理人对托管基金的投资决策；</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 xml:space="preserve">9、违规代替基金管理人向其他机构或者个人进行托管基金信息披露或提供相关数据信息； </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10、基金管理人未接受基金托管人的复核意见进行信息披露产生的相应责任；</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11、负责未兑付基金的资金追偿、财产保全、诉讼仲裁、债务重组和破产程序等，法律另有规定的除外；</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12、因不可抗力，以及非托管人履职错误或过失造成的托管资产损失；</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13、国务院金融监管部门规定的不属于商业银行托管业务范围的其他职责。</w:t>
      </w:r>
    </w:p>
    <w:p>
      <w:pPr>
        <w:pStyle w:val="2"/>
        <w:jc w:val="center"/>
        <w:rPr>
          <w:rFonts w:ascii="宋体" w:hAnsi="宋体" w:cs="宋体"/>
          <w:sz w:val="30"/>
          <w:szCs w:val="24"/>
          <w:highlight w:val="none"/>
        </w:rPr>
      </w:pPr>
      <w:r>
        <w:rPr>
          <w:rFonts w:hint="eastAsia" w:ascii="宋体" w:hAnsi="宋体" w:cs="宋体"/>
          <w:sz w:val="24"/>
          <w:szCs w:val="24"/>
          <w:highlight w:val="none"/>
        </w:rPr>
        <w:br w:type="page"/>
      </w:r>
      <w:bookmarkStart w:id="193" w:name="_Toc17937"/>
      <w:bookmarkStart w:id="194" w:name="_Toc384992706"/>
      <w:bookmarkStart w:id="195" w:name="_Toc17687"/>
      <w:bookmarkStart w:id="196" w:name="_Toc29607"/>
      <w:bookmarkStart w:id="197" w:name="_Toc348082044"/>
      <w:r>
        <w:rPr>
          <w:rFonts w:hint="eastAsia"/>
          <w:bCs w:val="0"/>
          <w:sz w:val="30"/>
          <w:szCs w:val="30"/>
          <w:highlight w:val="none"/>
        </w:rPr>
        <w:t>十六、托管协议的变更、终止与基金财产的清算</w:t>
      </w:r>
      <w:bookmarkEnd w:id="193"/>
      <w:bookmarkEnd w:id="194"/>
      <w:bookmarkEnd w:id="195"/>
      <w:bookmarkEnd w:id="196"/>
      <w:bookmarkEnd w:id="197"/>
    </w:p>
    <w:p>
      <w:pPr>
        <w:spacing w:line="360" w:lineRule="auto"/>
        <w:ind w:firstLine="480" w:firstLineChars="200"/>
        <w:rPr>
          <w:rFonts w:ascii="宋体" w:hAnsi="宋体" w:cs="宋体"/>
          <w:sz w:val="24"/>
          <w:highlight w:val="none"/>
        </w:rPr>
      </w:pPr>
      <w:r>
        <w:rPr>
          <w:rFonts w:hint="eastAsia" w:ascii="宋体" w:hAnsi="宋体" w:cs="宋体"/>
          <w:sz w:val="24"/>
          <w:highlight w:val="none"/>
        </w:rPr>
        <w:t>（一）托管协议的变更程序</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本协议双方当事人经协商一致，可以对协议进行修改。修改后的新协议，其内容不得与基金合同的规定有任何冲突。</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（二）基金托管协议终止的情形</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1、《基金合同》终止；</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2、基金托管人因解散、破产、撤销等事由，不能继续担任基金托管人的职务，而在6个月内无其他适当的托管机构承接其原有权利义务；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3、基金管理人因解散、破产、撤销等事由，不能继续担任基金管理人的职务，而在6个月内无其他适当的基金管理公司承接其原有权利义务；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4、发生法律法规或《基金合同》规定的其他终止事项。</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（三）基金财产的清算</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基金管理人与基金托管人按照《基金合同》的约定处理基金财产的清算。</w:t>
      </w:r>
    </w:p>
    <w:p>
      <w:pPr>
        <w:pStyle w:val="2"/>
        <w:jc w:val="center"/>
        <w:rPr>
          <w:rFonts w:ascii="宋体" w:hAnsi="宋体" w:cs="宋体"/>
          <w:sz w:val="30"/>
          <w:szCs w:val="24"/>
          <w:highlight w:val="none"/>
        </w:rPr>
      </w:pPr>
      <w:r>
        <w:rPr>
          <w:rFonts w:hint="eastAsia" w:ascii="宋体" w:hAnsi="宋体" w:cs="宋体"/>
          <w:sz w:val="24"/>
          <w:szCs w:val="24"/>
          <w:highlight w:val="none"/>
        </w:rPr>
        <w:br w:type="page"/>
      </w:r>
      <w:bookmarkStart w:id="198" w:name="_Toc21013"/>
      <w:bookmarkStart w:id="199" w:name="_Toc30859"/>
      <w:bookmarkStart w:id="200" w:name="_Toc28724"/>
      <w:bookmarkStart w:id="201" w:name="_Toc348082045"/>
      <w:bookmarkStart w:id="202" w:name="_Toc384992707"/>
      <w:r>
        <w:rPr>
          <w:rFonts w:hint="eastAsia"/>
          <w:sz w:val="30"/>
          <w:szCs w:val="30"/>
          <w:highlight w:val="none"/>
        </w:rPr>
        <w:t>十七、违约责任</w:t>
      </w:r>
      <w:bookmarkEnd w:id="198"/>
      <w:bookmarkEnd w:id="199"/>
      <w:bookmarkEnd w:id="200"/>
      <w:bookmarkEnd w:id="201"/>
      <w:bookmarkEnd w:id="202"/>
    </w:p>
    <w:p>
      <w:pPr>
        <w:spacing w:line="360" w:lineRule="auto"/>
        <w:ind w:firstLine="480" w:firstLineChars="200"/>
        <w:rPr>
          <w:rFonts w:ascii="宋体" w:hAnsi="宋体" w:cs="宋体"/>
          <w:sz w:val="24"/>
          <w:highlight w:val="none"/>
        </w:rPr>
      </w:pPr>
      <w:r>
        <w:rPr>
          <w:rFonts w:hint="eastAsia" w:ascii="宋体" w:hAnsi="宋体" w:cs="宋体"/>
          <w:sz w:val="24"/>
          <w:highlight w:val="none"/>
        </w:rPr>
        <w:t>（一）基金管理人、基金托管人不履行本协议或履行本协议不符合约定的，应当承担违约责任。</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基金管理人、基金托管人在履行各自职责的过程中，违反《基金法》等法律法规的规定或者《基金合同》和本托管协议约定，给基金财产或者基金份额持有人造成损害的，应当分别对各自的行为依法承担赔偿责任；因共同行为给基金财产或者基金份额持有人造成损害的，应当根据各自的过错程度对由此造成的直接损失分别承担相应的责任。</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（三）一方当事人违约，给另一方当事人或基金财产造成损失的，应就直接损失进行赔偿，另一方当事人有权利及义务代表基金向违约方追偿。但是如发生下列情况，当事人免责：</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1、基金管理人和/或基金托管人按照届时有效的法律法规或中国证监会的规定作为或不作为而造成的损失等；</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2、基金管理人由于按照《基金合同》规定的投资原则而行使或不行使其投资权而造成的损失等；</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3、不可抗力。</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（四）一方当事人违约，另一方当事人在职责范围内有义务及时采取必要的措施，尽力防止损失的扩大。</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五）违约行为虽已发生，但本托管协议能够继续履行的，在最大限度地保护基金份额持有人利益的前提下，基金管理人和基金托管人应当继续履行本协议。若基金管理人或基金托管人因履行本协议而被起诉，另一方应提供合理的必要支持。</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六）由于基金管理人、基金托管人不可控制的因素导致业务出现差错，基金管理人和基金托管人虽然已经采取必要、适当、合理的措施进行检查，但是未能发现错误或未能避免错误发生或虽发现错误但因前述原因无法及时更正的，由此造成基金财产或投资人损失，基金管理人和基金托管人免除赔偿责任。但是基金管理人和基金托管人应积极采取必要的措施减轻或消除由此造成的影响。</w:t>
      </w:r>
    </w:p>
    <w:p>
      <w:pPr>
        <w:spacing w:line="360" w:lineRule="auto"/>
        <w:ind w:firstLine="480" w:firstLineChars="200"/>
        <w:jc w:val="center"/>
        <w:rPr>
          <w:rFonts w:ascii="宋体" w:hAnsi="宋体" w:cs="宋体"/>
          <w:b/>
          <w:bCs/>
          <w:sz w:val="30"/>
          <w:szCs w:val="30"/>
          <w:highlight w:val="none"/>
        </w:rPr>
      </w:pPr>
      <w:r>
        <w:rPr>
          <w:rFonts w:hint="eastAsia" w:ascii="宋体" w:hAnsi="宋体" w:cs="宋体"/>
          <w:sz w:val="24"/>
          <w:highlight w:val="none"/>
        </w:rPr>
        <w:br w:type="page"/>
      </w:r>
    </w:p>
    <w:p>
      <w:pPr>
        <w:pStyle w:val="2"/>
        <w:jc w:val="center"/>
        <w:rPr>
          <w:sz w:val="30"/>
          <w:szCs w:val="30"/>
          <w:highlight w:val="none"/>
        </w:rPr>
      </w:pPr>
      <w:bookmarkStart w:id="203" w:name="_Toc4965"/>
      <w:bookmarkStart w:id="204" w:name="_Toc348082046"/>
      <w:bookmarkStart w:id="205" w:name="_Toc24127"/>
      <w:bookmarkStart w:id="206" w:name="_Toc384992708"/>
      <w:bookmarkStart w:id="207" w:name="_Toc1815"/>
      <w:r>
        <w:rPr>
          <w:rFonts w:hint="eastAsia"/>
          <w:kern w:val="2"/>
          <w:sz w:val="30"/>
          <w:szCs w:val="30"/>
          <w:highlight w:val="none"/>
        </w:rPr>
        <w:t>十八、</w:t>
      </w:r>
      <w:r>
        <w:rPr>
          <w:rFonts w:hint="eastAsia"/>
          <w:sz w:val="30"/>
          <w:szCs w:val="30"/>
          <w:highlight w:val="none"/>
        </w:rPr>
        <w:t>争议解决方式</w:t>
      </w:r>
      <w:bookmarkEnd w:id="203"/>
      <w:bookmarkEnd w:id="204"/>
      <w:bookmarkEnd w:id="205"/>
      <w:bookmarkEnd w:id="206"/>
      <w:bookmarkEnd w:id="207"/>
    </w:p>
    <w:p>
      <w:pPr>
        <w:spacing w:line="360" w:lineRule="auto"/>
        <w:ind w:firstLine="480" w:firstLineChars="200"/>
        <w:rPr>
          <w:rFonts w:ascii="宋体" w:hAnsi="宋体" w:cs="宋体"/>
          <w:sz w:val="24"/>
          <w:highlight w:val="none"/>
        </w:rPr>
      </w:pPr>
      <w:r>
        <w:rPr>
          <w:rFonts w:hint="eastAsia" w:ascii="宋体" w:hAnsi="宋体" w:cs="宋体"/>
          <w:sz w:val="24"/>
          <w:highlight w:val="none"/>
        </w:rPr>
        <w:t>双方当事人同意，因本协议而产生的或与本协议有关的一切争议，如经友好协商未能解决的，任何一方应当将争议提交</w:t>
      </w:r>
      <w:bookmarkStart w:id="208" w:name="OLE_LINK42"/>
      <w:r>
        <w:rPr>
          <w:rFonts w:hint="eastAsia" w:ascii="宋体" w:hAnsi="宋体" w:cs="宋体"/>
          <w:sz w:val="24"/>
          <w:highlight w:val="none"/>
        </w:rPr>
        <w:t>深圳国际仲裁院</w:t>
      </w:r>
      <w:bookmarkEnd w:id="208"/>
      <w:r>
        <w:rPr>
          <w:rFonts w:hint="eastAsia" w:ascii="宋体" w:hAnsi="宋体" w:cs="宋体"/>
          <w:sz w:val="24"/>
          <w:highlight w:val="none"/>
        </w:rPr>
        <w:t>，按照深圳国际仲裁院届时有效的仲裁规则进行仲裁。仲裁地点为深圳市。仲裁裁决是终局的，对双方当事人均有约束力，除非仲裁裁决另有决定，仲裁费用由败诉方承担。</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争议处理期间，双方当事人应恪守基金管理人和基金托管人职责，各自继续忠实、勤勉、尽责地履行基金合同和本托管协议规定的义务，维护基金份额持有人的合法权益。</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本协议受中华人民共和国法律（不含港澳台立法）管辖。</w:t>
      </w:r>
    </w:p>
    <w:p>
      <w:pPr>
        <w:pStyle w:val="2"/>
        <w:jc w:val="center"/>
        <w:rPr>
          <w:rFonts w:ascii="宋体" w:hAnsi="宋体" w:cs="宋体"/>
          <w:sz w:val="30"/>
          <w:szCs w:val="30"/>
          <w:highlight w:val="none"/>
        </w:rPr>
      </w:pPr>
      <w:r>
        <w:rPr>
          <w:rFonts w:hint="eastAsia" w:ascii="宋体" w:hAnsi="宋体" w:cs="宋体"/>
          <w:sz w:val="24"/>
          <w:szCs w:val="24"/>
          <w:highlight w:val="none"/>
        </w:rPr>
        <w:br w:type="page"/>
      </w:r>
      <w:bookmarkStart w:id="209" w:name="_Toc20088"/>
      <w:bookmarkStart w:id="210" w:name="_Toc18348"/>
      <w:bookmarkStart w:id="211" w:name="_Toc384992709"/>
      <w:bookmarkStart w:id="212" w:name="_Toc348082047"/>
      <w:bookmarkStart w:id="213" w:name="_Toc18966"/>
      <w:r>
        <w:rPr>
          <w:rFonts w:hint="eastAsia"/>
          <w:sz w:val="30"/>
          <w:szCs w:val="30"/>
          <w:highlight w:val="none"/>
        </w:rPr>
        <w:t>十九、托管协议的效力</w:t>
      </w:r>
      <w:bookmarkEnd w:id="209"/>
      <w:bookmarkEnd w:id="210"/>
      <w:bookmarkEnd w:id="211"/>
      <w:bookmarkEnd w:id="212"/>
      <w:bookmarkEnd w:id="213"/>
    </w:p>
    <w:p>
      <w:pPr>
        <w:spacing w:line="360" w:lineRule="auto"/>
        <w:ind w:firstLine="480" w:firstLineChars="200"/>
        <w:rPr>
          <w:rFonts w:ascii="宋体" w:hAnsi="宋体" w:cs="宋体"/>
          <w:sz w:val="24"/>
          <w:highlight w:val="none"/>
        </w:rPr>
      </w:pPr>
      <w:r>
        <w:rPr>
          <w:rFonts w:hint="eastAsia" w:ascii="宋体" w:hAnsi="宋体" w:cs="宋体"/>
          <w:sz w:val="24"/>
          <w:highlight w:val="none"/>
        </w:rPr>
        <w:t>双方对托管协议的效力约定如下：</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一）基金管理人在向中国证监会申请基金募集注册时提交的托管协议草案，应经托管协议当事人双方盖章以及双方法定代表人或授权代表签字或签章，协议当事人双方根据中国证监会的意见修改并正式签署托管协议。托管协议以中国证监会注册的文本为正式文本。</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（二）托管协议自基金合同成立之日起成立，自基金合同生效之日起生效。托管协议的有效期自其生效之日起至基金财产清算结果报中国证监会备案并公告之日止。</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（三）托管协议自生效之日起对托管协议当事人具有同等的法律约束力。</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（四）本协议一式三份，协议双方各持一份，由基金管理人根据需要上报监管机构</w:t>
      </w:r>
      <w:bookmarkStart w:id="214" w:name="OLE_LINK313"/>
      <w:bookmarkStart w:id="215" w:name="OLE_LINK314"/>
      <w:r>
        <w:rPr>
          <w:rFonts w:hint="eastAsia" w:ascii="宋体" w:hAnsi="宋体" w:cs="宋体"/>
          <w:sz w:val="24"/>
          <w:highlight w:val="none"/>
        </w:rPr>
        <w:t>一份，每份具有同等法律效力。</w:t>
      </w:r>
      <w:bookmarkEnd w:id="214"/>
      <w:bookmarkEnd w:id="215"/>
    </w:p>
    <w:p>
      <w:pPr>
        <w:spacing w:line="360" w:lineRule="auto"/>
        <w:ind w:firstLine="480" w:firstLineChars="200"/>
        <w:rPr>
          <w:rFonts w:ascii="宋体" w:hAnsi="宋体" w:cs="宋体"/>
          <w:sz w:val="24"/>
          <w:highlight w:val="none"/>
        </w:rPr>
      </w:pPr>
    </w:p>
    <w:p>
      <w:pPr>
        <w:pStyle w:val="2"/>
        <w:jc w:val="center"/>
        <w:rPr>
          <w:rFonts w:ascii="宋体" w:hAnsi="宋体" w:cs="宋体"/>
          <w:highlight w:val="none"/>
        </w:rPr>
      </w:pPr>
      <w:r>
        <w:rPr>
          <w:rFonts w:hint="eastAsia" w:ascii="宋体" w:hAnsi="宋体" w:cs="宋体"/>
          <w:szCs w:val="24"/>
          <w:highlight w:val="none"/>
        </w:rPr>
        <w:br w:type="page"/>
      </w:r>
      <w:bookmarkStart w:id="216" w:name="_Toc19551"/>
      <w:bookmarkStart w:id="217" w:name="_Toc384992710"/>
      <w:bookmarkStart w:id="218" w:name="_Toc12992"/>
      <w:bookmarkStart w:id="219" w:name="_Toc8648"/>
      <w:bookmarkStart w:id="220" w:name="_Toc348082048"/>
      <w:r>
        <w:rPr>
          <w:rFonts w:hint="eastAsia"/>
          <w:sz w:val="30"/>
          <w:szCs w:val="30"/>
          <w:highlight w:val="none"/>
        </w:rPr>
        <w:t>二十、其他事项</w:t>
      </w:r>
      <w:bookmarkEnd w:id="216"/>
      <w:bookmarkEnd w:id="217"/>
      <w:bookmarkEnd w:id="218"/>
      <w:bookmarkEnd w:id="219"/>
      <w:bookmarkEnd w:id="220"/>
    </w:p>
    <w:p>
      <w:pPr>
        <w:spacing w:line="360" w:lineRule="auto"/>
        <w:ind w:firstLine="480" w:firstLineChars="200"/>
        <w:rPr>
          <w:rFonts w:ascii="宋体" w:hAnsi="宋体" w:cs="宋体"/>
          <w:sz w:val="24"/>
          <w:highlight w:val="none"/>
        </w:rPr>
      </w:pPr>
      <w:r>
        <w:rPr>
          <w:rFonts w:hint="eastAsia" w:ascii="宋体" w:hAnsi="宋体" w:cs="宋体"/>
          <w:sz w:val="24"/>
          <w:highlight w:val="none"/>
        </w:rPr>
        <w:t>如发生有权司法机关依法冻结基金份额持有人的基金份额时，基金管理人应予以配合，承担司法协助义务。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除本协议有明确定义外，本协议的用语定义适用基金合同的约定。本协议未尽事宜，当事人依据基金合同、有关法律法规等规定协商办理。</w:t>
      </w:r>
    </w:p>
    <w:p>
      <w:pPr>
        <w:spacing w:line="360" w:lineRule="auto"/>
        <w:ind w:firstLine="480" w:firstLineChars="200"/>
        <w:rPr>
          <w:rFonts w:ascii="宋体" w:hAnsi="宋体" w:cs="宋体"/>
          <w:sz w:val="24"/>
          <w:highlight w:val="none"/>
        </w:rPr>
      </w:pPr>
      <w:bookmarkStart w:id="221" w:name="OLE_LINK315"/>
      <w:bookmarkStart w:id="222" w:name="OLE_LINK316"/>
      <w:r>
        <w:rPr>
          <w:rFonts w:hint="eastAsia" w:ascii="宋体" w:hAnsi="宋体" w:cs="宋体"/>
          <w:sz w:val="24"/>
          <w:highlight w:val="none"/>
        </w:rPr>
        <w:t>本协议附件构成本协议不可分割的组成部分。</w:t>
      </w:r>
    </w:p>
    <w:bookmarkEnd w:id="221"/>
    <w:bookmarkEnd w:id="222"/>
    <w:p>
      <w:pPr>
        <w:pStyle w:val="2"/>
        <w:jc w:val="center"/>
        <w:rPr>
          <w:rFonts w:ascii="宋体" w:hAnsi="宋体" w:cs="宋体"/>
          <w:highlight w:val="none"/>
        </w:rPr>
      </w:pPr>
      <w:r>
        <w:rPr>
          <w:rFonts w:hint="eastAsia" w:ascii="宋体" w:hAnsi="宋体" w:cs="宋体"/>
          <w:szCs w:val="24"/>
          <w:highlight w:val="none"/>
        </w:rPr>
        <w:br w:type="page"/>
      </w:r>
      <w:bookmarkStart w:id="223" w:name="_Toc10338"/>
      <w:bookmarkStart w:id="224" w:name="_Toc25588"/>
      <w:bookmarkStart w:id="225" w:name="_Toc348082049"/>
      <w:bookmarkStart w:id="226" w:name="_Toc384992711"/>
      <w:bookmarkStart w:id="227" w:name="_Toc7332"/>
      <w:r>
        <w:rPr>
          <w:rFonts w:hint="eastAsia"/>
          <w:sz w:val="30"/>
          <w:szCs w:val="30"/>
          <w:highlight w:val="none"/>
        </w:rPr>
        <w:t>二十一、托管协议的签订</w:t>
      </w:r>
      <w:bookmarkEnd w:id="223"/>
      <w:bookmarkEnd w:id="224"/>
      <w:bookmarkEnd w:id="225"/>
      <w:bookmarkEnd w:id="226"/>
      <w:bookmarkEnd w:id="227"/>
    </w:p>
    <w:p>
      <w:pPr>
        <w:spacing w:line="360" w:lineRule="auto"/>
        <w:ind w:firstLine="480" w:firstLineChars="200"/>
        <w:rPr>
          <w:rFonts w:ascii="宋体" w:hAnsi="宋体" w:cs="宋体"/>
          <w:sz w:val="24"/>
          <w:highlight w:val="none"/>
        </w:rPr>
      </w:pPr>
      <w:r>
        <w:rPr>
          <w:rFonts w:hint="eastAsia" w:ascii="宋体" w:hAnsi="宋体" w:cs="宋体"/>
          <w:sz w:val="24"/>
          <w:highlight w:val="none"/>
        </w:rPr>
        <w:t>本协议双方法定代表人或授权代表人签章、签订地、签订日。</w:t>
      </w:r>
    </w:p>
    <w:bookmarkEnd w:id="1"/>
    <w:bookmarkEnd w:id="2"/>
    <w:bookmarkEnd w:id="3"/>
    <w:p>
      <w:pPr>
        <w:spacing w:line="360" w:lineRule="auto"/>
        <w:rPr>
          <w:rFonts w:ascii="宋体" w:hAnsi="宋体" w:cs="宋体"/>
          <w:sz w:val="24"/>
          <w:highlight w:val="none"/>
        </w:rPr>
      </w:pPr>
      <w:bookmarkStart w:id="228" w:name="_GoBack"/>
      <w:bookmarkEnd w:id="228"/>
    </w:p>
    <w:sectPr>
      <w:footerReference r:id="rId5" w:type="default"/>
      <w:pgSz w:w="11906" w:h="16838"/>
      <w:pgMar w:top="1418" w:right="1701" w:bottom="1418" w:left="170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仿宋简体">
    <w:altName w:val="宋体"/>
    <w:panose1 w:val="00000000000000000000"/>
    <w:charset w:val="86"/>
    <w:family w:val="auto"/>
    <w:pitch w:val="default"/>
    <w:sig w:usb0="00000000" w:usb1="00000000" w:usb2="00000012" w:usb3="00000000" w:csb0="00040001" w:csb1="00000000"/>
  </w:font>
  <w:font w:name="Arial Unicode MS">
    <w:panose1 w:val="020B0604020202020204"/>
    <w:charset w:val="86"/>
    <w:family w:val="swiss"/>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pPr>
  </w:p>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pPr>
    <w:r>
      <w:rPr>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5"/>
                    </w:pPr>
                    <w:r>
                      <w:fldChar w:fldCharType="begin"/>
                    </w:r>
                    <w:r>
                      <w:instrText xml:space="preserve"> PAGE  \* MERGEFORMAT </w:instrText>
                    </w:r>
                    <w:r>
                      <w:fldChar w:fldCharType="separate"/>
                    </w:r>
                    <w:r>
                      <w:t>55</w:t>
                    </w:r>
                    <w:r>
                      <w:fldChar w:fldCharType="end"/>
                    </w:r>
                  </w:p>
                </w:txbxContent>
              </v:textbox>
            </v:shape>
          </w:pict>
        </mc:Fallback>
      </mc:AlternateContent>
    </w:r>
  </w:p>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lang w:val="en-US"/>
      </w:rPr>
    </w:pPr>
    <w:r>
      <w:rPr>
        <w:rFonts w:hint="eastAsia" w:ascii="宋体" w:hAnsi="宋体"/>
        <w:lang w:val="en-US"/>
      </w:rPr>
      <w:t>东方阿尔法聚利63个月封闭式债券型证券投资基金</w:t>
    </w:r>
    <w:r>
      <w:rPr>
        <w:rFonts w:hint="eastAsia" w:ascii="宋体" w:hAnsi="宋体"/>
      </w:rPr>
      <w:t>托管协议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7604E2"/>
    <w:multiLevelType w:val="singleLevel"/>
    <w:tmpl w:val="3B7604E2"/>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ZiYTFkMTQ1MTMzM2E5MjkwMTYyODkwYjMyMDM0YjkifQ=="/>
  </w:docVars>
  <w:rsids>
    <w:rsidRoot w:val="00DC7E74"/>
    <w:rsid w:val="00001AB6"/>
    <w:rsid w:val="00001CBA"/>
    <w:rsid w:val="00001E42"/>
    <w:rsid w:val="00002977"/>
    <w:rsid w:val="00003DDD"/>
    <w:rsid w:val="00004215"/>
    <w:rsid w:val="00007C2F"/>
    <w:rsid w:val="00010125"/>
    <w:rsid w:val="0001044F"/>
    <w:rsid w:val="00014D21"/>
    <w:rsid w:val="00016A01"/>
    <w:rsid w:val="00017201"/>
    <w:rsid w:val="00022AE1"/>
    <w:rsid w:val="00022D6C"/>
    <w:rsid w:val="00023D2A"/>
    <w:rsid w:val="00023EE9"/>
    <w:rsid w:val="00024205"/>
    <w:rsid w:val="00027D10"/>
    <w:rsid w:val="00031A4E"/>
    <w:rsid w:val="00031D78"/>
    <w:rsid w:val="00031D96"/>
    <w:rsid w:val="00035F02"/>
    <w:rsid w:val="00041EA9"/>
    <w:rsid w:val="00042898"/>
    <w:rsid w:val="000441B2"/>
    <w:rsid w:val="00045017"/>
    <w:rsid w:val="00045690"/>
    <w:rsid w:val="00045B8B"/>
    <w:rsid w:val="00046DB8"/>
    <w:rsid w:val="00047948"/>
    <w:rsid w:val="00047EDD"/>
    <w:rsid w:val="00052827"/>
    <w:rsid w:val="00052BEE"/>
    <w:rsid w:val="00052D58"/>
    <w:rsid w:val="00053108"/>
    <w:rsid w:val="0005456F"/>
    <w:rsid w:val="00054D9B"/>
    <w:rsid w:val="00064E77"/>
    <w:rsid w:val="00066315"/>
    <w:rsid w:val="0006703B"/>
    <w:rsid w:val="0006718A"/>
    <w:rsid w:val="00067DA7"/>
    <w:rsid w:val="00071723"/>
    <w:rsid w:val="00072176"/>
    <w:rsid w:val="0007281A"/>
    <w:rsid w:val="00074758"/>
    <w:rsid w:val="00074F42"/>
    <w:rsid w:val="00076C89"/>
    <w:rsid w:val="0007714A"/>
    <w:rsid w:val="00080AFA"/>
    <w:rsid w:val="00080E58"/>
    <w:rsid w:val="0008111E"/>
    <w:rsid w:val="00082FA8"/>
    <w:rsid w:val="00086E3B"/>
    <w:rsid w:val="0009016D"/>
    <w:rsid w:val="00090707"/>
    <w:rsid w:val="00091E90"/>
    <w:rsid w:val="0009373C"/>
    <w:rsid w:val="00095055"/>
    <w:rsid w:val="00097239"/>
    <w:rsid w:val="000A1593"/>
    <w:rsid w:val="000A1777"/>
    <w:rsid w:val="000A20C8"/>
    <w:rsid w:val="000B3268"/>
    <w:rsid w:val="000B6AA8"/>
    <w:rsid w:val="000C100E"/>
    <w:rsid w:val="000C1D2F"/>
    <w:rsid w:val="000C1FA6"/>
    <w:rsid w:val="000C26FF"/>
    <w:rsid w:val="000C5514"/>
    <w:rsid w:val="000C5A20"/>
    <w:rsid w:val="000C6767"/>
    <w:rsid w:val="000C68E7"/>
    <w:rsid w:val="000C6E67"/>
    <w:rsid w:val="000C6FAD"/>
    <w:rsid w:val="000D38A7"/>
    <w:rsid w:val="000D4051"/>
    <w:rsid w:val="000D7E47"/>
    <w:rsid w:val="000E35CB"/>
    <w:rsid w:val="000E6573"/>
    <w:rsid w:val="000E7A07"/>
    <w:rsid w:val="000E7A28"/>
    <w:rsid w:val="000F222D"/>
    <w:rsid w:val="000F2B08"/>
    <w:rsid w:val="000F3A96"/>
    <w:rsid w:val="00101318"/>
    <w:rsid w:val="00101B58"/>
    <w:rsid w:val="00102071"/>
    <w:rsid w:val="0010485A"/>
    <w:rsid w:val="001051B2"/>
    <w:rsid w:val="00105310"/>
    <w:rsid w:val="00110704"/>
    <w:rsid w:val="00113B59"/>
    <w:rsid w:val="00115064"/>
    <w:rsid w:val="00117512"/>
    <w:rsid w:val="0011783B"/>
    <w:rsid w:val="00120287"/>
    <w:rsid w:val="00120ABE"/>
    <w:rsid w:val="00124047"/>
    <w:rsid w:val="00126670"/>
    <w:rsid w:val="00130A39"/>
    <w:rsid w:val="00131569"/>
    <w:rsid w:val="0013181F"/>
    <w:rsid w:val="00132D3A"/>
    <w:rsid w:val="00133130"/>
    <w:rsid w:val="0013367F"/>
    <w:rsid w:val="00134CB2"/>
    <w:rsid w:val="00135008"/>
    <w:rsid w:val="00135F72"/>
    <w:rsid w:val="00136679"/>
    <w:rsid w:val="00140CFC"/>
    <w:rsid w:val="001451B1"/>
    <w:rsid w:val="00146246"/>
    <w:rsid w:val="00153191"/>
    <w:rsid w:val="00153CD2"/>
    <w:rsid w:val="0015430D"/>
    <w:rsid w:val="0015665A"/>
    <w:rsid w:val="00156A3F"/>
    <w:rsid w:val="00160684"/>
    <w:rsid w:val="00160700"/>
    <w:rsid w:val="00161DD2"/>
    <w:rsid w:val="00170A79"/>
    <w:rsid w:val="00172530"/>
    <w:rsid w:val="0017370E"/>
    <w:rsid w:val="00174565"/>
    <w:rsid w:val="001748DD"/>
    <w:rsid w:val="00175369"/>
    <w:rsid w:val="00176684"/>
    <w:rsid w:val="001817FE"/>
    <w:rsid w:val="00182D88"/>
    <w:rsid w:val="00185465"/>
    <w:rsid w:val="00185825"/>
    <w:rsid w:val="00185AD1"/>
    <w:rsid w:val="0018653A"/>
    <w:rsid w:val="00187473"/>
    <w:rsid w:val="0019194A"/>
    <w:rsid w:val="001945D9"/>
    <w:rsid w:val="001961E4"/>
    <w:rsid w:val="00197C29"/>
    <w:rsid w:val="001A27BB"/>
    <w:rsid w:val="001A31BA"/>
    <w:rsid w:val="001A4014"/>
    <w:rsid w:val="001A4100"/>
    <w:rsid w:val="001A729A"/>
    <w:rsid w:val="001B07DD"/>
    <w:rsid w:val="001B3B5D"/>
    <w:rsid w:val="001C044F"/>
    <w:rsid w:val="001C0471"/>
    <w:rsid w:val="001C1BF2"/>
    <w:rsid w:val="001C2010"/>
    <w:rsid w:val="001C2A8E"/>
    <w:rsid w:val="001C3C95"/>
    <w:rsid w:val="001C5B7E"/>
    <w:rsid w:val="001C7718"/>
    <w:rsid w:val="001D0D88"/>
    <w:rsid w:val="001D25D0"/>
    <w:rsid w:val="001D4655"/>
    <w:rsid w:val="001D46C2"/>
    <w:rsid w:val="001D5CCB"/>
    <w:rsid w:val="001D695B"/>
    <w:rsid w:val="001D747C"/>
    <w:rsid w:val="001E5F15"/>
    <w:rsid w:val="001F0F63"/>
    <w:rsid w:val="001F2D81"/>
    <w:rsid w:val="001F31FB"/>
    <w:rsid w:val="001F4169"/>
    <w:rsid w:val="001F6F44"/>
    <w:rsid w:val="002009F5"/>
    <w:rsid w:val="00200A19"/>
    <w:rsid w:val="002019B6"/>
    <w:rsid w:val="00201FEC"/>
    <w:rsid w:val="00206847"/>
    <w:rsid w:val="002071A9"/>
    <w:rsid w:val="00215314"/>
    <w:rsid w:val="00216CAA"/>
    <w:rsid w:val="002215D2"/>
    <w:rsid w:val="00221872"/>
    <w:rsid w:val="00222341"/>
    <w:rsid w:val="002306C9"/>
    <w:rsid w:val="0023177F"/>
    <w:rsid w:val="00231B62"/>
    <w:rsid w:val="00231DEF"/>
    <w:rsid w:val="002330CA"/>
    <w:rsid w:val="002332D3"/>
    <w:rsid w:val="00234248"/>
    <w:rsid w:val="00234BFD"/>
    <w:rsid w:val="00237AD7"/>
    <w:rsid w:val="0024032B"/>
    <w:rsid w:val="00242261"/>
    <w:rsid w:val="00242944"/>
    <w:rsid w:val="00242E69"/>
    <w:rsid w:val="002451D7"/>
    <w:rsid w:val="00245A83"/>
    <w:rsid w:val="00246B69"/>
    <w:rsid w:val="00247986"/>
    <w:rsid w:val="00247FC1"/>
    <w:rsid w:val="0026065F"/>
    <w:rsid w:val="002627A6"/>
    <w:rsid w:val="002631C1"/>
    <w:rsid w:val="00264E42"/>
    <w:rsid w:val="00267009"/>
    <w:rsid w:val="002709BB"/>
    <w:rsid w:val="00271A77"/>
    <w:rsid w:val="002759C1"/>
    <w:rsid w:val="00275EA7"/>
    <w:rsid w:val="00276CBA"/>
    <w:rsid w:val="00280546"/>
    <w:rsid w:val="00285E1A"/>
    <w:rsid w:val="0028655B"/>
    <w:rsid w:val="00287B07"/>
    <w:rsid w:val="00287DD6"/>
    <w:rsid w:val="0029193B"/>
    <w:rsid w:val="00291ACE"/>
    <w:rsid w:val="00292831"/>
    <w:rsid w:val="00292A48"/>
    <w:rsid w:val="0029563B"/>
    <w:rsid w:val="002961C9"/>
    <w:rsid w:val="002A0B4E"/>
    <w:rsid w:val="002A2BDE"/>
    <w:rsid w:val="002A790E"/>
    <w:rsid w:val="002A7E73"/>
    <w:rsid w:val="002B11CF"/>
    <w:rsid w:val="002B1684"/>
    <w:rsid w:val="002B19DD"/>
    <w:rsid w:val="002B2AD4"/>
    <w:rsid w:val="002B7266"/>
    <w:rsid w:val="002B7527"/>
    <w:rsid w:val="002C06EA"/>
    <w:rsid w:val="002C2B27"/>
    <w:rsid w:val="002C4EE4"/>
    <w:rsid w:val="002C5E9A"/>
    <w:rsid w:val="002C6520"/>
    <w:rsid w:val="002C6DF2"/>
    <w:rsid w:val="002C7C3C"/>
    <w:rsid w:val="002D155A"/>
    <w:rsid w:val="002D1D4F"/>
    <w:rsid w:val="002E05C3"/>
    <w:rsid w:val="002E3DED"/>
    <w:rsid w:val="002E46D7"/>
    <w:rsid w:val="002E54B5"/>
    <w:rsid w:val="002E73AA"/>
    <w:rsid w:val="002F1E2E"/>
    <w:rsid w:val="002F2074"/>
    <w:rsid w:val="002F211E"/>
    <w:rsid w:val="002F3F6D"/>
    <w:rsid w:val="002F5C2A"/>
    <w:rsid w:val="002F66B1"/>
    <w:rsid w:val="002F68F6"/>
    <w:rsid w:val="003026F5"/>
    <w:rsid w:val="003029EE"/>
    <w:rsid w:val="00305F73"/>
    <w:rsid w:val="00306429"/>
    <w:rsid w:val="0031157C"/>
    <w:rsid w:val="003123ED"/>
    <w:rsid w:val="003137F2"/>
    <w:rsid w:val="0031445C"/>
    <w:rsid w:val="003154CF"/>
    <w:rsid w:val="00317638"/>
    <w:rsid w:val="00320987"/>
    <w:rsid w:val="00322A50"/>
    <w:rsid w:val="00323511"/>
    <w:rsid w:val="0032522B"/>
    <w:rsid w:val="00330931"/>
    <w:rsid w:val="003336F7"/>
    <w:rsid w:val="00334F74"/>
    <w:rsid w:val="003369A7"/>
    <w:rsid w:val="00342DF8"/>
    <w:rsid w:val="003430ED"/>
    <w:rsid w:val="003431C7"/>
    <w:rsid w:val="00345036"/>
    <w:rsid w:val="003532E6"/>
    <w:rsid w:val="00353599"/>
    <w:rsid w:val="00353894"/>
    <w:rsid w:val="00355528"/>
    <w:rsid w:val="003571CB"/>
    <w:rsid w:val="00360142"/>
    <w:rsid w:val="00360FE3"/>
    <w:rsid w:val="00362308"/>
    <w:rsid w:val="00363226"/>
    <w:rsid w:val="003659AF"/>
    <w:rsid w:val="00371CDD"/>
    <w:rsid w:val="003726C2"/>
    <w:rsid w:val="00383076"/>
    <w:rsid w:val="003936BA"/>
    <w:rsid w:val="0039673F"/>
    <w:rsid w:val="003979A1"/>
    <w:rsid w:val="003A1410"/>
    <w:rsid w:val="003A1F49"/>
    <w:rsid w:val="003A30E5"/>
    <w:rsid w:val="003A4F07"/>
    <w:rsid w:val="003A6B7B"/>
    <w:rsid w:val="003A726C"/>
    <w:rsid w:val="003B1C76"/>
    <w:rsid w:val="003B5DEA"/>
    <w:rsid w:val="003C02BF"/>
    <w:rsid w:val="003C0916"/>
    <w:rsid w:val="003C104A"/>
    <w:rsid w:val="003C29ED"/>
    <w:rsid w:val="003C5DC5"/>
    <w:rsid w:val="003C756C"/>
    <w:rsid w:val="003D3A28"/>
    <w:rsid w:val="003D49AD"/>
    <w:rsid w:val="003D4BBC"/>
    <w:rsid w:val="003D5389"/>
    <w:rsid w:val="003D7BA3"/>
    <w:rsid w:val="003E0139"/>
    <w:rsid w:val="003E0AD5"/>
    <w:rsid w:val="003E16F3"/>
    <w:rsid w:val="003E21A2"/>
    <w:rsid w:val="003E46C5"/>
    <w:rsid w:val="003F784C"/>
    <w:rsid w:val="004008A7"/>
    <w:rsid w:val="00401C64"/>
    <w:rsid w:val="004038C3"/>
    <w:rsid w:val="00405405"/>
    <w:rsid w:val="00405438"/>
    <w:rsid w:val="0040782C"/>
    <w:rsid w:val="00407946"/>
    <w:rsid w:val="00411088"/>
    <w:rsid w:val="00412D2C"/>
    <w:rsid w:val="00413681"/>
    <w:rsid w:val="004142E4"/>
    <w:rsid w:val="00423845"/>
    <w:rsid w:val="004255F7"/>
    <w:rsid w:val="00425D01"/>
    <w:rsid w:val="00425DAC"/>
    <w:rsid w:val="004265DC"/>
    <w:rsid w:val="004275E3"/>
    <w:rsid w:val="00427FD7"/>
    <w:rsid w:val="00431AC3"/>
    <w:rsid w:val="00431F66"/>
    <w:rsid w:val="004324F7"/>
    <w:rsid w:val="00434945"/>
    <w:rsid w:val="004359C6"/>
    <w:rsid w:val="004365D5"/>
    <w:rsid w:val="00437913"/>
    <w:rsid w:val="00440182"/>
    <w:rsid w:val="00440E3A"/>
    <w:rsid w:val="0044103D"/>
    <w:rsid w:val="00442664"/>
    <w:rsid w:val="00443C07"/>
    <w:rsid w:val="0044539E"/>
    <w:rsid w:val="0044748B"/>
    <w:rsid w:val="00450C07"/>
    <w:rsid w:val="00450FE9"/>
    <w:rsid w:val="004535FF"/>
    <w:rsid w:val="00455436"/>
    <w:rsid w:val="004607BB"/>
    <w:rsid w:val="004610F6"/>
    <w:rsid w:val="00461F61"/>
    <w:rsid w:val="004630D4"/>
    <w:rsid w:val="00464303"/>
    <w:rsid w:val="00467DCB"/>
    <w:rsid w:val="00470498"/>
    <w:rsid w:val="00470E62"/>
    <w:rsid w:val="00470E6D"/>
    <w:rsid w:val="0047119A"/>
    <w:rsid w:val="00473B5C"/>
    <w:rsid w:val="00475541"/>
    <w:rsid w:val="00476249"/>
    <w:rsid w:val="0048026F"/>
    <w:rsid w:val="00483820"/>
    <w:rsid w:val="00486012"/>
    <w:rsid w:val="0048671F"/>
    <w:rsid w:val="0048715E"/>
    <w:rsid w:val="00492BCA"/>
    <w:rsid w:val="00493296"/>
    <w:rsid w:val="00493DC8"/>
    <w:rsid w:val="00494817"/>
    <w:rsid w:val="004A4931"/>
    <w:rsid w:val="004B0ED0"/>
    <w:rsid w:val="004B144E"/>
    <w:rsid w:val="004B2124"/>
    <w:rsid w:val="004B2C2F"/>
    <w:rsid w:val="004B31DB"/>
    <w:rsid w:val="004B6573"/>
    <w:rsid w:val="004B752C"/>
    <w:rsid w:val="004B7C6E"/>
    <w:rsid w:val="004C007C"/>
    <w:rsid w:val="004C2330"/>
    <w:rsid w:val="004C5801"/>
    <w:rsid w:val="004C707D"/>
    <w:rsid w:val="004D161B"/>
    <w:rsid w:val="004D2553"/>
    <w:rsid w:val="004D2A62"/>
    <w:rsid w:val="004D2E26"/>
    <w:rsid w:val="004D2FCF"/>
    <w:rsid w:val="004D5ACC"/>
    <w:rsid w:val="004E0F7D"/>
    <w:rsid w:val="004E1291"/>
    <w:rsid w:val="004E14CC"/>
    <w:rsid w:val="004E7184"/>
    <w:rsid w:val="004F42C1"/>
    <w:rsid w:val="004F6344"/>
    <w:rsid w:val="00503D3F"/>
    <w:rsid w:val="00504AC5"/>
    <w:rsid w:val="00505AC7"/>
    <w:rsid w:val="00511C6C"/>
    <w:rsid w:val="005143A9"/>
    <w:rsid w:val="00515D94"/>
    <w:rsid w:val="0051617F"/>
    <w:rsid w:val="0051636B"/>
    <w:rsid w:val="00521B52"/>
    <w:rsid w:val="0052319D"/>
    <w:rsid w:val="005248B6"/>
    <w:rsid w:val="00525AA4"/>
    <w:rsid w:val="00526015"/>
    <w:rsid w:val="00526FCA"/>
    <w:rsid w:val="00527783"/>
    <w:rsid w:val="00527B02"/>
    <w:rsid w:val="00541673"/>
    <w:rsid w:val="005451F9"/>
    <w:rsid w:val="005475F0"/>
    <w:rsid w:val="005502D9"/>
    <w:rsid w:val="00550F23"/>
    <w:rsid w:val="00554392"/>
    <w:rsid w:val="00556EE6"/>
    <w:rsid w:val="0055747A"/>
    <w:rsid w:val="00562DD1"/>
    <w:rsid w:val="005630A4"/>
    <w:rsid w:val="00564D50"/>
    <w:rsid w:val="005660EE"/>
    <w:rsid w:val="0056678C"/>
    <w:rsid w:val="00570215"/>
    <w:rsid w:val="00570851"/>
    <w:rsid w:val="00571B4A"/>
    <w:rsid w:val="00580351"/>
    <w:rsid w:val="00580A4E"/>
    <w:rsid w:val="005822B8"/>
    <w:rsid w:val="00582659"/>
    <w:rsid w:val="00583F43"/>
    <w:rsid w:val="005849A4"/>
    <w:rsid w:val="00586675"/>
    <w:rsid w:val="00587C97"/>
    <w:rsid w:val="00591E65"/>
    <w:rsid w:val="00593932"/>
    <w:rsid w:val="00594A4C"/>
    <w:rsid w:val="00597C08"/>
    <w:rsid w:val="005A06D7"/>
    <w:rsid w:val="005A41FF"/>
    <w:rsid w:val="005A7140"/>
    <w:rsid w:val="005B060E"/>
    <w:rsid w:val="005B0BDC"/>
    <w:rsid w:val="005B1738"/>
    <w:rsid w:val="005B240C"/>
    <w:rsid w:val="005B4925"/>
    <w:rsid w:val="005B5876"/>
    <w:rsid w:val="005B6483"/>
    <w:rsid w:val="005B66FD"/>
    <w:rsid w:val="005B685B"/>
    <w:rsid w:val="005B6A9D"/>
    <w:rsid w:val="005B7253"/>
    <w:rsid w:val="005B78DA"/>
    <w:rsid w:val="005C0810"/>
    <w:rsid w:val="005C0AD5"/>
    <w:rsid w:val="005C2546"/>
    <w:rsid w:val="005C4FF8"/>
    <w:rsid w:val="005C5A64"/>
    <w:rsid w:val="005C7F22"/>
    <w:rsid w:val="005D3BFB"/>
    <w:rsid w:val="005D5402"/>
    <w:rsid w:val="005D58AE"/>
    <w:rsid w:val="005D6727"/>
    <w:rsid w:val="005D7F1C"/>
    <w:rsid w:val="005E339E"/>
    <w:rsid w:val="005E6E86"/>
    <w:rsid w:val="005F0EBB"/>
    <w:rsid w:val="005F20E0"/>
    <w:rsid w:val="005F288F"/>
    <w:rsid w:val="005F2B6C"/>
    <w:rsid w:val="005F2BCB"/>
    <w:rsid w:val="005F3385"/>
    <w:rsid w:val="005F3898"/>
    <w:rsid w:val="005F3B5B"/>
    <w:rsid w:val="005F3CC2"/>
    <w:rsid w:val="005F3E7C"/>
    <w:rsid w:val="005F625F"/>
    <w:rsid w:val="005F7F77"/>
    <w:rsid w:val="0060476E"/>
    <w:rsid w:val="00607523"/>
    <w:rsid w:val="00607AA2"/>
    <w:rsid w:val="006100CE"/>
    <w:rsid w:val="0061136C"/>
    <w:rsid w:val="006114C3"/>
    <w:rsid w:val="00611B6A"/>
    <w:rsid w:val="00611B88"/>
    <w:rsid w:val="00611C3D"/>
    <w:rsid w:val="00611F48"/>
    <w:rsid w:val="00613F8A"/>
    <w:rsid w:val="00613FA0"/>
    <w:rsid w:val="00615A06"/>
    <w:rsid w:val="00621321"/>
    <w:rsid w:val="006256CA"/>
    <w:rsid w:val="0063025C"/>
    <w:rsid w:val="00630D2C"/>
    <w:rsid w:val="0063393F"/>
    <w:rsid w:val="00635A0F"/>
    <w:rsid w:val="00635FBE"/>
    <w:rsid w:val="0064375D"/>
    <w:rsid w:val="00644B26"/>
    <w:rsid w:val="006475D5"/>
    <w:rsid w:val="006520C3"/>
    <w:rsid w:val="00652128"/>
    <w:rsid w:val="00652650"/>
    <w:rsid w:val="00652DBF"/>
    <w:rsid w:val="00660A76"/>
    <w:rsid w:val="00663B13"/>
    <w:rsid w:val="00667E4B"/>
    <w:rsid w:val="00670B94"/>
    <w:rsid w:val="00672A62"/>
    <w:rsid w:val="00673714"/>
    <w:rsid w:val="00675AD6"/>
    <w:rsid w:val="00677112"/>
    <w:rsid w:val="0067725F"/>
    <w:rsid w:val="00677614"/>
    <w:rsid w:val="00681481"/>
    <w:rsid w:val="00683A15"/>
    <w:rsid w:val="006841EB"/>
    <w:rsid w:val="00685EC8"/>
    <w:rsid w:val="00691621"/>
    <w:rsid w:val="0069385D"/>
    <w:rsid w:val="00694C3B"/>
    <w:rsid w:val="006975FC"/>
    <w:rsid w:val="0069780E"/>
    <w:rsid w:val="006A2CB1"/>
    <w:rsid w:val="006A4448"/>
    <w:rsid w:val="006A54A7"/>
    <w:rsid w:val="006B42CE"/>
    <w:rsid w:val="006B61D0"/>
    <w:rsid w:val="006B6A5C"/>
    <w:rsid w:val="006B7B59"/>
    <w:rsid w:val="006C2098"/>
    <w:rsid w:val="006C7BF9"/>
    <w:rsid w:val="006C7C04"/>
    <w:rsid w:val="006D089F"/>
    <w:rsid w:val="006D2279"/>
    <w:rsid w:val="006D5FE6"/>
    <w:rsid w:val="006D62EB"/>
    <w:rsid w:val="006E463B"/>
    <w:rsid w:val="006E56FE"/>
    <w:rsid w:val="006E5ECE"/>
    <w:rsid w:val="006E7E3E"/>
    <w:rsid w:val="006F1996"/>
    <w:rsid w:val="006F2AD7"/>
    <w:rsid w:val="006F2C40"/>
    <w:rsid w:val="00701585"/>
    <w:rsid w:val="00702EE8"/>
    <w:rsid w:val="007030BF"/>
    <w:rsid w:val="00703FD5"/>
    <w:rsid w:val="0070609D"/>
    <w:rsid w:val="007124F5"/>
    <w:rsid w:val="0071396E"/>
    <w:rsid w:val="00717934"/>
    <w:rsid w:val="00722A46"/>
    <w:rsid w:val="00723617"/>
    <w:rsid w:val="007244D7"/>
    <w:rsid w:val="00725F0B"/>
    <w:rsid w:val="00731589"/>
    <w:rsid w:val="007328E1"/>
    <w:rsid w:val="00732CE8"/>
    <w:rsid w:val="00732F3C"/>
    <w:rsid w:val="00734A9B"/>
    <w:rsid w:val="00735EE5"/>
    <w:rsid w:val="0074155D"/>
    <w:rsid w:val="00741591"/>
    <w:rsid w:val="00746CAE"/>
    <w:rsid w:val="007521D2"/>
    <w:rsid w:val="00752925"/>
    <w:rsid w:val="00752A82"/>
    <w:rsid w:val="0075647E"/>
    <w:rsid w:val="00756BF1"/>
    <w:rsid w:val="00756E58"/>
    <w:rsid w:val="00757919"/>
    <w:rsid w:val="00757EF2"/>
    <w:rsid w:val="0076074D"/>
    <w:rsid w:val="0076393D"/>
    <w:rsid w:val="0076471D"/>
    <w:rsid w:val="00765D43"/>
    <w:rsid w:val="007662C0"/>
    <w:rsid w:val="00766662"/>
    <w:rsid w:val="00766773"/>
    <w:rsid w:val="00766CC7"/>
    <w:rsid w:val="00766F04"/>
    <w:rsid w:val="0077494E"/>
    <w:rsid w:val="00774D42"/>
    <w:rsid w:val="007765A0"/>
    <w:rsid w:val="007801DE"/>
    <w:rsid w:val="00780560"/>
    <w:rsid w:val="00781111"/>
    <w:rsid w:val="0078152B"/>
    <w:rsid w:val="0078195F"/>
    <w:rsid w:val="00785A06"/>
    <w:rsid w:val="007861DB"/>
    <w:rsid w:val="0078628A"/>
    <w:rsid w:val="007872A9"/>
    <w:rsid w:val="00787792"/>
    <w:rsid w:val="007911F6"/>
    <w:rsid w:val="00792AAD"/>
    <w:rsid w:val="00793C1F"/>
    <w:rsid w:val="00796B3C"/>
    <w:rsid w:val="00796DD2"/>
    <w:rsid w:val="00797097"/>
    <w:rsid w:val="00797644"/>
    <w:rsid w:val="007A351B"/>
    <w:rsid w:val="007A3F9F"/>
    <w:rsid w:val="007A6E8B"/>
    <w:rsid w:val="007B0E25"/>
    <w:rsid w:val="007B2DFC"/>
    <w:rsid w:val="007B2EB0"/>
    <w:rsid w:val="007B4881"/>
    <w:rsid w:val="007B65FA"/>
    <w:rsid w:val="007B6A4E"/>
    <w:rsid w:val="007C0329"/>
    <w:rsid w:val="007C1033"/>
    <w:rsid w:val="007C6CD5"/>
    <w:rsid w:val="007C7465"/>
    <w:rsid w:val="007D2175"/>
    <w:rsid w:val="007D56E4"/>
    <w:rsid w:val="007D5C10"/>
    <w:rsid w:val="007D6456"/>
    <w:rsid w:val="007E1AC2"/>
    <w:rsid w:val="007E53FF"/>
    <w:rsid w:val="007E6F7F"/>
    <w:rsid w:val="007E7A88"/>
    <w:rsid w:val="007F0197"/>
    <w:rsid w:val="007F0C87"/>
    <w:rsid w:val="007F64C0"/>
    <w:rsid w:val="0080033D"/>
    <w:rsid w:val="00800858"/>
    <w:rsid w:val="00800A9F"/>
    <w:rsid w:val="00801335"/>
    <w:rsid w:val="00805F2E"/>
    <w:rsid w:val="008065D7"/>
    <w:rsid w:val="00806BB3"/>
    <w:rsid w:val="00806BE9"/>
    <w:rsid w:val="00807072"/>
    <w:rsid w:val="00807401"/>
    <w:rsid w:val="00810902"/>
    <w:rsid w:val="00811A25"/>
    <w:rsid w:val="00811F94"/>
    <w:rsid w:val="00812583"/>
    <w:rsid w:val="00813A33"/>
    <w:rsid w:val="008150CF"/>
    <w:rsid w:val="00815297"/>
    <w:rsid w:val="00820A94"/>
    <w:rsid w:val="0082124A"/>
    <w:rsid w:val="00822FD6"/>
    <w:rsid w:val="008241B1"/>
    <w:rsid w:val="0082507C"/>
    <w:rsid w:val="008268A7"/>
    <w:rsid w:val="00826953"/>
    <w:rsid w:val="008274A4"/>
    <w:rsid w:val="00827A35"/>
    <w:rsid w:val="00830F1B"/>
    <w:rsid w:val="00832DBF"/>
    <w:rsid w:val="008334AE"/>
    <w:rsid w:val="00836508"/>
    <w:rsid w:val="00836E06"/>
    <w:rsid w:val="00837077"/>
    <w:rsid w:val="00842A4E"/>
    <w:rsid w:val="0084364F"/>
    <w:rsid w:val="0084367A"/>
    <w:rsid w:val="00843C14"/>
    <w:rsid w:val="008460EA"/>
    <w:rsid w:val="00846296"/>
    <w:rsid w:val="00850109"/>
    <w:rsid w:val="00852396"/>
    <w:rsid w:val="00854772"/>
    <w:rsid w:val="0085557E"/>
    <w:rsid w:val="00856304"/>
    <w:rsid w:val="00856A0D"/>
    <w:rsid w:val="00860E5A"/>
    <w:rsid w:val="008610BC"/>
    <w:rsid w:val="0086214D"/>
    <w:rsid w:val="008632B4"/>
    <w:rsid w:val="00863871"/>
    <w:rsid w:val="00863F31"/>
    <w:rsid w:val="00870568"/>
    <w:rsid w:val="0087067E"/>
    <w:rsid w:val="00870727"/>
    <w:rsid w:val="0088000D"/>
    <w:rsid w:val="00880D4D"/>
    <w:rsid w:val="00884A40"/>
    <w:rsid w:val="0088517F"/>
    <w:rsid w:val="0088608E"/>
    <w:rsid w:val="00895C7C"/>
    <w:rsid w:val="008A0ABE"/>
    <w:rsid w:val="008A0D1F"/>
    <w:rsid w:val="008A0EC8"/>
    <w:rsid w:val="008A1FC0"/>
    <w:rsid w:val="008A2276"/>
    <w:rsid w:val="008A2DBE"/>
    <w:rsid w:val="008A381C"/>
    <w:rsid w:val="008A45AD"/>
    <w:rsid w:val="008A475E"/>
    <w:rsid w:val="008A4AF8"/>
    <w:rsid w:val="008A583E"/>
    <w:rsid w:val="008A5B6B"/>
    <w:rsid w:val="008A7E71"/>
    <w:rsid w:val="008B007A"/>
    <w:rsid w:val="008B115D"/>
    <w:rsid w:val="008B2160"/>
    <w:rsid w:val="008B282E"/>
    <w:rsid w:val="008B315C"/>
    <w:rsid w:val="008B35A5"/>
    <w:rsid w:val="008B3600"/>
    <w:rsid w:val="008B4216"/>
    <w:rsid w:val="008C0FCB"/>
    <w:rsid w:val="008C115C"/>
    <w:rsid w:val="008D1B5E"/>
    <w:rsid w:val="008D2326"/>
    <w:rsid w:val="008D251D"/>
    <w:rsid w:val="008D3DBB"/>
    <w:rsid w:val="008E6C96"/>
    <w:rsid w:val="008F2631"/>
    <w:rsid w:val="008F2B93"/>
    <w:rsid w:val="008F61C4"/>
    <w:rsid w:val="00900BD8"/>
    <w:rsid w:val="009045B4"/>
    <w:rsid w:val="009045D9"/>
    <w:rsid w:val="00907862"/>
    <w:rsid w:val="0090792E"/>
    <w:rsid w:val="00907D99"/>
    <w:rsid w:val="00910249"/>
    <w:rsid w:val="00912F9F"/>
    <w:rsid w:val="00913B61"/>
    <w:rsid w:val="0092043E"/>
    <w:rsid w:val="009207A4"/>
    <w:rsid w:val="00921C43"/>
    <w:rsid w:val="00921F94"/>
    <w:rsid w:val="00923A95"/>
    <w:rsid w:val="00925601"/>
    <w:rsid w:val="00925CD6"/>
    <w:rsid w:val="009261AE"/>
    <w:rsid w:val="00926997"/>
    <w:rsid w:val="00926B86"/>
    <w:rsid w:val="00934BA0"/>
    <w:rsid w:val="00935656"/>
    <w:rsid w:val="009428D7"/>
    <w:rsid w:val="009447D8"/>
    <w:rsid w:val="00944BA7"/>
    <w:rsid w:val="009454F9"/>
    <w:rsid w:val="0094778B"/>
    <w:rsid w:val="00950757"/>
    <w:rsid w:val="00950F26"/>
    <w:rsid w:val="00952965"/>
    <w:rsid w:val="00952B6F"/>
    <w:rsid w:val="00952CD5"/>
    <w:rsid w:val="00953D84"/>
    <w:rsid w:val="00954499"/>
    <w:rsid w:val="00954EED"/>
    <w:rsid w:val="009556C6"/>
    <w:rsid w:val="00955893"/>
    <w:rsid w:val="00957CFA"/>
    <w:rsid w:val="00960C3E"/>
    <w:rsid w:val="009615C7"/>
    <w:rsid w:val="00961AF3"/>
    <w:rsid w:val="00962194"/>
    <w:rsid w:val="00962DED"/>
    <w:rsid w:val="00966A97"/>
    <w:rsid w:val="00966E0D"/>
    <w:rsid w:val="00971C82"/>
    <w:rsid w:val="00971F2C"/>
    <w:rsid w:val="0097369D"/>
    <w:rsid w:val="00977F16"/>
    <w:rsid w:val="00980FD0"/>
    <w:rsid w:val="00981211"/>
    <w:rsid w:val="00982B83"/>
    <w:rsid w:val="00983463"/>
    <w:rsid w:val="0098566E"/>
    <w:rsid w:val="00985BCB"/>
    <w:rsid w:val="00987B0E"/>
    <w:rsid w:val="0099009F"/>
    <w:rsid w:val="0099216A"/>
    <w:rsid w:val="00995939"/>
    <w:rsid w:val="00996942"/>
    <w:rsid w:val="009969AC"/>
    <w:rsid w:val="009A2A5E"/>
    <w:rsid w:val="009A3982"/>
    <w:rsid w:val="009A3A62"/>
    <w:rsid w:val="009A3ED6"/>
    <w:rsid w:val="009A4C7F"/>
    <w:rsid w:val="009B2078"/>
    <w:rsid w:val="009B26B2"/>
    <w:rsid w:val="009B3884"/>
    <w:rsid w:val="009B41D2"/>
    <w:rsid w:val="009B4212"/>
    <w:rsid w:val="009B49D0"/>
    <w:rsid w:val="009B57E0"/>
    <w:rsid w:val="009C08FE"/>
    <w:rsid w:val="009C3F7E"/>
    <w:rsid w:val="009C4AAE"/>
    <w:rsid w:val="009C4DE8"/>
    <w:rsid w:val="009C6D89"/>
    <w:rsid w:val="009C7626"/>
    <w:rsid w:val="009D0F20"/>
    <w:rsid w:val="009D78E5"/>
    <w:rsid w:val="009E2853"/>
    <w:rsid w:val="009E411C"/>
    <w:rsid w:val="009E59D7"/>
    <w:rsid w:val="009E5B23"/>
    <w:rsid w:val="009F0F8E"/>
    <w:rsid w:val="009F1F57"/>
    <w:rsid w:val="009F25A2"/>
    <w:rsid w:val="009F3FE1"/>
    <w:rsid w:val="009F53A5"/>
    <w:rsid w:val="009F7D62"/>
    <w:rsid w:val="00A01902"/>
    <w:rsid w:val="00A01C18"/>
    <w:rsid w:val="00A04270"/>
    <w:rsid w:val="00A0506D"/>
    <w:rsid w:val="00A063D0"/>
    <w:rsid w:val="00A101E3"/>
    <w:rsid w:val="00A10943"/>
    <w:rsid w:val="00A13F97"/>
    <w:rsid w:val="00A15F89"/>
    <w:rsid w:val="00A16593"/>
    <w:rsid w:val="00A21CE1"/>
    <w:rsid w:val="00A246A9"/>
    <w:rsid w:val="00A26AB3"/>
    <w:rsid w:val="00A27125"/>
    <w:rsid w:val="00A27BEE"/>
    <w:rsid w:val="00A32231"/>
    <w:rsid w:val="00A352A1"/>
    <w:rsid w:val="00A36248"/>
    <w:rsid w:val="00A41504"/>
    <w:rsid w:val="00A419E5"/>
    <w:rsid w:val="00A42C2F"/>
    <w:rsid w:val="00A47A31"/>
    <w:rsid w:val="00A47A6A"/>
    <w:rsid w:val="00A50139"/>
    <w:rsid w:val="00A5644B"/>
    <w:rsid w:val="00A6202F"/>
    <w:rsid w:val="00A620DD"/>
    <w:rsid w:val="00A64BBA"/>
    <w:rsid w:val="00A64D40"/>
    <w:rsid w:val="00A7031D"/>
    <w:rsid w:val="00A72329"/>
    <w:rsid w:val="00A723EA"/>
    <w:rsid w:val="00A73353"/>
    <w:rsid w:val="00A76AC9"/>
    <w:rsid w:val="00A800EB"/>
    <w:rsid w:val="00A81138"/>
    <w:rsid w:val="00A83D75"/>
    <w:rsid w:val="00A84AB9"/>
    <w:rsid w:val="00A85E58"/>
    <w:rsid w:val="00A86DBF"/>
    <w:rsid w:val="00A90182"/>
    <w:rsid w:val="00A903EA"/>
    <w:rsid w:val="00A9274D"/>
    <w:rsid w:val="00A93209"/>
    <w:rsid w:val="00A93473"/>
    <w:rsid w:val="00A96A42"/>
    <w:rsid w:val="00AA062D"/>
    <w:rsid w:val="00AA0844"/>
    <w:rsid w:val="00AA30E5"/>
    <w:rsid w:val="00AA3CE7"/>
    <w:rsid w:val="00AA44BE"/>
    <w:rsid w:val="00AA7E18"/>
    <w:rsid w:val="00AB09A1"/>
    <w:rsid w:val="00AB1D9C"/>
    <w:rsid w:val="00AB3D14"/>
    <w:rsid w:val="00AB4940"/>
    <w:rsid w:val="00AB5BB2"/>
    <w:rsid w:val="00AB65AE"/>
    <w:rsid w:val="00AC32FA"/>
    <w:rsid w:val="00AC54D8"/>
    <w:rsid w:val="00AC7BE3"/>
    <w:rsid w:val="00AD065B"/>
    <w:rsid w:val="00AD397F"/>
    <w:rsid w:val="00AD57B5"/>
    <w:rsid w:val="00AD5CF0"/>
    <w:rsid w:val="00AE0A46"/>
    <w:rsid w:val="00AE2549"/>
    <w:rsid w:val="00AE27C3"/>
    <w:rsid w:val="00AE2D7D"/>
    <w:rsid w:val="00AE4BF7"/>
    <w:rsid w:val="00AE4C6E"/>
    <w:rsid w:val="00AE6EF2"/>
    <w:rsid w:val="00AE7F08"/>
    <w:rsid w:val="00AF2353"/>
    <w:rsid w:val="00AF29BA"/>
    <w:rsid w:val="00AF29CE"/>
    <w:rsid w:val="00AF55B9"/>
    <w:rsid w:val="00B0090E"/>
    <w:rsid w:val="00B00B62"/>
    <w:rsid w:val="00B03923"/>
    <w:rsid w:val="00B06D85"/>
    <w:rsid w:val="00B112C7"/>
    <w:rsid w:val="00B1198E"/>
    <w:rsid w:val="00B204A8"/>
    <w:rsid w:val="00B21114"/>
    <w:rsid w:val="00B21652"/>
    <w:rsid w:val="00B2251C"/>
    <w:rsid w:val="00B23A73"/>
    <w:rsid w:val="00B23FF4"/>
    <w:rsid w:val="00B25AA6"/>
    <w:rsid w:val="00B27D87"/>
    <w:rsid w:val="00B30863"/>
    <w:rsid w:val="00B32702"/>
    <w:rsid w:val="00B32C0D"/>
    <w:rsid w:val="00B34798"/>
    <w:rsid w:val="00B3563B"/>
    <w:rsid w:val="00B361BB"/>
    <w:rsid w:val="00B368D9"/>
    <w:rsid w:val="00B36A8A"/>
    <w:rsid w:val="00B37C57"/>
    <w:rsid w:val="00B37D2D"/>
    <w:rsid w:val="00B4022D"/>
    <w:rsid w:val="00B44EEC"/>
    <w:rsid w:val="00B5336D"/>
    <w:rsid w:val="00B544D6"/>
    <w:rsid w:val="00B61804"/>
    <w:rsid w:val="00B6306F"/>
    <w:rsid w:val="00B7051B"/>
    <w:rsid w:val="00B70B29"/>
    <w:rsid w:val="00B71C1F"/>
    <w:rsid w:val="00B74B7A"/>
    <w:rsid w:val="00B75E77"/>
    <w:rsid w:val="00B76A3B"/>
    <w:rsid w:val="00B80807"/>
    <w:rsid w:val="00B839FC"/>
    <w:rsid w:val="00B84C90"/>
    <w:rsid w:val="00B859F1"/>
    <w:rsid w:val="00B85DA7"/>
    <w:rsid w:val="00B862CC"/>
    <w:rsid w:val="00B86630"/>
    <w:rsid w:val="00B90D94"/>
    <w:rsid w:val="00B924D6"/>
    <w:rsid w:val="00B93FC3"/>
    <w:rsid w:val="00B9518F"/>
    <w:rsid w:val="00B95CFC"/>
    <w:rsid w:val="00B96881"/>
    <w:rsid w:val="00BA10C2"/>
    <w:rsid w:val="00BA36B7"/>
    <w:rsid w:val="00BA6A0F"/>
    <w:rsid w:val="00BB0623"/>
    <w:rsid w:val="00BB204F"/>
    <w:rsid w:val="00BB76FF"/>
    <w:rsid w:val="00BB7F82"/>
    <w:rsid w:val="00BC005C"/>
    <w:rsid w:val="00BC1462"/>
    <w:rsid w:val="00BC2AB2"/>
    <w:rsid w:val="00BC4F68"/>
    <w:rsid w:val="00BC66EB"/>
    <w:rsid w:val="00BC751E"/>
    <w:rsid w:val="00BD0295"/>
    <w:rsid w:val="00BD1B2E"/>
    <w:rsid w:val="00BD27C8"/>
    <w:rsid w:val="00BD2D7E"/>
    <w:rsid w:val="00BD310C"/>
    <w:rsid w:val="00BD3A23"/>
    <w:rsid w:val="00BD4FD3"/>
    <w:rsid w:val="00BE1FE7"/>
    <w:rsid w:val="00BE32ED"/>
    <w:rsid w:val="00BE3691"/>
    <w:rsid w:val="00BE4978"/>
    <w:rsid w:val="00BE4A3A"/>
    <w:rsid w:val="00BF0568"/>
    <w:rsid w:val="00BF24DC"/>
    <w:rsid w:val="00BF2C5A"/>
    <w:rsid w:val="00BF41DA"/>
    <w:rsid w:val="00BF4FB5"/>
    <w:rsid w:val="00BF5A45"/>
    <w:rsid w:val="00BF5C40"/>
    <w:rsid w:val="00BF6E03"/>
    <w:rsid w:val="00C00AA3"/>
    <w:rsid w:val="00C01E9C"/>
    <w:rsid w:val="00C024D8"/>
    <w:rsid w:val="00C06268"/>
    <w:rsid w:val="00C072C8"/>
    <w:rsid w:val="00C079FF"/>
    <w:rsid w:val="00C10685"/>
    <w:rsid w:val="00C10926"/>
    <w:rsid w:val="00C114A2"/>
    <w:rsid w:val="00C120AC"/>
    <w:rsid w:val="00C15231"/>
    <w:rsid w:val="00C20070"/>
    <w:rsid w:val="00C242E8"/>
    <w:rsid w:val="00C267AD"/>
    <w:rsid w:val="00C312FC"/>
    <w:rsid w:val="00C329D4"/>
    <w:rsid w:val="00C342C2"/>
    <w:rsid w:val="00C34FE9"/>
    <w:rsid w:val="00C35D67"/>
    <w:rsid w:val="00C405A7"/>
    <w:rsid w:val="00C41223"/>
    <w:rsid w:val="00C44C70"/>
    <w:rsid w:val="00C451DC"/>
    <w:rsid w:val="00C45B44"/>
    <w:rsid w:val="00C46966"/>
    <w:rsid w:val="00C479DB"/>
    <w:rsid w:val="00C5361F"/>
    <w:rsid w:val="00C548A3"/>
    <w:rsid w:val="00C55A43"/>
    <w:rsid w:val="00C60E74"/>
    <w:rsid w:val="00C73581"/>
    <w:rsid w:val="00C73BD5"/>
    <w:rsid w:val="00C7566F"/>
    <w:rsid w:val="00C77CA7"/>
    <w:rsid w:val="00C77D41"/>
    <w:rsid w:val="00C8101F"/>
    <w:rsid w:val="00C81E26"/>
    <w:rsid w:val="00C82637"/>
    <w:rsid w:val="00C82765"/>
    <w:rsid w:val="00C8304B"/>
    <w:rsid w:val="00C83466"/>
    <w:rsid w:val="00C8617A"/>
    <w:rsid w:val="00C861CA"/>
    <w:rsid w:val="00C928F5"/>
    <w:rsid w:val="00C92F34"/>
    <w:rsid w:val="00C9303A"/>
    <w:rsid w:val="00C937F0"/>
    <w:rsid w:val="00C94905"/>
    <w:rsid w:val="00CA13E6"/>
    <w:rsid w:val="00CA2396"/>
    <w:rsid w:val="00CA2560"/>
    <w:rsid w:val="00CB174C"/>
    <w:rsid w:val="00CB2D8D"/>
    <w:rsid w:val="00CB3767"/>
    <w:rsid w:val="00CB40E0"/>
    <w:rsid w:val="00CB5002"/>
    <w:rsid w:val="00CB5BC9"/>
    <w:rsid w:val="00CB6149"/>
    <w:rsid w:val="00CC13D2"/>
    <w:rsid w:val="00CC1FEA"/>
    <w:rsid w:val="00CC2A6E"/>
    <w:rsid w:val="00CC4287"/>
    <w:rsid w:val="00CC4451"/>
    <w:rsid w:val="00CC4D5E"/>
    <w:rsid w:val="00CC7F18"/>
    <w:rsid w:val="00CD012C"/>
    <w:rsid w:val="00CD15F0"/>
    <w:rsid w:val="00CD16B7"/>
    <w:rsid w:val="00CD4109"/>
    <w:rsid w:val="00CD5FFC"/>
    <w:rsid w:val="00CE276D"/>
    <w:rsid w:val="00CE606A"/>
    <w:rsid w:val="00CE6D88"/>
    <w:rsid w:val="00CE7CC4"/>
    <w:rsid w:val="00CF070D"/>
    <w:rsid w:val="00CF2FDE"/>
    <w:rsid w:val="00CF5676"/>
    <w:rsid w:val="00CF6DD7"/>
    <w:rsid w:val="00CF7C44"/>
    <w:rsid w:val="00D04EBF"/>
    <w:rsid w:val="00D076A4"/>
    <w:rsid w:val="00D07AD8"/>
    <w:rsid w:val="00D1282F"/>
    <w:rsid w:val="00D13508"/>
    <w:rsid w:val="00D13AC5"/>
    <w:rsid w:val="00D1612A"/>
    <w:rsid w:val="00D16D15"/>
    <w:rsid w:val="00D16FD0"/>
    <w:rsid w:val="00D204A6"/>
    <w:rsid w:val="00D20847"/>
    <w:rsid w:val="00D219DF"/>
    <w:rsid w:val="00D21DCF"/>
    <w:rsid w:val="00D21EC3"/>
    <w:rsid w:val="00D235CA"/>
    <w:rsid w:val="00D2395F"/>
    <w:rsid w:val="00D24A96"/>
    <w:rsid w:val="00D2621F"/>
    <w:rsid w:val="00D27602"/>
    <w:rsid w:val="00D30E52"/>
    <w:rsid w:val="00D31034"/>
    <w:rsid w:val="00D31995"/>
    <w:rsid w:val="00D34969"/>
    <w:rsid w:val="00D438F7"/>
    <w:rsid w:val="00D4396D"/>
    <w:rsid w:val="00D46506"/>
    <w:rsid w:val="00D47B40"/>
    <w:rsid w:val="00D51987"/>
    <w:rsid w:val="00D520A3"/>
    <w:rsid w:val="00D531CD"/>
    <w:rsid w:val="00D53AEE"/>
    <w:rsid w:val="00D55780"/>
    <w:rsid w:val="00D55C41"/>
    <w:rsid w:val="00D64D49"/>
    <w:rsid w:val="00D664D8"/>
    <w:rsid w:val="00D748CF"/>
    <w:rsid w:val="00D74CE7"/>
    <w:rsid w:val="00D7640E"/>
    <w:rsid w:val="00D766FD"/>
    <w:rsid w:val="00D76F14"/>
    <w:rsid w:val="00D81BE8"/>
    <w:rsid w:val="00D86069"/>
    <w:rsid w:val="00D867A9"/>
    <w:rsid w:val="00D871F7"/>
    <w:rsid w:val="00D879AD"/>
    <w:rsid w:val="00D90928"/>
    <w:rsid w:val="00D94926"/>
    <w:rsid w:val="00D94A1E"/>
    <w:rsid w:val="00D950C6"/>
    <w:rsid w:val="00D954A3"/>
    <w:rsid w:val="00D95676"/>
    <w:rsid w:val="00D95DCA"/>
    <w:rsid w:val="00D95EFC"/>
    <w:rsid w:val="00DA31C9"/>
    <w:rsid w:val="00DA3242"/>
    <w:rsid w:val="00DA3FF5"/>
    <w:rsid w:val="00DA4514"/>
    <w:rsid w:val="00DA4D85"/>
    <w:rsid w:val="00DA5F3F"/>
    <w:rsid w:val="00DA614E"/>
    <w:rsid w:val="00DA78BE"/>
    <w:rsid w:val="00DB033C"/>
    <w:rsid w:val="00DB2644"/>
    <w:rsid w:val="00DB3BE4"/>
    <w:rsid w:val="00DB4AE5"/>
    <w:rsid w:val="00DB7853"/>
    <w:rsid w:val="00DC0C3C"/>
    <w:rsid w:val="00DC18DD"/>
    <w:rsid w:val="00DC3796"/>
    <w:rsid w:val="00DC6EC1"/>
    <w:rsid w:val="00DC7E74"/>
    <w:rsid w:val="00DD0660"/>
    <w:rsid w:val="00DD25A5"/>
    <w:rsid w:val="00DD363B"/>
    <w:rsid w:val="00DD568D"/>
    <w:rsid w:val="00DE0439"/>
    <w:rsid w:val="00DE112B"/>
    <w:rsid w:val="00DE4F7C"/>
    <w:rsid w:val="00DE7E91"/>
    <w:rsid w:val="00DF00F4"/>
    <w:rsid w:val="00DF2AB8"/>
    <w:rsid w:val="00DF2E89"/>
    <w:rsid w:val="00DF3717"/>
    <w:rsid w:val="00DF4957"/>
    <w:rsid w:val="00DF75D4"/>
    <w:rsid w:val="00E003B3"/>
    <w:rsid w:val="00E039FE"/>
    <w:rsid w:val="00E062AD"/>
    <w:rsid w:val="00E1062A"/>
    <w:rsid w:val="00E11F70"/>
    <w:rsid w:val="00E12670"/>
    <w:rsid w:val="00E12CDB"/>
    <w:rsid w:val="00E13C85"/>
    <w:rsid w:val="00E140DB"/>
    <w:rsid w:val="00E15472"/>
    <w:rsid w:val="00E16F85"/>
    <w:rsid w:val="00E200E1"/>
    <w:rsid w:val="00E21218"/>
    <w:rsid w:val="00E24640"/>
    <w:rsid w:val="00E24732"/>
    <w:rsid w:val="00E2473B"/>
    <w:rsid w:val="00E25A21"/>
    <w:rsid w:val="00E26B2F"/>
    <w:rsid w:val="00E302B0"/>
    <w:rsid w:val="00E309FF"/>
    <w:rsid w:val="00E31932"/>
    <w:rsid w:val="00E31C1B"/>
    <w:rsid w:val="00E3280F"/>
    <w:rsid w:val="00E33ADC"/>
    <w:rsid w:val="00E34149"/>
    <w:rsid w:val="00E36939"/>
    <w:rsid w:val="00E401CD"/>
    <w:rsid w:val="00E4548E"/>
    <w:rsid w:val="00E51C8F"/>
    <w:rsid w:val="00E60A47"/>
    <w:rsid w:val="00E60BC8"/>
    <w:rsid w:val="00E646E9"/>
    <w:rsid w:val="00E64E60"/>
    <w:rsid w:val="00E66940"/>
    <w:rsid w:val="00E678B6"/>
    <w:rsid w:val="00E75929"/>
    <w:rsid w:val="00E77DD3"/>
    <w:rsid w:val="00E80CAD"/>
    <w:rsid w:val="00E83907"/>
    <w:rsid w:val="00E86C77"/>
    <w:rsid w:val="00E870E0"/>
    <w:rsid w:val="00E8764F"/>
    <w:rsid w:val="00E90D07"/>
    <w:rsid w:val="00E922A1"/>
    <w:rsid w:val="00E93012"/>
    <w:rsid w:val="00E9435F"/>
    <w:rsid w:val="00E954BF"/>
    <w:rsid w:val="00E957BA"/>
    <w:rsid w:val="00E96121"/>
    <w:rsid w:val="00E96960"/>
    <w:rsid w:val="00E97FBE"/>
    <w:rsid w:val="00EA0B55"/>
    <w:rsid w:val="00EA0C8B"/>
    <w:rsid w:val="00EA12B6"/>
    <w:rsid w:val="00EA29A3"/>
    <w:rsid w:val="00EA2B62"/>
    <w:rsid w:val="00EA2B8A"/>
    <w:rsid w:val="00EA566E"/>
    <w:rsid w:val="00EA5911"/>
    <w:rsid w:val="00EA62EC"/>
    <w:rsid w:val="00EA74D6"/>
    <w:rsid w:val="00EA76F9"/>
    <w:rsid w:val="00EB106E"/>
    <w:rsid w:val="00EB1B58"/>
    <w:rsid w:val="00EB27B7"/>
    <w:rsid w:val="00EB2A4D"/>
    <w:rsid w:val="00EB2BFD"/>
    <w:rsid w:val="00EB3012"/>
    <w:rsid w:val="00EB46DD"/>
    <w:rsid w:val="00EB4A2A"/>
    <w:rsid w:val="00EB5A16"/>
    <w:rsid w:val="00EB5DC2"/>
    <w:rsid w:val="00EB7CDA"/>
    <w:rsid w:val="00EC0F17"/>
    <w:rsid w:val="00EC38EC"/>
    <w:rsid w:val="00EC3A70"/>
    <w:rsid w:val="00EC41BB"/>
    <w:rsid w:val="00EC6E75"/>
    <w:rsid w:val="00ED1B91"/>
    <w:rsid w:val="00ED20F2"/>
    <w:rsid w:val="00ED2A25"/>
    <w:rsid w:val="00ED3B44"/>
    <w:rsid w:val="00ED4113"/>
    <w:rsid w:val="00ED4121"/>
    <w:rsid w:val="00ED45D2"/>
    <w:rsid w:val="00ED7203"/>
    <w:rsid w:val="00ED77EF"/>
    <w:rsid w:val="00ED7805"/>
    <w:rsid w:val="00EE0F73"/>
    <w:rsid w:val="00EE1299"/>
    <w:rsid w:val="00EE1700"/>
    <w:rsid w:val="00EE227F"/>
    <w:rsid w:val="00EE2F7F"/>
    <w:rsid w:val="00EF0A21"/>
    <w:rsid w:val="00EF303D"/>
    <w:rsid w:val="00EF3E4E"/>
    <w:rsid w:val="00EF475E"/>
    <w:rsid w:val="00F069CB"/>
    <w:rsid w:val="00F06A78"/>
    <w:rsid w:val="00F07ADC"/>
    <w:rsid w:val="00F11433"/>
    <w:rsid w:val="00F1286B"/>
    <w:rsid w:val="00F13963"/>
    <w:rsid w:val="00F13999"/>
    <w:rsid w:val="00F13BAB"/>
    <w:rsid w:val="00F13BD3"/>
    <w:rsid w:val="00F1403C"/>
    <w:rsid w:val="00F15A80"/>
    <w:rsid w:val="00F22C9F"/>
    <w:rsid w:val="00F23EA9"/>
    <w:rsid w:val="00F25338"/>
    <w:rsid w:val="00F27F44"/>
    <w:rsid w:val="00F30148"/>
    <w:rsid w:val="00F32EB2"/>
    <w:rsid w:val="00F33824"/>
    <w:rsid w:val="00F34C94"/>
    <w:rsid w:val="00F35823"/>
    <w:rsid w:val="00F415E7"/>
    <w:rsid w:val="00F440CF"/>
    <w:rsid w:val="00F44562"/>
    <w:rsid w:val="00F4628E"/>
    <w:rsid w:val="00F47E8C"/>
    <w:rsid w:val="00F503C6"/>
    <w:rsid w:val="00F50E48"/>
    <w:rsid w:val="00F524FE"/>
    <w:rsid w:val="00F5262B"/>
    <w:rsid w:val="00F528D3"/>
    <w:rsid w:val="00F52F1C"/>
    <w:rsid w:val="00F54F9A"/>
    <w:rsid w:val="00F57D27"/>
    <w:rsid w:val="00F604C2"/>
    <w:rsid w:val="00F60907"/>
    <w:rsid w:val="00F63BAD"/>
    <w:rsid w:val="00F647BA"/>
    <w:rsid w:val="00F64C0B"/>
    <w:rsid w:val="00F65136"/>
    <w:rsid w:val="00F66D91"/>
    <w:rsid w:val="00F67A52"/>
    <w:rsid w:val="00F67FD3"/>
    <w:rsid w:val="00F708B2"/>
    <w:rsid w:val="00F71E19"/>
    <w:rsid w:val="00F74CBB"/>
    <w:rsid w:val="00F75AB4"/>
    <w:rsid w:val="00F75C2F"/>
    <w:rsid w:val="00F84435"/>
    <w:rsid w:val="00F848C5"/>
    <w:rsid w:val="00F84B55"/>
    <w:rsid w:val="00F85DBF"/>
    <w:rsid w:val="00F85F32"/>
    <w:rsid w:val="00F8624A"/>
    <w:rsid w:val="00F87F1A"/>
    <w:rsid w:val="00F90DB7"/>
    <w:rsid w:val="00F90E9F"/>
    <w:rsid w:val="00F913BD"/>
    <w:rsid w:val="00F927EF"/>
    <w:rsid w:val="00F94F04"/>
    <w:rsid w:val="00F9534F"/>
    <w:rsid w:val="00F95FF6"/>
    <w:rsid w:val="00FA0E11"/>
    <w:rsid w:val="00FA20C5"/>
    <w:rsid w:val="00FA6503"/>
    <w:rsid w:val="00FA7884"/>
    <w:rsid w:val="00FB27EB"/>
    <w:rsid w:val="00FB7B1C"/>
    <w:rsid w:val="00FB7F4F"/>
    <w:rsid w:val="00FC0DF4"/>
    <w:rsid w:val="00FC1F16"/>
    <w:rsid w:val="00FC39F6"/>
    <w:rsid w:val="00FC6337"/>
    <w:rsid w:val="00FD0442"/>
    <w:rsid w:val="00FD08AE"/>
    <w:rsid w:val="00FD2D65"/>
    <w:rsid w:val="00FD520D"/>
    <w:rsid w:val="00FD5FFF"/>
    <w:rsid w:val="00FD74C1"/>
    <w:rsid w:val="00FE13D9"/>
    <w:rsid w:val="00FE1AF1"/>
    <w:rsid w:val="00FE2BF6"/>
    <w:rsid w:val="00FE67A8"/>
    <w:rsid w:val="00FE792D"/>
    <w:rsid w:val="0456787D"/>
    <w:rsid w:val="048B28F3"/>
    <w:rsid w:val="04BB5B55"/>
    <w:rsid w:val="083010DE"/>
    <w:rsid w:val="08326375"/>
    <w:rsid w:val="0CBE17BD"/>
    <w:rsid w:val="10677D9E"/>
    <w:rsid w:val="10AE35AB"/>
    <w:rsid w:val="1290739A"/>
    <w:rsid w:val="144B2EE9"/>
    <w:rsid w:val="165D5AA0"/>
    <w:rsid w:val="1B950424"/>
    <w:rsid w:val="1BD6129B"/>
    <w:rsid w:val="1C645FF6"/>
    <w:rsid w:val="1DAD0AAC"/>
    <w:rsid w:val="1E7F068B"/>
    <w:rsid w:val="20E7601E"/>
    <w:rsid w:val="22400CF8"/>
    <w:rsid w:val="22E06CA1"/>
    <w:rsid w:val="26135588"/>
    <w:rsid w:val="26F62F37"/>
    <w:rsid w:val="27AE0F41"/>
    <w:rsid w:val="28635E84"/>
    <w:rsid w:val="2AD049D6"/>
    <w:rsid w:val="2AE6216C"/>
    <w:rsid w:val="2D106E6B"/>
    <w:rsid w:val="2F025F61"/>
    <w:rsid w:val="2FC20E5D"/>
    <w:rsid w:val="2FF75994"/>
    <w:rsid w:val="341D0343"/>
    <w:rsid w:val="35551771"/>
    <w:rsid w:val="3CA60BB5"/>
    <w:rsid w:val="3D472DE0"/>
    <w:rsid w:val="3E8A789B"/>
    <w:rsid w:val="3E996C33"/>
    <w:rsid w:val="3F274FB2"/>
    <w:rsid w:val="418A09F4"/>
    <w:rsid w:val="429E4C66"/>
    <w:rsid w:val="42AC4FB3"/>
    <w:rsid w:val="44644141"/>
    <w:rsid w:val="46657792"/>
    <w:rsid w:val="468B76B2"/>
    <w:rsid w:val="47045907"/>
    <w:rsid w:val="48EA03D7"/>
    <w:rsid w:val="49F904C5"/>
    <w:rsid w:val="51645456"/>
    <w:rsid w:val="51672BC4"/>
    <w:rsid w:val="51AB16C6"/>
    <w:rsid w:val="52CF1805"/>
    <w:rsid w:val="531D78AB"/>
    <w:rsid w:val="566A5A65"/>
    <w:rsid w:val="571F4694"/>
    <w:rsid w:val="57DA4199"/>
    <w:rsid w:val="57EB7940"/>
    <w:rsid w:val="597A020C"/>
    <w:rsid w:val="59C2305E"/>
    <w:rsid w:val="5F3E25A9"/>
    <w:rsid w:val="6087089F"/>
    <w:rsid w:val="64937022"/>
    <w:rsid w:val="652E1513"/>
    <w:rsid w:val="677F4654"/>
    <w:rsid w:val="6AB72865"/>
    <w:rsid w:val="6C28416E"/>
    <w:rsid w:val="6CF93F26"/>
    <w:rsid w:val="6D9F0E81"/>
    <w:rsid w:val="6FA6361B"/>
    <w:rsid w:val="703A102E"/>
    <w:rsid w:val="7073301F"/>
    <w:rsid w:val="70A57ED4"/>
    <w:rsid w:val="71B66B18"/>
    <w:rsid w:val="72BF0BE1"/>
    <w:rsid w:val="734F0FD2"/>
    <w:rsid w:val="75BF1D13"/>
    <w:rsid w:val="769D189E"/>
    <w:rsid w:val="773B77D0"/>
    <w:rsid w:val="775E6720"/>
    <w:rsid w:val="7B3A427C"/>
    <w:rsid w:val="7C6160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99"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keepLines/>
      <w:spacing w:before="340" w:after="330" w:line="578" w:lineRule="auto"/>
      <w:outlineLvl w:val="0"/>
    </w:pPr>
    <w:rPr>
      <w:b/>
      <w:bCs/>
      <w:kern w:val="44"/>
      <w:sz w:val="44"/>
      <w:szCs w:val="44"/>
    </w:rPr>
  </w:style>
  <w:style w:type="paragraph" w:styleId="3">
    <w:name w:val="heading 2"/>
    <w:basedOn w:val="1"/>
    <w:next w:val="4"/>
    <w:qFormat/>
    <w:uiPriority w:val="0"/>
    <w:pPr>
      <w:keepNext/>
      <w:keepLines/>
      <w:spacing w:before="260" w:after="260" w:line="416" w:lineRule="auto"/>
      <w:outlineLvl w:val="1"/>
    </w:pPr>
    <w:rPr>
      <w:rFonts w:ascii="Arial" w:hAnsi="Arial" w:eastAsia="黑体"/>
      <w:b/>
      <w:sz w:val="32"/>
      <w:szCs w:val="20"/>
    </w:rPr>
  </w:style>
  <w:style w:type="character" w:default="1" w:styleId="27">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ind w:firstLine="420" w:firstLineChars="200"/>
    </w:pPr>
  </w:style>
  <w:style w:type="paragraph" w:styleId="5">
    <w:name w:val="toc 7"/>
    <w:basedOn w:val="1"/>
    <w:next w:val="1"/>
    <w:semiHidden/>
    <w:qFormat/>
    <w:uiPriority w:val="0"/>
    <w:pPr>
      <w:ind w:left="2520" w:leftChars="1200"/>
    </w:pPr>
  </w:style>
  <w:style w:type="paragraph" w:styleId="6">
    <w:name w:val="Document Map"/>
    <w:basedOn w:val="1"/>
    <w:semiHidden/>
    <w:qFormat/>
    <w:uiPriority w:val="0"/>
    <w:pPr>
      <w:shd w:val="clear" w:color="auto" w:fill="000080"/>
    </w:pPr>
  </w:style>
  <w:style w:type="paragraph" w:styleId="7">
    <w:name w:val="annotation text"/>
    <w:basedOn w:val="1"/>
    <w:link w:val="40"/>
    <w:semiHidden/>
    <w:qFormat/>
    <w:uiPriority w:val="0"/>
    <w:pPr>
      <w:jc w:val="left"/>
    </w:pPr>
  </w:style>
  <w:style w:type="paragraph" w:styleId="8">
    <w:name w:val="Body Text"/>
    <w:basedOn w:val="1"/>
    <w:qFormat/>
    <w:uiPriority w:val="0"/>
    <w:pPr>
      <w:spacing w:line="360" w:lineRule="auto"/>
    </w:pPr>
    <w:rPr>
      <w:rFonts w:ascii="仿宋_GB2312" w:eastAsia="仿宋_GB2312"/>
      <w:color w:val="000000"/>
      <w:kern w:val="0"/>
      <w:sz w:val="24"/>
      <w:szCs w:val="28"/>
    </w:rPr>
  </w:style>
  <w:style w:type="paragraph" w:styleId="9">
    <w:name w:val="Body Text Indent"/>
    <w:basedOn w:val="1"/>
    <w:qFormat/>
    <w:uiPriority w:val="0"/>
    <w:pPr>
      <w:adjustRightInd w:val="0"/>
      <w:snapToGrid w:val="0"/>
      <w:spacing w:line="560" w:lineRule="exact"/>
      <w:ind w:firstLine="480" w:firstLineChars="200"/>
    </w:pPr>
    <w:rPr>
      <w:rFonts w:eastAsia="方正仿宋简体"/>
      <w:sz w:val="24"/>
      <w:szCs w:val="30"/>
    </w:rPr>
  </w:style>
  <w:style w:type="paragraph" w:styleId="10">
    <w:name w:val="toc 5"/>
    <w:basedOn w:val="1"/>
    <w:next w:val="1"/>
    <w:semiHidden/>
    <w:qFormat/>
    <w:uiPriority w:val="0"/>
    <w:pPr>
      <w:ind w:left="1680" w:leftChars="800"/>
    </w:pPr>
  </w:style>
  <w:style w:type="paragraph" w:styleId="11">
    <w:name w:val="toc 3"/>
    <w:basedOn w:val="1"/>
    <w:next w:val="1"/>
    <w:semiHidden/>
    <w:qFormat/>
    <w:uiPriority w:val="0"/>
    <w:pPr>
      <w:ind w:left="840" w:leftChars="400"/>
    </w:pPr>
  </w:style>
  <w:style w:type="paragraph" w:styleId="12">
    <w:name w:val="toc 8"/>
    <w:basedOn w:val="1"/>
    <w:next w:val="1"/>
    <w:semiHidden/>
    <w:qFormat/>
    <w:uiPriority w:val="0"/>
    <w:pPr>
      <w:ind w:left="2940" w:leftChars="1400"/>
    </w:pPr>
  </w:style>
  <w:style w:type="paragraph" w:styleId="13">
    <w:name w:val="Body Text Indent 2"/>
    <w:basedOn w:val="1"/>
    <w:qFormat/>
    <w:uiPriority w:val="0"/>
    <w:pPr>
      <w:spacing w:line="360" w:lineRule="auto"/>
      <w:ind w:firstLine="525"/>
    </w:pPr>
    <w:rPr>
      <w:rFonts w:ascii="宋体" w:hAnsi="宋体"/>
      <w:sz w:val="28"/>
      <w:szCs w:val="20"/>
    </w:rPr>
  </w:style>
  <w:style w:type="paragraph" w:styleId="14">
    <w:name w:val="Balloon Text"/>
    <w:basedOn w:val="1"/>
    <w:semiHidden/>
    <w:qFormat/>
    <w:uiPriority w:val="0"/>
    <w:rPr>
      <w:sz w:val="18"/>
      <w:szCs w:val="18"/>
    </w:rPr>
  </w:style>
  <w:style w:type="paragraph" w:styleId="15">
    <w:name w:val="footer"/>
    <w:basedOn w:val="1"/>
    <w:link w:val="43"/>
    <w:qFormat/>
    <w:uiPriority w:val="99"/>
    <w:pPr>
      <w:tabs>
        <w:tab w:val="center" w:pos="4153"/>
        <w:tab w:val="right" w:pos="8306"/>
      </w:tabs>
      <w:snapToGrid w:val="0"/>
      <w:jc w:val="left"/>
    </w:pPr>
    <w:rPr>
      <w:sz w:val="18"/>
      <w:szCs w:val="18"/>
      <w:lang w:val="zh-CN"/>
    </w:rPr>
  </w:style>
  <w:style w:type="paragraph" w:styleId="16">
    <w:name w:val="header"/>
    <w:basedOn w:val="1"/>
    <w:link w:val="44"/>
    <w:qFormat/>
    <w:uiPriority w:val="99"/>
    <w:pPr>
      <w:pBdr>
        <w:bottom w:val="single" w:color="auto" w:sz="6" w:space="1"/>
      </w:pBdr>
      <w:tabs>
        <w:tab w:val="center" w:pos="4153"/>
        <w:tab w:val="right" w:pos="8306"/>
      </w:tabs>
      <w:snapToGrid w:val="0"/>
      <w:jc w:val="center"/>
    </w:pPr>
    <w:rPr>
      <w:sz w:val="18"/>
      <w:szCs w:val="18"/>
      <w:lang w:val="zh-CN"/>
    </w:rPr>
  </w:style>
  <w:style w:type="paragraph" w:styleId="17">
    <w:name w:val="toc 1"/>
    <w:basedOn w:val="1"/>
    <w:next w:val="1"/>
    <w:qFormat/>
    <w:uiPriority w:val="39"/>
  </w:style>
  <w:style w:type="paragraph" w:styleId="18">
    <w:name w:val="toc 4"/>
    <w:basedOn w:val="1"/>
    <w:next w:val="1"/>
    <w:semiHidden/>
    <w:qFormat/>
    <w:uiPriority w:val="0"/>
    <w:pPr>
      <w:ind w:left="1260" w:leftChars="600"/>
    </w:pPr>
  </w:style>
  <w:style w:type="paragraph" w:styleId="19">
    <w:name w:val="toc 6"/>
    <w:basedOn w:val="1"/>
    <w:next w:val="1"/>
    <w:semiHidden/>
    <w:qFormat/>
    <w:uiPriority w:val="0"/>
    <w:pPr>
      <w:ind w:left="2100" w:leftChars="1000"/>
    </w:pPr>
  </w:style>
  <w:style w:type="paragraph" w:styleId="20">
    <w:name w:val="Body Text Indent 3"/>
    <w:basedOn w:val="1"/>
    <w:qFormat/>
    <w:uiPriority w:val="0"/>
    <w:pPr>
      <w:adjustRightInd w:val="0"/>
      <w:snapToGrid w:val="0"/>
      <w:ind w:firstLine="480" w:firstLineChars="200"/>
    </w:pPr>
    <w:rPr>
      <w:rFonts w:ascii="仿宋_GB2312" w:hAnsi="宋体" w:eastAsia="仿宋_GB2312" w:cs="Arial"/>
      <w:color w:val="000000"/>
      <w:sz w:val="24"/>
    </w:rPr>
  </w:style>
  <w:style w:type="paragraph" w:styleId="21">
    <w:name w:val="toc 2"/>
    <w:basedOn w:val="1"/>
    <w:next w:val="1"/>
    <w:qFormat/>
    <w:uiPriority w:val="39"/>
    <w:pPr>
      <w:ind w:left="420" w:leftChars="200"/>
    </w:pPr>
  </w:style>
  <w:style w:type="paragraph" w:styleId="22">
    <w:name w:val="toc 9"/>
    <w:basedOn w:val="1"/>
    <w:next w:val="1"/>
    <w:semiHidden/>
    <w:qFormat/>
    <w:uiPriority w:val="0"/>
    <w:pPr>
      <w:ind w:left="3360" w:leftChars="1600"/>
    </w:pPr>
  </w:style>
  <w:style w:type="paragraph" w:styleId="23">
    <w:name w:val="Normal (Web)"/>
    <w:basedOn w:val="1"/>
    <w:qFormat/>
    <w:uiPriority w:val="99"/>
    <w:pPr>
      <w:widowControl/>
      <w:spacing w:before="100" w:beforeAutospacing="1" w:after="100" w:afterAutospacing="1"/>
      <w:jc w:val="left"/>
    </w:pPr>
    <w:rPr>
      <w:rFonts w:ascii="Arial Unicode MS" w:hAnsi="Arial Unicode MS" w:eastAsia="Arial Unicode MS" w:cs="Arial Unicode MS"/>
      <w:kern w:val="0"/>
      <w:sz w:val="24"/>
    </w:rPr>
  </w:style>
  <w:style w:type="paragraph" w:styleId="24">
    <w:name w:val="Title"/>
    <w:basedOn w:val="1"/>
    <w:link w:val="42"/>
    <w:qFormat/>
    <w:uiPriority w:val="0"/>
    <w:pPr>
      <w:spacing w:before="240" w:after="60"/>
      <w:jc w:val="center"/>
      <w:outlineLvl w:val="0"/>
    </w:pPr>
    <w:rPr>
      <w:rFonts w:ascii="Arial" w:hAnsi="Arial"/>
      <w:b/>
      <w:bCs/>
      <w:sz w:val="32"/>
      <w:szCs w:val="32"/>
      <w:lang w:val="zh-CN"/>
    </w:rPr>
  </w:style>
  <w:style w:type="paragraph" w:styleId="25">
    <w:name w:val="annotation subject"/>
    <w:basedOn w:val="7"/>
    <w:next w:val="7"/>
    <w:semiHidden/>
    <w:qFormat/>
    <w:uiPriority w:val="0"/>
    <w:rPr>
      <w:b/>
      <w:bCs/>
    </w:rPr>
  </w:style>
  <w:style w:type="character" w:styleId="28">
    <w:name w:val="Strong"/>
    <w:qFormat/>
    <w:uiPriority w:val="22"/>
    <w:rPr>
      <w:b/>
      <w:bCs/>
    </w:rPr>
  </w:style>
  <w:style w:type="character" w:styleId="29">
    <w:name w:val="page number"/>
    <w:basedOn w:val="27"/>
    <w:qFormat/>
    <w:uiPriority w:val="0"/>
  </w:style>
  <w:style w:type="character" w:styleId="30">
    <w:name w:val="Hyperlink"/>
    <w:qFormat/>
    <w:uiPriority w:val="99"/>
    <w:rPr>
      <w:color w:val="0000FF"/>
      <w:u w:val="single"/>
    </w:rPr>
  </w:style>
  <w:style w:type="character" w:styleId="31">
    <w:name w:val="annotation reference"/>
    <w:semiHidden/>
    <w:qFormat/>
    <w:uiPriority w:val="99"/>
    <w:rPr>
      <w:sz w:val="21"/>
      <w:szCs w:val="21"/>
    </w:rPr>
  </w:style>
  <w:style w:type="paragraph" w:customStyle="1" w:styleId="32">
    <w:name w:val="wz1"/>
    <w:basedOn w:val="1"/>
    <w:qFormat/>
    <w:uiPriority w:val="0"/>
    <w:pPr>
      <w:widowControl/>
      <w:spacing w:before="100" w:beforeAutospacing="1" w:after="100" w:afterAutospacing="1" w:line="245" w:lineRule="atLeast"/>
      <w:jc w:val="left"/>
    </w:pPr>
    <w:rPr>
      <w:rFonts w:ascii="Arial Unicode MS" w:hAnsi="Arial Unicode MS" w:eastAsia="Arial Unicode MS" w:cs="Arial Unicode MS"/>
      <w:color w:val="CC0000"/>
      <w:kern w:val="0"/>
      <w:sz w:val="22"/>
      <w:szCs w:val="22"/>
    </w:rPr>
  </w:style>
  <w:style w:type="character" w:customStyle="1" w:styleId="33">
    <w:name w:val="read"/>
    <w:basedOn w:val="27"/>
    <w:qFormat/>
    <w:uiPriority w:val="0"/>
  </w:style>
  <w:style w:type="character" w:customStyle="1" w:styleId="34">
    <w:name w:val="已访问的超链接1"/>
    <w:qFormat/>
    <w:uiPriority w:val="0"/>
    <w:rPr>
      <w:color w:val="800080"/>
      <w:u w:val="single"/>
    </w:rPr>
  </w:style>
  <w:style w:type="paragraph" w:customStyle="1" w:styleId="35">
    <w:name w:val="Char"/>
    <w:basedOn w:val="1"/>
    <w:qFormat/>
    <w:uiPriority w:val="0"/>
  </w:style>
  <w:style w:type="paragraph" w:customStyle="1" w:styleId="36">
    <w:name w:val="Char1"/>
    <w:basedOn w:val="1"/>
    <w:qFormat/>
    <w:uiPriority w:val="0"/>
    <w:pPr>
      <w:tabs>
        <w:tab w:val="left" w:pos="832"/>
      </w:tabs>
      <w:ind w:left="832" w:hanging="420"/>
      <w:jc w:val="center"/>
    </w:pPr>
    <w:rPr>
      <w:rFonts w:ascii="楷体_GB2312" w:eastAsia="楷体_GB2312"/>
      <w:b/>
      <w:color w:val="000080"/>
      <w:sz w:val="30"/>
      <w:szCs w:val="30"/>
    </w:rPr>
  </w:style>
  <w:style w:type="paragraph" w:customStyle="1" w:styleId="37">
    <w:name w:val="Char2"/>
    <w:basedOn w:val="1"/>
    <w:qFormat/>
    <w:uiPriority w:val="0"/>
  </w:style>
  <w:style w:type="paragraph" w:customStyle="1" w:styleId="38">
    <w:name w:val="Char Char Char Char Char Char Char"/>
    <w:basedOn w:val="1"/>
    <w:qFormat/>
    <w:uiPriority w:val="0"/>
  </w:style>
  <w:style w:type="paragraph" w:customStyle="1" w:styleId="39">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40">
    <w:name w:val="批注文字 字符"/>
    <w:link w:val="7"/>
    <w:qFormat/>
    <w:uiPriority w:val="0"/>
    <w:rPr>
      <w:rFonts w:eastAsia="宋体"/>
      <w:kern w:val="2"/>
      <w:sz w:val="21"/>
      <w:szCs w:val="24"/>
      <w:lang w:val="en-US" w:eastAsia="zh-CN" w:bidi="ar-SA"/>
    </w:rPr>
  </w:style>
  <w:style w:type="paragraph" w:customStyle="1" w:styleId="41">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42">
    <w:name w:val="标题 字符"/>
    <w:link w:val="24"/>
    <w:qFormat/>
    <w:uiPriority w:val="0"/>
    <w:rPr>
      <w:rFonts w:ascii="Arial" w:hAnsi="Arial" w:cs="Arial"/>
      <w:b/>
      <w:bCs/>
      <w:kern w:val="2"/>
      <w:sz w:val="32"/>
      <w:szCs w:val="32"/>
    </w:rPr>
  </w:style>
  <w:style w:type="character" w:customStyle="1" w:styleId="43">
    <w:name w:val="页脚 字符"/>
    <w:link w:val="15"/>
    <w:qFormat/>
    <w:uiPriority w:val="99"/>
    <w:rPr>
      <w:kern w:val="2"/>
      <w:sz w:val="18"/>
      <w:szCs w:val="18"/>
    </w:rPr>
  </w:style>
  <w:style w:type="character" w:customStyle="1" w:styleId="44">
    <w:name w:val="页眉 字符"/>
    <w:link w:val="16"/>
    <w:qFormat/>
    <w:uiPriority w:val="99"/>
    <w:rPr>
      <w:kern w:val="2"/>
      <w:sz w:val="18"/>
      <w:szCs w:val="18"/>
    </w:rPr>
  </w:style>
  <w:style w:type="character" w:customStyle="1" w:styleId="45">
    <w:name w:val="标题 1 字符"/>
    <w:link w:val="2"/>
    <w:qFormat/>
    <w:uiPriority w:val="0"/>
    <w:rPr>
      <w:b/>
      <w:bCs/>
      <w:kern w:val="44"/>
      <w:sz w:val="44"/>
      <w:szCs w:val="44"/>
    </w:rPr>
  </w:style>
  <w:style w:type="paragraph" w:customStyle="1" w:styleId="46">
    <w:name w:val="Char3"/>
    <w:basedOn w:val="1"/>
    <w:qFormat/>
    <w:uiPriority w:val="0"/>
  </w:style>
  <w:style w:type="paragraph" w:customStyle="1" w:styleId="47">
    <w:name w:val="Char11"/>
    <w:basedOn w:val="1"/>
    <w:qFormat/>
    <w:uiPriority w:val="0"/>
    <w:pPr>
      <w:tabs>
        <w:tab w:val="left" w:pos="832"/>
      </w:tabs>
      <w:ind w:left="832" w:hanging="420"/>
      <w:jc w:val="center"/>
    </w:pPr>
    <w:rPr>
      <w:rFonts w:ascii="楷体_GB2312" w:eastAsia="楷体_GB2312"/>
      <w:b/>
      <w:color w:val="000080"/>
      <w:sz w:val="30"/>
      <w:szCs w:val="30"/>
    </w:rPr>
  </w:style>
  <w:style w:type="paragraph" w:customStyle="1" w:styleId="48">
    <w:name w:val="Char Char Char Char Char Char Char1"/>
    <w:basedOn w:val="1"/>
    <w:qFormat/>
    <w:uiPriority w:val="0"/>
  </w:style>
  <w:style w:type="character" w:customStyle="1" w:styleId="49">
    <w:name w:val="fontstyle01"/>
    <w:basedOn w:val="27"/>
    <w:qFormat/>
    <w:uiPriority w:val="0"/>
    <w:rPr>
      <w:rFonts w:hint="eastAsia" w:ascii="宋体" w:hAnsi="宋体" w:eastAsia="宋体"/>
      <w:color w:val="000000"/>
      <w:sz w:val="22"/>
      <w:szCs w:val="22"/>
    </w:rPr>
  </w:style>
  <w:style w:type="paragraph" w:customStyle="1" w:styleId="50">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51">
    <w:name w:val="修订3"/>
    <w:hidden/>
    <w:semiHidden/>
    <w:qFormat/>
    <w:uiPriority w:val="99"/>
    <w:rPr>
      <w:rFonts w:ascii="Times New Roman" w:hAnsi="Times New Roman" w:eastAsia="宋体" w:cs="Times New Roman"/>
      <w:kern w:val="2"/>
      <w:sz w:val="21"/>
      <w:szCs w:val="24"/>
      <w:lang w:val="en-US" w:eastAsia="zh-CN" w:bidi="ar-SA"/>
    </w:rPr>
  </w:style>
  <w:style w:type="paragraph" w:styleId="52">
    <w:name w:val="List Paragraph"/>
    <w:basedOn w:val="1"/>
    <w:qFormat/>
    <w:uiPriority w:val="99"/>
    <w:pPr>
      <w:ind w:firstLine="420" w:firstLineChars="200"/>
    </w:pPr>
  </w:style>
  <w:style w:type="paragraph" w:customStyle="1" w:styleId="53">
    <w:name w:val="修订4"/>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customXml" Target="../customXml/item34.xml"/><Relationship Id="rId40" Type="http://schemas.openxmlformats.org/officeDocument/2006/relationships/customXml" Target="../customXml/item33.xml"/><Relationship Id="rId4" Type="http://schemas.openxmlformats.org/officeDocument/2006/relationships/footer" Target="footer1.xml"/><Relationship Id="rId39" Type="http://schemas.openxmlformats.org/officeDocument/2006/relationships/customXml" Target="../customXml/item32.xml"/><Relationship Id="rId38" Type="http://schemas.openxmlformats.org/officeDocument/2006/relationships/customXml" Target="../customXml/item31.xml"/><Relationship Id="rId37" Type="http://schemas.openxmlformats.org/officeDocument/2006/relationships/customXml" Target="../customXml/item30.xml"/><Relationship Id="rId36" Type="http://schemas.openxmlformats.org/officeDocument/2006/relationships/customXml" Target="../customXml/item29.xml"/><Relationship Id="rId35" Type="http://schemas.openxmlformats.org/officeDocument/2006/relationships/customXml" Target="../customXml/item28.xml"/><Relationship Id="rId34" Type="http://schemas.openxmlformats.org/officeDocument/2006/relationships/customXml" Target="../customXml/item27.xml"/><Relationship Id="rId33" Type="http://schemas.openxmlformats.org/officeDocument/2006/relationships/customXml" Target="../customXml/item26.xml"/><Relationship Id="rId32" Type="http://schemas.openxmlformats.org/officeDocument/2006/relationships/customXml" Target="../customXml/item25.xml"/><Relationship Id="rId31" Type="http://schemas.openxmlformats.org/officeDocument/2006/relationships/customXml" Target="../customXml/item24.xml"/><Relationship Id="rId30" Type="http://schemas.openxmlformats.org/officeDocument/2006/relationships/customXml" Target="../customXml/item23.xml"/><Relationship Id="rId3" Type="http://schemas.openxmlformats.org/officeDocument/2006/relationships/header" Target="header1.xml"/><Relationship Id="rId29" Type="http://schemas.openxmlformats.org/officeDocument/2006/relationships/customXml" Target="../customXml/item22.xml"/><Relationship Id="rId28" Type="http://schemas.openxmlformats.org/officeDocument/2006/relationships/customXml" Target="../customXml/item21.xml"/><Relationship Id="rId27" Type="http://schemas.openxmlformats.org/officeDocument/2006/relationships/customXml" Target="../customXml/item20.xml"/><Relationship Id="rId26" Type="http://schemas.openxmlformats.org/officeDocument/2006/relationships/customXml" Target="../customXml/item19.xml"/><Relationship Id="rId25" Type="http://schemas.openxmlformats.org/officeDocument/2006/relationships/customXml" Target="../customXml/item18.xml"/><Relationship Id="rId24" Type="http://schemas.openxmlformats.org/officeDocument/2006/relationships/customXml" Target="../customXml/item17.xml"/><Relationship Id="rId23" Type="http://schemas.openxmlformats.org/officeDocument/2006/relationships/customXml" Target="../customXml/item16.xml"/><Relationship Id="rId22" Type="http://schemas.openxmlformats.org/officeDocument/2006/relationships/customXml" Target="../customXml/item15.xml"/><Relationship Id="rId21" Type="http://schemas.openxmlformats.org/officeDocument/2006/relationships/customXml" Target="../customXml/item14.xml"/><Relationship Id="rId20" Type="http://schemas.openxmlformats.org/officeDocument/2006/relationships/customXml" Target="../customXml/item13.xml"/><Relationship Id="rId2" Type="http://schemas.openxmlformats.org/officeDocument/2006/relationships/settings" Target="settings.xml"/><Relationship Id="rId19" Type="http://schemas.openxmlformats.org/officeDocument/2006/relationships/customXml" Target="../customXml/item12.xml"/><Relationship Id="rId18" Type="http://schemas.openxmlformats.org/officeDocument/2006/relationships/customXml" Target="../customXml/item11.xml"/><Relationship Id="rId17" Type="http://schemas.openxmlformats.org/officeDocument/2006/relationships/customXml" Target="../customXml/item10.xml"/><Relationship Id="rId16" Type="http://schemas.openxmlformats.org/officeDocument/2006/relationships/customXml" Target="../customXml/item9.xml"/><Relationship Id="rId15" Type="http://schemas.openxmlformats.org/officeDocument/2006/relationships/customXml" Target="../customXml/item8.xml"/><Relationship Id="rId14" Type="http://schemas.openxmlformats.org/officeDocument/2006/relationships/customXml" Target="../customXml/item7.xml"/><Relationship Id="rId13" Type="http://schemas.openxmlformats.org/officeDocument/2006/relationships/customXml" Target="../customXml/item6.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B2E39D-323E-4884-9BB4-033DD00E969A}">
  <ds:schemaRefs/>
</ds:datastoreItem>
</file>

<file path=customXml/itemProps3.xml><?xml version="1.0" encoding="utf-8"?>
<ds:datastoreItem xmlns:ds="http://schemas.openxmlformats.org/officeDocument/2006/customXml" ds:itemID="{B7A17690-B0DF-471E-92CF-83110EFD705D}">
  <ds:schemaRefs/>
</ds:datastoreItem>
</file>

<file path=customXml/itemProps4.xml><?xml version="1.0" encoding="utf-8"?>
<ds:datastoreItem xmlns:ds="http://schemas.openxmlformats.org/officeDocument/2006/customXml" ds:itemID="{48336F2E-1D16-49E9-9134-C8923173CDDF}">
  <ds:schemaRefs/>
</ds:datastoreItem>
</file>

<file path=customXml/itemProps5.xml><?xml version="1.0" encoding="utf-8"?>
<ds:datastoreItem xmlns:ds="http://schemas.openxmlformats.org/officeDocument/2006/customXml" ds:itemID="{64A4C198-4C13-4950-9446-326F7A052D69}">
  <ds:schemaRefs/>
</ds:datastoreItem>
</file>

<file path=customXml/itemProps6.xml><?xml version="1.0" encoding="utf-8"?>
<ds:datastoreItem xmlns:ds="http://schemas.openxmlformats.org/officeDocument/2006/customXml" ds:itemID="{FAF13BFF-8B72-4B09-9B73-89ECF96F4846}">
  <ds:schemaRefs/>
</ds:datastoreItem>
</file>

<file path=customXml/itemProps7.xml><?xml version="1.0" encoding="utf-8"?>
<ds:datastoreItem xmlns:ds="http://schemas.openxmlformats.org/officeDocument/2006/customXml" ds:itemID="{619C2400-6982-41A7-BB0A-2CA9B8D6508C}">
  <ds:schemaRefs/>
</ds:datastoreItem>
</file>

<file path=customXml/itemProps8.xml><?xml version="1.0" encoding="utf-8"?>
<ds:datastoreItem xmlns:ds="http://schemas.openxmlformats.org/officeDocument/2006/customXml" ds:itemID="{C335915F-94D6-4299-AB98-A35EFA7C9CF0}">
  <ds:schemaRefs/>
</ds:datastoreItem>
</file>

<file path=customXml/itemProps9.xml><?xml version="1.0" encoding="utf-8"?>
<ds:datastoreItem xmlns:ds="http://schemas.openxmlformats.org/officeDocument/2006/customXml" ds:itemID="{F0B20FAE-F8A2-4AFB-8168-E4A67F4E7CF9}">
  <ds:schemaRefs/>
</ds:datastoreItem>
</file>

<file path=customXml/itemProps10.xml><?xml version="1.0" encoding="utf-8"?>
<ds:datastoreItem xmlns:ds="http://schemas.openxmlformats.org/officeDocument/2006/customXml" ds:itemID="{5C56E787-B724-48B7-8A16-E75F710BC583}">
  <ds:schemaRefs/>
</ds:datastoreItem>
</file>

<file path=customXml/itemProps11.xml><?xml version="1.0" encoding="utf-8"?>
<ds:datastoreItem xmlns:ds="http://schemas.openxmlformats.org/officeDocument/2006/customXml" ds:itemID="{83EA12CA-601A-4F82-AB94-30890EEAA3EB}">
  <ds:schemaRefs/>
</ds:datastoreItem>
</file>

<file path=customXml/itemProps12.xml><?xml version="1.0" encoding="utf-8"?>
<ds:datastoreItem xmlns:ds="http://schemas.openxmlformats.org/officeDocument/2006/customXml" ds:itemID="{D1D34D5D-8C31-4744-B975-E9402263B380}">
  <ds:schemaRefs/>
</ds:datastoreItem>
</file>

<file path=customXml/itemProps13.xml><?xml version="1.0" encoding="utf-8"?>
<ds:datastoreItem xmlns:ds="http://schemas.openxmlformats.org/officeDocument/2006/customXml" ds:itemID="{BA42075D-FB05-4267-91E0-E6435B9C5E5F}">
  <ds:schemaRefs/>
</ds:datastoreItem>
</file>

<file path=customXml/itemProps14.xml><?xml version="1.0" encoding="utf-8"?>
<ds:datastoreItem xmlns:ds="http://schemas.openxmlformats.org/officeDocument/2006/customXml" ds:itemID="{9387DF00-960B-438B-803F-F179F89CFAE1}">
  <ds:schemaRefs/>
</ds:datastoreItem>
</file>

<file path=customXml/itemProps15.xml><?xml version="1.0" encoding="utf-8"?>
<ds:datastoreItem xmlns:ds="http://schemas.openxmlformats.org/officeDocument/2006/customXml" ds:itemID="{AB9CE5DF-697F-4767-8BBA-6B854D738003}">
  <ds:schemaRefs/>
</ds:datastoreItem>
</file>

<file path=customXml/itemProps16.xml><?xml version="1.0" encoding="utf-8"?>
<ds:datastoreItem xmlns:ds="http://schemas.openxmlformats.org/officeDocument/2006/customXml" ds:itemID="{5C25BAD5-4146-4679-8AA4-64A628E8D6A2}">
  <ds:schemaRefs/>
</ds:datastoreItem>
</file>

<file path=customXml/itemProps17.xml><?xml version="1.0" encoding="utf-8"?>
<ds:datastoreItem xmlns:ds="http://schemas.openxmlformats.org/officeDocument/2006/customXml" ds:itemID="{6A825F43-A299-4190-AA3D-7BEED246CEBC}">
  <ds:schemaRefs/>
</ds:datastoreItem>
</file>

<file path=customXml/itemProps18.xml><?xml version="1.0" encoding="utf-8"?>
<ds:datastoreItem xmlns:ds="http://schemas.openxmlformats.org/officeDocument/2006/customXml" ds:itemID="{783EEE2D-1119-4064-8879-1CA4C9FFE20C}">
  <ds:schemaRefs/>
</ds:datastoreItem>
</file>

<file path=customXml/itemProps19.xml><?xml version="1.0" encoding="utf-8"?>
<ds:datastoreItem xmlns:ds="http://schemas.openxmlformats.org/officeDocument/2006/customXml" ds:itemID="{4C9F6815-70F9-49CC-940E-6D6F0F88E6D4}">
  <ds:schemaRefs/>
</ds:datastoreItem>
</file>

<file path=customXml/itemProps20.xml><?xml version="1.0" encoding="utf-8"?>
<ds:datastoreItem xmlns:ds="http://schemas.openxmlformats.org/officeDocument/2006/customXml" ds:itemID="{4C52DF83-B51A-426A-A3EF-60AB317009AE}">
  <ds:schemaRefs/>
</ds:datastoreItem>
</file>

<file path=customXml/itemProps21.xml><?xml version="1.0" encoding="utf-8"?>
<ds:datastoreItem xmlns:ds="http://schemas.openxmlformats.org/officeDocument/2006/customXml" ds:itemID="{D2AAA931-3E67-493D-86E8-79EFAAEA9CB3}">
  <ds:schemaRefs/>
</ds:datastoreItem>
</file>

<file path=customXml/itemProps22.xml><?xml version="1.0" encoding="utf-8"?>
<ds:datastoreItem xmlns:ds="http://schemas.openxmlformats.org/officeDocument/2006/customXml" ds:itemID="{5A0A863C-9649-41FC-AC0F-D44049B1262B}">
  <ds:schemaRefs/>
</ds:datastoreItem>
</file>

<file path=customXml/itemProps23.xml><?xml version="1.0" encoding="utf-8"?>
<ds:datastoreItem xmlns:ds="http://schemas.openxmlformats.org/officeDocument/2006/customXml" ds:itemID="{6A88325C-73D7-4099-B6A2-70533FAFE10A}">
  <ds:schemaRefs/>
</ds:datastoreItem>
</file>

<file path=customXml/itemProps24.xml><?xml version="1.0" encoding="utf-8"?>
<ds:datastoreItem xmlns:ds="http://schemas.openxmlformats.org/officeDocument/2006/customXml" ds:itemID="{61D3980D-065A-4ADF-A1AD-F66F830C362A}">
  <ds:schemaRefs/>
</ds:datastoreItem>
</file>

<file path=customXml/itemProps25.xml><?xml version="1.0" encoding="utf-8"?>
<ds:datastoreItem xmlns:ds="http://schemas.openxmlformats.org/officeDocument/2006/customXml" ds:itemID="{A5A98698-65AD-4B12-A1B0-123EB94B6E52}">
  <ds:schemaRefs/>
</ds:datastoreItem>
</file>

<file path=customXml/itemProps26.xml><?xml version="1.0" encoding="utf-8"?>
<ds:datastoreItem xmlns:ds="http://schemas.openxmlformats.org/officeDocument/2006/customXml" ds:itemID="{F9C8B33A-3D55-4C8B-A6F6-01CFC0295D75}">
  <ds:schemaRefs/>
</ds:datastoreItem>
</file>

<file path=customXml/itemProps27.xml><?xml version="1.0" encoding="utf-8"?>
<ds:datastoreItem xmlns:ds="http://schemas.openxmlformats.org/officeDocument/2006/customXml" ds:itemID="{408A9F59-540B-45FD-A187-7D3E834218B0}">
  <ds:schemaRefs/>
</ds:datastoreItem>
</file>

<file path=customXml/itemProps28.xml><?xml version="1.0" encoding="utf-8"?>
<ds:datastoreItem xmlns:ds="http://schemas.openxmlformats.org/officeDocument/2006/customXml" ds:itemID="{99D0684C-6775-4FD7-87FB-A63CC3C5CC60}">
  <ds:schemaRefs/>
</ds:datastoreItem>
</file>

<file path=customXml/itemProps29.xml><?xml version="1.0" encoding="utf-8"?>
<ds:datastoreItem xmlns:ds="http://schemas.openxmlformats.org/officeDocument/2006/customXml" ds:itemID="{686CC2D2-E2B5-45BE-BCA5-AED2D08729A3}">
  <ds:schemaRefs/>
</ds:datastoreItem>
</file>

<file path=customXml/itemProps30.xml><?xml version="1.0" encoding="utf-8"?>
<ds:datastoreItem xmlns:ds="http://schemas.openxmlformats.org/officeDocument/2006/customXml" ds:itemID="{F5E4BE0F-3B5F-41C3-9CC2-4BA91E306F80}">
  <ds:schemaRefs/>
</ds:datastoreItem>
</file>

<file path=customXml/itemProps31.xml><?xml version="1.0" encoding="utf-8"?>
<ds:datastoreItem xmlns:ds="http://schemas.openxmlformats.org/officeDocument/2006/customXml" ds:itemID="{1A4035DA-A2F0-44E2-9DF3-0F975AAA4C44}">
  <ds:schemaRefs/>
</ds:datastoreItem>
</file>

<file path=customXml/itemProps32.xml><?xml version="1.0" encoding="utf-8"?>
<ds:datastoreItem xmlns:ds="http://schemas.openxmlformats.org/officeDocument/2006/customXml" ds:itemID="{601779C3-FEFD-459B-A655-ED3190748902}">
  <ds:schemaRefs/>
</ds:datastoreItem>
</file>

<file path=customXml/itemProps33.xml><?xml version="1.0" encoding="utf-8"?>
<ds:datastoreItem xmlns:ds="http://schemas.openxmlformats.org/officeDocument/2006/customXml" ds:itemID="{07C64BA6-6402-441C-B045-98A303F639B6}">
  <ds:schemaRefs/>
</ds:datastoreItem>
</file>

<file path=customXml/itemProps34.xml><?xml version="1.0" encoding="utf-8"?>
<ds:datastoreItem xmlns:ds="http://schemas.openxmlformats.org/officeDocument/2006/customXml" ds:itemID="{2576DCD9-8CA5-4730-961C-7B1426A3493B}">
  <ds:schemaRefs/>
</ds:datastoreItem>
</file>

<file path=docProps/app.xml><?xml version="1.0" encoding="utf-8"?>
<Properties xmlns="http://schemas.openxmlformats.org/officeDocument/2006/extended-properties" xmlns:vt="http://schemas.openxmlformats.org/officeDocument/2006/docPropsVTypes">
  <Template>Normal</Template>
  <Company>HP</Company>
  <Pages>44</Pages>
  <Words>24250</Words>
  <Characters>24469</Characters>
  <Lines>267</Lines>
  <Paragraphs>75</Paragraphs>
  <TotalTime>1</TotalTime>
  <ScaleCrop>false</ScaleCrop>
  <LinksUpToDate>false</LinksUpToDate>
  <CharactersWithSpaces>24549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2019-11-21T08:56:00Z</dcterms:created>
  <dc:creator>资产托管部</dc:creator>
  <cp:lastModifiedBy>聪子</cp:lastModifiedBy>
  <cp:lastPrinted>2012-08-22T01:38:00Z</cp:lastPrinted>
  <dcterms:modified xsi:type="dcterms:W3CDTF">2026-10-28T01:03:26Z</dcterms:modified>
  <dc:title>托管协议</dc:title>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ractId">
    <vt:lpwstr>765decababaa49e2a8dfd7458e24b387</vt:lpwstr>
  </property>
  <property fmtid="{D5CDD505-2E9C-101B-9397-08002B2CF9AE}" pid="3" name="verificationId">
    <vt:lpwstr>9b882899c4d77451</vt:lpwstr>
  </property>
  <property fmtid="{D5CDD505-2E9C-101B-9397-08002B2CF9AE}" pid="4" name="KSOTemplateDocerSaveRecord">
    <vt:lpwstr>eyJoZGlkIjoiMGZkYWRiZmZiZTlmZmQwMjRmZGQyZmU2MTdkMDlmY2EiLCJ1c2VySWQiOiI0Mzk0MzI1NTQifQ==</vt:lpwstr>
  </property>
  <property fmtid="{D5CDD505-2E9C-101B-9397-08002B2CF9AE}" pid="5" name="KSOProductBuildVer">
    <vt:lpwstr>2052-11.1.0.10314</vt:lpwstr>
  </property>
  <property fmtid="{D5CDD505-2E9C-101B-9397-08002B2CF9AE}" pid="6" name="ICV">
    <vt:lpwstr>FD96D3C706A3420D9B4300E9C470F3A4_12</vt:lpwstr>
  </property>
</Properties>
</file>