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pPr>
        <w:pStyle w:val="Heading1"/>
        <w:jc w:val="center"/>
      </w:pPr>
      <w:r>
        <w:rPr>
          <w:rFonts w:ascii="宋体" w:eastAsia="宋体" w:hAnsi="宋体" w:cs="宋体"/>
        </w:rPr>
        <w:t>东方阿尔法聚利63个月封闭式债券型证券投资基金基金产品资料概要</w:t>
      </w:r>
    </w:p>
    <w:p>
      <w:pPr>
        <w:jc w:val="right"/>
      </w:pPr>
      <w:r>
        <w:rPr>
          <w:rFonts w:ascii="宋体" w:eastAsia="宋体" w:hAnsi="宋体" w:cs="宋体"/>
          <w:b w:val="0"/>
        </w:rPr>
        <w:t>编制日期：2026年10月28日</w:t>
      </w:r>
    </w:p>
    <w:p>
      <w:pPr>
        <w:jc w:val="center"/>
      </w:pPr>
      <w:r>
        <w:rPr>
          <w:rFonts w:ascii="宋体" w:eastAsia="宋体" w:hAnsi="宋体" w:cs="宋体"/>
          <w:b w:val="0"/>
        </w:rPr>
        <w:t>送出日期：2026年10月29日</w:t>
      </w:r>
    </w:p>
    <w:p>
      <w:pPr>
        <w:jc w:val="center"/>
      </w:pPr>
      <w:r>
        <w:rPr>
          <w:rFonts w:ascii="宋体" w:eastAsia="宋体" w:hAnsi="宋体" w:cs="宋体"/>
          <w:b/>
        </w:rPr>
        <w:t>本概要提供本基金的重要信息，是招募说明书的一部分。</w:t>
      </w:r>
    </w:p>
    <w:p>
      <w:pPr>
        <w:jc w:val="center"/>
      </w:pPr>
      <w:r>
        <w:rPr>
          <w:rFonts w:ascii="宋体" w:eastAsia="宋体" w:hAnsi="宋体" w:cs="宋体"/>
          <w:b/>
        </w:rPr>
        <w:t>作出投资决定前，请阅读完整的招募说明书等销售文件。</w:t>
      </w:r>
    </w:p>
    <w:p>
      <w:pPr>
        <w:pStyle w:val="Heading2"/>
        <w:jc w:val="left"/>
      </w:pPr>
      <w:r>
        <w:rPr>
          <w:rFonts w:ascii="宋体" w:eastAsia="宋体" w:hAnsi="宋体" w:cs="宋体"/>
        </w:rPr>
        <w:t>一、产品概况</w:t>
      </w:r>
    </w:p>
    <w:tbl>
      <w:tblPr>
        <w:tblW w:w="5000" w:type="pct"/>
        <w:tblBorders>
          <w:top w:val="thick" w:sz="0" w:space="0" w:color="auto"/>
          <w:left w:val="nil"/>
          <w:bottom w:val="thick" w:sz="0" w:space="0" w:color="auto"/>
          <w:right w:val="nil"/>
          <w:insideH w:val="dotted" w:sz="0" w:space="0" w:color="auto"/>
          <w:insideV w:val="nil"/>
        </w:tblBorders>
        <w:tblLayout w:type="fixed"/>
      </w:tblPr>
      <w:tblGrid>
        <w:gridCol w:w="2093"/>
        <w:gridCol w:w="2442"/>
        <w:gridCol w:w="2093"/>
        <w:gridCol w:w="2442"/>
      </w:tblGrid>
      <w:tr>
        <w:tblPrEx>
          <w:tblW w:w="5000" w:type="pct"/>
          <w:tblBorders>
            <w:top w:val="thick" w:sz="0" w:space="0" w:color="auto"/>
            <w:left w:val="nil"/>
            <w:bottom w:val="thick" w:sz="0" w:space="0" w:color="auto"/>
            <w:right w:val="nil"/>
            <w:insideH w:val="dotted" w:sz="0" w:space="0" w:color="auto"/>
            <w:insideV w:val="nil"/>
          </w:tblBorders>
          <w:tblLayout w:type="fixed"/>
        </w:tblPrEx>
        <w:tc>
          <w:tcPr>
            <w:tcW w:w="1154" w:type="pct"/>
            <w:vAlign w:val="center"/>
          </w:tcPr>
          <w:p>
            <w:pPr>
              <w:spacing w:line="240" w:lineRule="auto"/>
              <w:jc w:val="left"/>
            </w:pPr>
            <w:r>
              <w:rPr>
                <w:rFonts w:ascii="宋体" w:eastAsia="宋体" w:hAnsi="宋体" w:cs="宋体"/>
                <w:b/>
              </w:rPr>
              <w:t>基金简称</w:t>
            </w:r>
          </w:p>
        </w:tc>
        <w:tc>
          <w:tcPr>
            <w:tcW w:w="1346" w:type="pct"/>
            <w:vAlign w:val="center"/>
          </w:tcPr>
          <w:p>
            <w:pPr>
              <w:spacing w:line="240" w:lineRule="auto"/>
              <w:jc w:val="left"/>
            </w:pPr>
            <w:r>
              <w:rPr>
                <w:rFonts w:ascii="宋体" w:eastAsia="宋体" w:hAnsi="宋体" w:cs="宋体"/>
                <w:b w:val="0"/>
              </w:rPr>
              <w:t>东方阿尔法聚利63个月封闭债券</w:t>
            </w:r>
          </w:p>
        </w:tc>
        <w:tc>
          <w:tcPr>
            <w:tcW w:w="1154" w:type="pct"/>
            <w:vAlign w:val="center"/>
          </w:tcPr>
          <w:p>
            <w:pPr>
              <w:spacing w:line="240" w:lineRule="auto"/>
              <w:jc w:val="left"/>
            </w:pPr>
            <w:r>
              <w:rPr>
                <w:rFonts w:ascii="宋体" w:eastAsia="宋体" w:hAnsi="宋体" w:cs="宋体"/>
                <w:b/>
              </w:rPr>
              <w:t>基金代码</w:t>
            </w:r>
          </w:p>
        </w:tc>
        <w:tc>
          <w:tcPr>
            <w:tcW w:w="1346" w:type="pct"/>
            <w:vAlign w:val="center"/>
          </w:tcPr>
          <w:p>
            <w:pPr>
              <w:spacing w:line="240" w:lineRule="auto"/>
              <w:jc w:val="left"/>
            </w:pPr>
            <w:r>
              <w:rPr>
                <w:rFonts w:ascii="宋体" w:eastAsia="宋体" w:hAnsi="宋体" w:cs="宋体"/>
                <w:b w:val="0"/>
              </w:rPr>
              <w:t>029544</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基金管理人</w:t>
            </w:r>
          </w:p>
        </w:tc>
        <w:tc>
          <w:tcPr>
            <w:tcW w:w="2266" w:type="dxa"/>
            <w:vAlign w:val="center"/>
          </w:tcPr>
          <w:p>
            <w:pPr>
              <w:spacing w:line="240" w:lineRule="auto"/>
              <w:jc w:val="left"/>
            </w:pPr>
            <w:r>
              <w:rPr>
                <w:rFonts w:ascii="宋体" w:eastAsia="宋体" w:hAnsi="宋体" w:cs="宋体"/>
                <w:b w:val="0"/>
              </w:rPr>
              <w:t>东方阿尔法基金管理有限公司</w:t>
            </w:r>
          </w:p>
        </w:tc>
        <w:tc>
          <w:tcPr>
            <w:tcW w:w="2266" w:type="dxa"/>
            <w:vAlign w:val="center"/>
          </w:tcPr>
          <w:p>
            <w:pPr>
              <w:spacing w:line="240" w:lineRule="auto"/>
              <w:jc w:val="left"/>
            </w:pPr>
            <w:r>
              <w:rPr>
                <w:rFonts w:ascii="宋体" w:eastAsia="宋体" w:hAnsi="宋体" w:cs="宋体"/>
                <w:b/>
              </w:rPr>
              <w:t>基金托管人</w:t>
            </w:r>
          </w:p>
        </w:tc>
        <w:tc>
          <w:tcPr>
            <w:tcW w:w="2266" w:type="dxa"/>
            <w:vAlign w:val="center"/>
          </w:tcPr>
          <w:p>
            <w:pPr>
              <w:spacing w:line="240" w:lineRule="auto"/>
              <w:jc w:val="left"/>
            </w:pPr>
            <w:r>
              <w:rPr>
                <w:rFonts w:ascii="宋体" w:eastAsia="宋体" w:hAnsi="宋体" w:cs="宋体"/>
                <w:b w:val="0"/>
              </w:rPr>
              <w:t>招商银行股份有限公司</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基金合同生效日</w:t>
            </w:r>
          </w:p>
        </w:tc>
        <w:tc>
          <w:tcPr>
            <w:tcW w:w="2266" w:type="dxa"/>
            <w:vAlign w:val="center"/>
          </w:tcPr>
          <w:p>
            <w:pPr>
              <w:spacing w:line="240" w:lineRule="auto"/>
              <w:jc w:val="left"/>
            </w:pPr>
            <w:r>
              <w:rPr>
                <w:rFonts w:ascii="宋体" w:eastAsia="宋体" w:hAnsi="宋体" w:cs="宋体"/>
                <w:b w:val="0"/>
              </w:rPr>
              <w:t>-</w:t>
            </w:r>
          </w:p>
        </w:tc>
        <w:tc>
          <w:tcPr>
            <w:tcW w:w="2266" w:type="dxa"/>
            <w:vAlign w:val="center"/>
          </w:tcPr>
          <w:p>
            <w:pPr>
              <w:spacing w:line="240" w:lineRule="auto"/>
              <w:jc w:val="left"/>
            </w:pPr>
            <w:r>
              <w:rPr>
                <w:rFonts w:ascii="宋体" w:eastAsia="宋体" w:hAnsi="宋体" w:cs="宋体"/>
                <w:b/>
              </w:rPr>
              <w:t>上市交易所及上市日期</w:t>
            </w:r>
          </w:p>
        </w:tc>
        <w:tc>
          <w:tcPr>
            <w:tcW w:w="2266" w:type="dxa"/>
            <w:vAlign w:val="center"/>
          </w:tcPr>
          <w:p>
            <w:pPr>
              <w:spacing w:line="240" w:lineRule="auto"/>
              <w:jc w:val="left"/>
            </w:pPr>
            <w:r>
              <w:rPr>
                <w:rFonts w:ascii="宋体" w:eastAsia="宋体" w:hAnsi="宋体" w:cs="宋体"/>
                <w:b w:val="0"/>
              </w:rPr>
              <w:t>暂未上市</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基金类型</w:t>
            </w:r>
          </w:p>
        </w:tc>
        <w:tc>
          <w:tcPr>
            <w:tcW w:w="2266" w:type="dxa"/>
            <w:vAlign w:val="center"/>
          </w:tcPr>
          <w:p>
            <w:pPr>
              <w:spacing w:line="240" w:lineRule="auto"/>
              <w:jc w:val="left"/>
            </w:pPr>
            <w:r>
              <w:rPr>
                <w:rFonts w:ascii="宋体" w:eastAsia="宋体" w:hAnsi="宋体" w:cs="宋体"/>
                <w:b w:val="0"/>
              </w:rPr>
              <w:t>债券型</w:t>
            </w:r>
          </w:p>
        </w:tc>
        <w:tc>
          <w:tcPr>
            <w:tcW w:w="2266" w:type="dxa"/>
            <w:vAlign w:val="center"/>
          </w:tcPr>
          <w:p>
            <w:pPr>
              <w:spacing w:line="240" w:lineRule="auto"/>
              <w:jc w:val="left"/>
            </w:pPr>
            <w:r>
              <w:rPr>
                <w:rFonts w:ascii="宋体" w:eastAsia="宋体" w:hAnsi="宋体" w:cs="宋体"/>
                <w:b/>
              </w:rPr>
              <w:t>交易币种</w:t>
            </w:r>
          </w:p>
        </w:tc>
        <w:tc>
          <w:tcPr>
            <w:tcW w:w="2266" w:type="dxa"/>
            <w:vAlign w:val="center"/>
          </w:tcPr>
          <w:p>
            <w:pPr>
              <w:spacing w:line="240" w:lineRule="auto"/>
              <w:jc w:val="left"/>
            </w:pPr>
            <w:r>
              <w:rPr>
                <w:rFonts w:ascii="宋体" w:eastAsia="宋体" w:hAnsi="宋体" w:cs="宋体"/>
                <w:b w:val="0"/>
              </w:rPr>
              <w:t>人民币</w:t>
            </w:r>
          </w:p>
        </w:tc>
      </w:tr>
      <w:tr>
        <w:tblPrEx>
          <w:tblW w:w="5000" w:type="pct"/>
          <w:tblLayout w:type="fixed"/>
        </w:tblPrEx>
        <w:tc>
          <w:tcPr>
            <w:tcW w:w="2266" w:type="dxa"/>
            <w:vAlign w:val="center"/>
          </w:tcPr>
          <w:p>
            <w:pPr>
              <w:spacing w:line="240" w:lineRule="auto"/>
              <w:jc w:val="left"/>
            </w:pPr>
            <w:r>
              <w:rPr>
                <w:rFonts w:ascii="宋体" w:eastAsia="宋体" w:hAnsi="宋体" w:cs="宋体"/>
                <w:b/>
              </w:rPr>
              <w:t>运作方式</w:t>
            </w:r>
          </w:p>
        </w:tc>
        <w:tc>
          <w:tcPr>
            <w:tcW w:w="2266" w:type="dxa"/>
            <w:vAlign w:val="center"/>
          </w:tcPr>
          <w:p>
            <w:pPr>
              <w:spacing w:line="240" w:lineRule="auto"/>
              <w:jc w:val="left"/>
            </w:pPr>
            <w:r>
              <w:rPr>
                <w:rFonts w:ascii="宋体" w:eastAsia="宋体" w:hAnsi="宋体" w:cs="宋体"/>
                <w:b w:val="0"/>
              </w:rPr>
              <w:t>封闭式</w:t>
            </w:r>
          </w:p>
        </w:tc>
        <w:tc>
          <w:tcPr>
            <w:tcW w:w="2266" w:type="dxa"/>
            <w:vAlign w:val="center"/>
          </w:tcPr>
          <w:p>
            <w:pPr>
              <w:spacing w:line="240" w:lineRule="auto"/>
              <w:jc w:val="left"/>
            </w:pPr>
            <w:r>
              <w:rPr>
                <w:rFonts w:ascii="宋体" w:eastAsia="宋体" w:hAnsi="宋体" w:cs="宋体"/>
                <w:b/>
              </w:rPr>
              <w:t>开放频率</w:t>
            </w:r>
          </w:p>
        </w:tc>
        <w:tc>
          <w:tcPr>
            <w:tcW w:w="2266" w:type="dxa"/>
            <w:vAlign w:val="center"/>
          </w:tcPr>
          <w:p>
            <w:pPr>
              <w:spacing w:line="240" w:lineRule="auto"/>
              <w:jc w:val="left"/>
            </w:pPr>
            <w:r>
              <w:rPr>
                <w:rFonts w:ascii="宋体" w:eastAsia="宋体" w:hAnsi="宋体" w:cs="宋体"/>
                <w:b w:val="0"/>
              </w:rPr>
              <w:t>封闭期为63个月</w:t>
            </w:r>
          </w:p>
        </w:tc>
      </w:tr>
      <w:tr>
        <w:tblPrEx>
          <w:tblW w:w="5000" w:type="pct"/>
          <w:tblLayout w:type="fixed"/>
        </w:tblPrEx>
        <w:tc>
          <w:tcPr>
            <w:tcW w:w="2266" w:type="dxa"/>
            <w:vMerge w:val="restart"/>
            <w:vAlign w:val="center"/>
          </w:tcPr>
          <w:p>
            <w:pPr>
              <w:spacing w:line="240" w:lineRule="auto"/>
              <w:jc w:val="left"/>
            </w:pPr>
            <w:r>
              <w:rPr>
                <w:rFonts w:ascii="宋体" w:eastAsia="宋体" w:hAnsi="宋体" w:cs="宋体"/>
                <w:b/>
              </w:rPr>
              <w:t>基金经理</w:t>
            </w:r>
          </w:p>
        </w:tc>
        <w:tc>
          <w:tcPr>
            <w:tcW w:w="2266" w:type="dxa"/>
            <w:vMerge w:val="restart"/>
            <w:vAlign w:val="center"/>
          </w:tcPr>
          <w:p>
            <w:pPr>
              <w:spacing w:line="240" w:lineRule="auto"/>
              <w:jc w:val="left"/>
            </w:pPr>
            <w:r>
              <w:rPr>
                <w:rFonts w:ascii="宋体" w:eastAsia="宋体" w:hAnsi="宋体" w:cs="宋体"/>
                <w:b w:val="0"/>
              </w:rPr>
              <w:t>吴谢彬</w:t>
            </w:r>
          </w:p>
        </w:tc>
        <w:tc>
          <w:tcPr>
            <w:tcW w:w="2266" w:type="dxa"/>
            <w:vAlign w:val="center"/>
          </w:tcPr>
          <w:p>
            <w:pPr>
              <w:spacing w:line="240" w:lineRule="auto"/>
              <w:jc w:val="left"/>
            </w:pPr>
            <w:r>
              <w:rPr>
                <w:rFonts w:ascii="宋体" w:eastAsia="宋体" w:hAnsi="宋体" w:cs="宋体"/>
                <w:b/>
              </w:rPr>
              <w:t>开始担任本基金基金经理的日期</w:t>
            </w:r>
          </w:p>
        </w:tc>
        <w:tc>
          <w:tcPr>
            <w:tcW w:w="2266" w:type="dxa"/>
            <w:vAlign w:val="center"/>
          </w:tcPr>
          <w:p>
            <w:pPr>
              <w:spacing w:line="240" w:lineRule="auto"/>
              <w:jc w:val="left"/>
            </w:pPr>
            <w:r>
              <w:rPr>
                <w:rFonts w:ascii="宋体" w:eastAsia="宋体" w:hAnsi="宋体" w:cs="宋体"/>
                <w:b w:val="0"/>
              </w:rPr>
              <w:t>-</w:t>
            </w:r>
          </w:p>
        </w:tc>
      </w:tr>
      <w:tr>
        <w:tblPrEx>
          <w:tblW w:w="5000" w:type="pct"/>
          <w:tblLayout w:type="fixed"/>
        </w:tblPrEx>
        <w:tc>
          <w:tcPr>
            <w:tcW w:w="0" w:type="dxa"/>
            <w:vMerge/>
          </w:tcPr>
          <w:p/>
        </w:tc>
        <w:tc>
          <w:tcPr>
            <w:tcW w:w="0" w:type="dxa"/>
            <w:vMerge/>
          </w:tcPr>
          <w:p/>
        </w:tc>
        <w:tc>
          <w:tcPr>
            <w:tcW w:w="2266" w:type="dxa"/>
            <w:vAlign w:val="center"/>
          </w:tcPr>
          <w:p>
            <w:pPr>
              <w:spacing w:line="240" w:lineRule="auto"/>
              <w:jc w:val="left"/>
            </w:pPr>
            <w:r>
              <w:rPr>
                <w:rFonts w:ascii="宋体" w:eastAsia="宋体" w:hAnsi="宋体" w:cs="宋体"/>
                <w:b/>
              </w:rPr>
              <w:t>证券从业日期</w:t>
            </w:r>
          </w:p>
        </w:tc>
        <w:tc>
          <w:tcPr>
            <w:tcW w:w="2266" w:type="dxa"/>
            <w:vAlign w:val="center"/>
          </w:tcPr>
          <w:p>
            <w:pPr>
              <w:spacing w:line="240" w:lineRule="auto"/>
              <w:jc w:val="left"/>
            </w:pPr>
            <w:r>
              <w:rPr>
                <w:rFonts w:ascii="宋体" w:eastAsia="宋体" w:hAnsi="宋体" w:cs="宋体"/>
                <w:b w:val="0"/>
              </w:rPr>
              <w:t>2015年08月08日</w:t>
            </w:r>
          </w:p>
        </w:tc>
      </w:tr>
    </w:tbl>
    <w:p>
      <w:r>
        <w:rPr>
          <w:rFonts w:ascii="宋体" w:eastAsia="宋体" w:hAnsi="宋体" w:cs="宋体"/>
          <w:b w:val="0"/>
        </w:rPr>
        <w:t>注：本基金自基金合同生效之日起进入封闭期，封闭期为本基金基金合同生效之日起至63个日历月后月度对日的前一日(若该日为非工作日，顺延至下一工作日)。本基金在封闭期内不办理申购与赎回业务。</w:t>
        <w:br/>
      </w:r>
      <w:r>
        <w:rPr>
          <w:rFonts w:ascii="宋体" w:eastAsia="宋体" w:hAnsi="宋体" w:cs="宋体"/>
          <w:b w:val="0"/>
        </w:rPr>
        <w:t>本基金将在封闭期到期日对基金份额进行自动赎回，按已变现的基金财产支付部分赎回款项，基金管理人将在T+7个工作日内(含)将已变现的基金财产对应款项按基金份额持有人持有的基金份额比例自动赎回给本基金全体基金份额持有人。</w:t>
        <w:br/>
      </w:r>
      <w:r>
        <w:rPr>
          <w:rFonts w:ascii="宋体" w:eastAsia="宋体" w:hAnsi="宋体" w:cs="宋体"/>
          <w:b w:val="0"/>
        </w:rPr>
        <w:t>封闭期到期日的次日，本基金基金合同自动终止并进入基金财产清算程序。进入基金财产清算程序时，若存在未变现的资产，登记机构将于该部分资产变现完成后，将对应款项按基金份额持有人持有的基金份额比例分配给本基金全体基金份额持有人，单位基金份额所分配的资产金额按照资产变现完成后的净额进行计算，单位基金份额对应的总到账款项可能与封闭期到期日基金份额净值不一致。</w:t>
      </w:r>
    </w:p>
    <w:p/>
    <w:p>
      <w:pPr>
        <w:pStyle w:val="Heading2"/>
        <w:jc w:val="left"/>
      </w:pPr>
      <w:r>
        <w:rPr>
          <w:rFonts w:ascii="宋体" w:eastAsia="宋体" w:hAnsi="宋体" w:cs="宋体"/>
        </w:rPr>
        <w:t>二、基金投资与净值表现</w:t>
      </w:r>
    </w:p>
    <w:p>
      <w:pPr>
        <w:pStyle w:val="zhangjiep2"/>
      </w:pPr>
      <w:r>
        <w:rPr>
          <w:rStyle w:val="DefaultParagraphFont"/>
          <w:rFonts w:ascii="宋体" w:eastAsia="宋体" w:hAnsi="宋体" w:cs="宋体"/>
          <w:b/>
        </w:rPr>
        <w:t>（一）投资目标与投资策略</w:t>
      </w:r>
    </w:p>
    <w:p>
      <w:r>
        <w:rPr>
          <w:rFonts w:ascii="宋体" w:eastAsia="宋体" w:hAnsi="宋体" w:cs="宋体"/>
          <w:b w:val="0"/>
        </w:rPr>
        <w:t xml:space="preserve">    详见《东方阿尔法聚利63个月封闭式债券型证券投资基金招募说明书》第九部分“基金的投资”。</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投资目标</w:t>
            </w:r>
          </w:p>
        </w:tc>
        <w:tc>
          <w:tcPr>
            <w:tcW w:w="3846" w:type="pct"/>
            <w:vAlign w:val="center"/>
          </w:tcPr>
          <w:p>
            <w:pPr>
              <w:spacing w:line="240" w:lineRule="auto"/>
              <w:jc w:val="left"/>
            </w:pPr>
            <w:r>
              <w:rPr>
                <w:rFonts w:ascii="宋体" w:eastAsia="宋体" w:hAnsi="宋体" w:cs="宋体"/>
                <w:b w:val="0"/>
              </w:rPr>
              <w:t>本基金在严格控制投资组合风险的前提下,追求基金资产的长期稳健增值。</w:t>
            </w:r>
          </w:p>
        </w:tc>
      </w:tr>
      <w:tr>
        <w:tblPrEx>
          <w:tblW w:w="5000" w:type="pct"/>
        </w:tblPrEx>
        <w:tc>
          <w:tcPr>
            <w:tcW w:w="1154" w:type="pct"/>
            <w:vAlign w:val="center"/>
          </w:tcPr>
          <w:p>
            <w:pPr>
              <w:spacing w:line="240" w:lineRule="auto"/>
              <w:jc w:val="left"/>
            </w:pPr>
            <w:r>
              <w:rPr>
                <w:rFonts w:ascii="宋体" w:eastAsia="宋体" w:hAnsi="宋体" w:cs="宋体"/>
                <w:b/>
              </w:rPr>
              <w:t>投资范围</w:t>
            </w:r>
          </w:p>
        </w:tc>
        <w:tc>
          <w:tcPr>
            <w:tcW w:w="3846" w:type="pct"/>
            <w:vAlign w:val="center"/>
          </w:tcPr>
          <w:p>
            <w:pPr>
              <w:spacing w:line="240" w:lineRule="auto"/>
              <w:jc w:val="left"/>
            </w:pPr>
            <w:r>
              <w:rPr>
                <w:rFonts w:ascii="宋体" w:eastAsia="宋体" w:hAnsi="宋体" w:cs="宋体"/>
                <w:b w:val="0"/>
              </w:rPr>
              <w:t>本基金的投资范围为具有良好流动性的金融工具，包括国内依法发行的债券（国债、金融债、央行票据、地方政府债、企业债、公司债、中期票据、短期融资券、超短期融资券、政府支持机构债券、政府支持债券、证券公司短期公司债券、公开发行的次级债）、资产支持证券、债券回购、银行存款（包括协议存款、通知存款、定期存款及其他银行存款）、货币市场工具、同业存单以及法律法规或中国证监会允许基金投资的其他金融工具（但须符合中国证监会的相关规定）。</w:t>
              <w:br/>
            </w:r>
            <w:r>
              <w:rPr>
                <w:rFonts w:ascii="宋体" w:eastAsia="宋体" w:hAnsi="宋体" w:cs="宋体"/>
                <w:b w:val="0"/>
              </w:rPr>
              <w:t>本基金不投资于股票等权益类资产，也不投资于可转换债券、可交换债券。</w:t>
              <w:br/>
            </w:r>
            <w:r>
              <w:rPr>
                <w:rFonts w:ascii="宋体" w:eastAsia="宋体" w:hAnsi="宋体" w:cs="宋体"/>
                <w:b w:val="0"/>
              </w:rPr>
              <w:t>如法律法规或监管机构以后允许基金投资其他品种，基金管理人在履行适当程序后，可以将其纳入投资范围。</w:t>
              <w:br/>
            </w:r>
            <w:r>
              <w:rPr>
                <w:rFonts w:ascii="宋体" w:eastAsia="宋体" w:hAnsi="宋体" w:cs="宋体"/>
                <w:b w:val="0"/>
              </w:rPr>
              <w:t>基金的投资组合比例为：本基金投资于债券资产的比例不低于基金资产的80%，但在封闭期结束前3个月可不受前述投资组合比例的限制。</w:t>
              <w:br/>
            </w:r>
            <w:r>
              <w:rPr>
                <w:rFonts w:ascii="宋体" w:eastAsia="宋体" w:hAnsi="宋体" w:cs="宋体"/>
                <w:b w:val="0"/>
              </w:rPr>
              <w:t>如法律法规或中国证监会变更投资品种的投资比例限制，基金管理人在履 行适当程序后，可以调整上述投资品种的投资比例。</w:t>
            </w:r>
          </w:p>
        </w:tc>
      </w:tr>
      <w:tr>
        <w:tblPrEx>
          <w:tblW w:w="5000" w:type="pct"/>
        </w:tblPrEx>
        <w:tc>
          <w:tcPr>
            <w:tcW w:w="1154" w:type="pct"/>
            <w:vAlign w:val="center"/>
          </w:tcPr>
          <w:p>
            <w:pPr>
              <w:spacing w:line="240" w:lineRule="auto"/>
              <w:jc w:val="left"/>
            </w:pPr>
            <w:r>
              <w:rPr>
                <w:rFonts w:ascii="宋体" w:eastAsia="宋体" w:hAnsi="宋体" w:cs="宋体"/>
                <w:b/>
              </w:rPr>
              <w:t>主要投资策略</w:t>
            </w:r>
          </w:p>
        </w:tc>
        <w:tc>
          <w:tcPr>
            <w:tcW w:w="3846" w:type="pct"/>
            <w:vAlign w:val="center"/>
          </w:tcPr>
          <w:p>
            <w:pPr>
              <w:spacing w:line="240" w:lineRule="auto"/>
              <w:jc w:val="left"/>
            </w:pPr>
            <w:r>
              <w:rPr>
                <w:rFonts w:ascii="宋体" w:eastAsia="宋体" w:hAnsi="宋体" w:cs="宋体"/>
                <w:b w:val="0"/>
              </w:rPr>
              <w:t>本基金封闭期围绕六大核心策略开展投资运作。一是封闭期投资策略，整体采用买入并持有到期模式，所有投资标的到期或回售日不晚于封闭期到期日；含回售权债券需提前确定行权时间，超期债券应当行使回售权，在合规前提下处置未到期固定收益品种。二是信用债投资策略，根据宏观经济形势、发行人公司所在行业状况、以及公司自身在行业内的竞争力、公司财务状况和现金流状况、公司治理等信息，发掘具备相对价值的个券并严格控制组合的投资风险。三是杠杆投资策略，在法律法规允许、风险可控的基础上，结合债券收益与回购成本，审慎开展债券回购操作。四是资产支持证券投资策略，结合基本面与量化模型分析基础资产质量及现金流，合理评估个券价值，严控投资规模、分散投资以降低流动性风险。五是封闭期现金管理策略，建仓期配置期限匹配的固收品种并持有到期，针对持仓兑付、付息形成的现金头寸，结合市场环境与剩余期限灵活再投资或开展现金分红。六是证券公司短期公司债券投资策略，综合评估发行主体基本面、财务现金流、经营稳定性及债券信用、流动性、违约风险等指标，在持有到期框架下优选优质、具备价格优势的债券投资。</w:t>
            </w:r>
          </w:p>
        </w:tc>
      </w:tr>
      <w:tr>
        <w:tblPrEx>
          <w:tblW w:w="5000" w:type="pct"/>
        </w:tblPrEx>
        <w:tc>
          <w:tcPr>
            <w:tcW w:w="1154" w:type="pct"/>
            <w:vAlign w:val="center"/>
          </w:tcPr>
          <w:p>
            <w:pPr>
              <w:spacing w:line="240" w:lineRule="auto"/>
              <w:jc w:val="left"/>
            </w:pPr>
            <w:r>
              <w:rPr>
                <w:rFonts w:ascii="宋体" w:eastAsia="宋体" w:hAnsi="宋体" w:cs="宋体"/>
                <w:b/>
              </w:rPr>
              <w:t>业绩比较基准</w:t>
            </w:r>
          </w:p>
        </w:tc>
        <w:tc>
          <w:tcPr>
            <w:tcW w:w="3846" w:type="pct"/>
            <w:vAlign w:val="center"/>
          </w:tcPr>
          <w:p>
            <w:pPr>
              <w:spacing w:line="240" w:lineRule="auto"/>
              <w:jc w:val="left"/>
            </w:pPr>
            <w:r>
              <w:rPr>
                <w:rFonts w:ascii="宋体" w:eastAsia="宋体" w:hAnsi="宋体" w:cs="宋体"/>
                <w:b w:val="0"/>
              </w:rPr>
              <w:t>中债-1-5年债券综合全价(总值)指数</w:t>
            </w:r>
          </w:p>
        </w:tc>
      </w:tr>
      <w:tr>
        <w:tblPrEx>
          <w:tblW w:w="5000" w:type="pct"/>
        </w:tblPrEx>
        <w:tc>
          <w:tcPr>
            <w:tcW w:w="1154" w:type="pct"/>
            <w:vAlign w:val="center"/>
          </w:tcPr>
          <w:p>
            <w:pPr>
              <w:spacing w:line="240" w:lineRule="auto"/>
              <w:jc w:val="left"/>
            </w:pPr>
            <w:r>
              <w:rPr>
                <w:rFonts w:ascii="宋体" w:eastAsia="宋体" w:hAnsi="宋体" w:cs="宋体"/>
                <w:b/>
              </w:rPr>
              <w:t>风险收益特征</w:t>
            </w:r>
          </w:p>
        </w:tc>
        <w:tc>
          <w:tcPr>
            <w:tcW w:w="3846" w:type="pct"/>
            <w:vAlign w:val="center"/>
          </w:tcPr>
          <w:p>
            <w:pPr>
              <w:spacing w:line="240" w:lineRule="auto"/>
              <w:jc w:val="left"/>
            </w:pPr>
            <w:r>
              <w:rPr>
                <w:rFonts w:ascii="宋体" w:eastAsia="宋体" w:hAnsi="宋体" w:cs="宋体"/>
                <w:b w:val="0"/>
              </w:rPr>
              <w:t>本基金为债券型基金，其长期平均风险和预期收益率低于股票型基金、混合型基金，高于货币市场基金。</w:t>
            </w:r>
          </w:p>
        </w:tc>
      </w:tr>
    </w:tbl>
    <w:p>
      <w:r>
        <w:rPr>
          <w:rFonts w:ascii="宋体" w:eastAsia="宋体" w:hAnsi="宋体" w:cs="宋体"/>
          <w:b w:val="0"/>
        </w:rPr>
        <w:t>注：不同的代销机构采用的评价方法不同，本法律文件风险收益特征表述与代销机构基金风险评价可能存在不一致的风险，投资人在认购本基金时需按照代销机构的要求完成风险承受能力与产品风险之间的匹配检验。</w:t>
      </w:r>
    </w:p>
    <w:p/>
    <w:p>
      <w:pPr>
        <w:pStyle w:val="zhangjiep2"/>
      </w:pPr>
      <w:r>
        <w:rPr>
          <w:rStyle w:val="DefaultParagraphFont"/>
          <w:rFonts w:ascii="宋体" w:eastAsia="宋体" w:hAnsi="宋体" w:cs="宋体"/>
          <w:b/>
        </w:rPr>
        <w:t>（二）投资组合资产配置图表/区域配置图表</w:t>
      </w:r>
    </w:p>
    <w:p>
      <w:r>
        <w:rPr>
          <w:rFonts w:ascii="宋体" w:eastAsia="宋体" w:hAnsi="宋体" w:cs="宋体"/>
          <w:b w:val="0"/>
        </w:rPr>
        <w:t xml:space="preserve">    暂无。</w:t>
      </w:r>
    </w:p>
    <w:p/>
    <w:p>
      <w:pPr>
        <w:pStyle w:val="zhangjiep2"/>
      </w:pPr>
      <w:r>
        <w:rPr>
          <w:rStyle w:val="DefaultParagraphFont"/>
          <w:rFonts w:ascii="宋体" w:eastAsia="宋体" w:hAnsi="宋体" w:cs="宋体"/>
          <w:b/>
        </w:rPr>
        <w:t>（三）自基金合同生效以来/最近十年（孰短）基金每年的净值增长率及与同期业绩比较基准的比较图</w:t>
      </w:r>
    </w:p>
    <w:p>
      <w:r>
        <w:rPr>
          <w:rFonts w:ascii="宋体" w:eastAsia="宋体" w:hAnsi="宋体" w:cs="宋体"/>
          <w:b w:val="0"/>
        </w:rPr>
        <w:t xml:space="preserve">    暂无。</w:t>
      </w:r>
    </w:p>
    <w:p/>
    <w:p>
      <w:pPr>
        <w:pStyle w:val="Heading2"/>
        <w:jc w:val="left"/>
      </w:pPr>
      <w:r>
        <w:rPr>
          <w:rFonts w:ascii="宋体" w:eastAsia="宋体" w:hAnsi="宋体" w:cs="宋体"/>
        </w:rPr>
        <w:t>三、投资本基金涉及的费用</w:t>
      </w:r>
    </w:p>
    <w:p>
      <w:pPr>
        <w:pStyle w:val="zhangjiep2"/>
      </w:pPr>
      <w:r>
        <w:rPr>
          <w:rStyle w:val="DefaultParagraphFont"/>
          <w:rFonts w:ascii="宋体" w:eastAsia="宋体" w:hAnsi="宋体" w:cs="宋体"/>
          <w:b/>
        </w:rPr>
        <w:t>（一）基金销售相关费用</w:t>
      </w:r>
    </w:p>
    <w:p>
      <w:r>
        <w:rPr>
          <w:rFonts w:ascii="宋体" w:eastAsia="宋体" w:hAnsi="宋体" w:cs="宋体"/>
          <w:b w:val="0"/>
        </w:rPr>
        <w:t>以下费用在认购/申购/赎回基金过程中收取：</w:t>
      </w:r>
    </w:p>
    <w:tbl>
      <w:tblPr>
        <w:tblW w:w="5000" w:type="pct"/>
        <w:tblBorders>
          <w:top w:val="thick" w:sz="0" w:space="0" w:color="auto"/>
          <w:left w:val="nil"/>
          <w:bottom w:val="thick" w:sz="0" w:space="0" w:color="auto"/>
          <w:right w:val="nil"/>
          <w:insideH w:val="dotted" w:sz="0" w:space="0" w:color="auto"/>
          <w:insideV w:val="nil"/>
        </w:tblBorders>
      </w:tblPr>
      <w:tblGrid>
        <w:gridCol w:w="2266"/>
        <w:gridCol w:w="2266"/>
        <w:gridCol w:w="2266"/>
        <w:gridCol w:w="2266"/>
      </w:tblGrid>
      <w:tr>
        <w:tblPrEx>
          <w:tblW w:w="5000" w:type="pct"/>
          <w:tblBorders>
            <w:top w:val="thick" w:sz="0" w:space="0" w:color="auto"/>
            <w:left w:val="nil"/>
            <w:bottom w:val="thick" w:sz="0" w:space="0" w:color="auto"/>
            <w:right w:val="nil"/>
            <w:insideH w:val="dotted" w:sz="0" w:space="0" w:color="auto"/>
            <w:insideV w:val="nil"/>
          </w:tblBorders>
        </w:tblPrEx>
        <w:tc>
          <w:tcPr>
            <w:tcW w:w="769" w:type="pct"/>
            <w:vAlign w:val="center"/>
          </w:tcPr>
          <w:p>
            <w:pPr>
              <w:spacing w:line="240" w:lineRule="auto"/>
              <w:jc w:val="left"/>
            </w:pPr>
            <w:r>
              <w:rPr>
                <w:rFonts w:ascii="宋体" w:eastAsia="宋体" w:hAnsi="宋体" w:cs="宋体"/>
                <w:b/>
              </w:rPr>
              <w:t>费用类型</w:t>
            </w:r>
          </w:p>
        </w:tc>
        <w:tc>
          <w:tcPr>
            <w:tcW w:w="1923" w:type="pct"/>
            <w:vAlign w:val="center"/>
          </w:tcPr>
          <w:p>
            <w:pPr>
              <w:spacing w:line="240" w:lineRule="auto"/>
              <w:jc w:val="left"/>
            </w:pPr>
            <w:r>
              <w:rPr>
                <w:rFonts w:ascii="宋体" w:eastAsia="宋体" w:hAnsi="宋体" w:cs="宋体"/>
                <w:b/>
              </w:rPr>
              <w:t>份额(S)或金额(M)/持有期限(N)</w:t>
            </w:r>
          </w:p>
        </w:tc>
        <w:tc>
          <w:tcPr>
            <w:tcW w:w="1154" w:type="pct"/>
            <w:vAlign w:val="center"/>
          </w:tcPr>
          <w:p>
            <w:pPr>
              <w:spacing w:line="240" w:lineRule="auto"/>
              <w:jc w:val="left"/>
            </w:pPr>
            <w:r>
              <w:rPr>
                <w:rFonts w:ascii="宋体" w:eastAsia="宋体" w:hAnsi="宋体" w:cs="宋体"/>
                <w:b/>
              </w:rPr>
              <w:t>收费方式/费率</w:t>
            </w:r>
          </w:p>
        </w:tc>
        <w:tc>
          <w:tcPr>
            <w:tcW w:w="1154" w:type="pct"/>
            <w:vAlign w:val="center"/>
          </w:tcPr>
          <w:p>
            <w:pPr>
              <w:spacing w:line="240" w:lineRule="auto"/>
              <w:jc w:val="left"/>
            </w:pPr>
            <w:r>
              <w:rPr>
                <w:rFonts w:ascii="宋体" w:eastAsia="宋体" w:hAnsi="宋体" w:cs="宋体"/>
                <w:b/>
              </w:rPr>
              <w:t>备注</w:t>
            </w:r>
          </w:p>
        </w:tc>
      </w:tr>
      <w:tr>
        <w:tblPrEx>
          <w:tblW w:w="5000" w:type="pct"/>
        </w:tblPrEx>
        <w:tc>
          <w:tcPr>
            <w:tcW w:w="0" w:type="dxa"/>
            <w:vMerge w:val="restart"/>
            <w:vAlign w:val="center"/>
          </w:tcPr>
          <w:p>
            <w:pPr>
              <w:spacing w:line="240" w:lineRule="auto"/>
              <w:jc w:val="left"/>
            </w:pPr>
            <w:r>
              <w:rPr>
                <w:rFonts w:ascii="宋体" w:eastAsia="宋体" w:hAnsi="宋体" w:cs="宋体"/>
                <w:b/>
              </w:rPr>
              <w:t>认购费</w:t>
            </w: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0.30%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0.20%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p>
        </w:tc>
      </w:tr>
    </w:tbl>
    <w:p>
      <w:r>
        <w:rPr>
          <w:rFonts w:ascii="宋体" w:eastAsia="宋体" w:hAnsi="宋体" w:cs="宋体"/>
          <w:b w:val="0"/>
        </w:rPr>
        <w:t>注：1、上表中认购费仅适用于投资者通过代销机构认购本基金基金份额。</w:t>
        <w:br/>
      </w:r>
      <w:r>
        <w:rPr>
          <w:rFonts w:ascii="宋体" w:eastAsia="宋体" w:hAnsi="宋体" w:cs="宋体"/>
          <w:b w:val="0"/>
        </w:rPr>
        <w:t>2、通过直销机构认购本基金基金份额的不收取认购费。</w:t>
        <w:br/>
      </w:r>
      <w:r>
        <w:rPr>
          <w:rFonts w:ascii="宋体" w:eastAsia="宋体" w:hAnsi="宋体" w:cs="宋体"/>
          <w:b w:val="0"/>
        </w:rPr>
        <w:t>3、投资人重复认购，须按每次认购所对应的费率档次分别计费。</w:t>
      </w:r>
    </w:p>
    <w:p/>
    <w:p>
      <w:pPr>
        <w:pStyle w:val="zhangjiep2"/>
      </w:pPr>
      <w:r>
        <w:rPr>
          <w:rStyle w:val="DefaultParagraphFont"/>
          <w:rFonts w:ascii="宋体" w:eastAsia="宋体" w:hAnsi="宋体" w:cs="宋体"/>
          <w:b/>
        </w:rPr>
        <w:t>（二）基金运作相关费用</w:t>
      </w:r>
    </w:p>
    <w:p>
      <w:r>
        <w:rPr>
          <w:rFonts w:ascii="宋体" w:eastAsia="宋体" w:hAnsi="宋体" w:cs="宋体"/>
          <w:b w:val="0"/>
        </w:rPr>
        <w:t>以下费用将从基金资产中扣除：</w:t>
      </w:r>
    </w:p>
    <w:tbl>
      <w:tblPr>
        <w:tblW w:w="5000" w:type="pct"/>
        <w:tblBorders>
          <w:top w:val="thick" w:sz="0" w:space="0" w:color="auto"/>
          <w:left w:val="nil"/>
          <w:bottom w:val="thick" w:sz="0" w:space="0" w:color="auto"/>
          <w:right w:val="nil"/>
          <w:insideH w:val="dotted" w:sz="0" w:space="0" w:color="auto"/>
          <w:insideV w:val="nil"/>
        </w:tblBorders>
      </w:tblPr>
      <w:tblGrid>
        <w:gridCol w:w="3021"/>
        <w:gridCol w:w="3021"/>
        <w:gridCol w:w="3021"/>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费用类别</w:t>
            </w:r>
          </w:p>
        </w:tc>
        <w:tc>
          <w:tcPr>
            <w:tcW w:w="2308" w:type="pct"/>
            <w:vAlign w:val="center"/>
          </w:tcPr>
          <w:p>
            <w:pPr>
              <w:spacing w:line="240" w:lineRule="auto"/>
              <w:jc w:val="left"/>
            </w:pPr>
            <w:r>
              <w:rPr>
                <w:rFonts w:ascii="宋体" w:eastAsia="宋体" w:hAnsi="宋体" w:cs="宋体"/>
                <w:b/>
              </w:rPr>
              <w:t>收费方式/年费率或金额</w:t>
            </w:r>
          </w:p>
        </w:tc>
        <w:tc>
          <w:tcPr>
            <w:tcW w:w="1538" w:type="pct"/>
            <w:vAlign w:val="center"/>
          </w:tcPr>
          <w:p>
            <w:pPr>
              <w:spacing w:line="240" w:lineRule="auto"/>
              <w:jc w:val="left"/>
            </w:pPr>
            <w:r>
              <w:rPr>
                <w:rFonts w:ascii="宋体" w:eastAsia="宋体" w:hAnsi="宋体" w:cs="宋体"/>
                <w:b/>
              </w:rPr>
              <w:t>收取方</w:t>
            </w:r>
          </w:p>
        </w:tc>
      </w:tr>
      <w:tr>
        <w:tblPrEx>
          <w:tblW w:w="5000" w:type="pct"/>
        </w:tblPrEx>
        <w:tc>
          <w:tcPr>
            <w:tcW w:w="0" w:type="dxa"/>
            <w:vAlign w:val="center"/>
          </w:tcPr>
          <w:p>
            <w:pPr>
              <w:spacing w:line="240" w:lineRule="auto"/>
              <w:jc w:val="left"/>
            </w:pPr>
            <w:r>
              <w:rPr>
                <w:rFonts w:ascii="宋体" w:eastAsia="宋体" w:hAnsi="宋体" w:cs="宋体"/>
                <w:b w:val="0"/>
              </w:rPr>
              <w:t>管理费</w:t>
            </w:r>
          </w:p>
        </w:tc>
        <w:tc>
          <w:tcPr>
            <w:tcW w:w="0" w:type="dxa"/>
            <w:vAlign w:val="center"/>
          </w:tcPr>
          <w:p>
            <w:pPr>
              <w:spacing w:line="240" w:lineRule="auto"/>
              <w:jc w:val="left"/>
            </w:pPr>
            <w:r>
              <w:rPr>
                <w:rFonts w:ascii="宋体" w:eastAsia="宋体" w:hAnsi="宋体" w:cs="宋体"/>
                <w:b w:val="0"/>
              </w:rPr>
              <w:t>0.15%</w:t>
            </w:r>
          </w:p>
        </w:tc>
        <w:tc>
          <w:tcPr>
            <w:tcW w:w="0" w:type="dxa"/>
            <w:vAlign w:val="center"/>
          </w:tcPr>
          <w:p>
            <w:pPr>
              <w:spacing w:line="240" w:lineRule="auto"/>
              <w:jc w:val="left"/>
            </w:pPr>
            <w:r>
              <w:rPr>
                <w:rFonts w:ascii="宋体" w:eastAsia="宋体" w:hAnsi="宋体" w:cs="宋体"/>
                <w:b w:val="0"/>
              </w:rPr>
              <w:t>基金管理人和销售机构</w:t>
            </w:r>
          </w:p>
        </w:tc>
      </w:tr>
      <w:tr>
        <w:tblPrEx>
          <w:tblW w:w="5000" w:type="pct"/>
        </w:tblPrEx>
        <w:tc>
          <w:tcPr>
            <w:tcW w:w="0" w:type="dxa"/>
            <w:vAlign w:val="center"/>
          </w:tcPr>
          <w:p>
            <w:pPr>
              <w:spacing w:line="240" w:lineRule="auto"/>
              <w:jc w:val="left"/>
            </w:pPr>
            <w:r>
              <w:rPr>
                <w:rFonts w:ascii="宋体" w:eastAsia="宋体" w:hAnsi="宋体" w:cs="宋体"/>
                <w:b w:val="0"/>
              </w:rPr>
              <w:t>托管费</w:t>
            </w:r>
          </w:p>
        </w:tc>
        <w:tc>
          <w:tcPr>
            <w:tcW w:w="0" w:type="dxa"/>
            <w:vAlign w:val="center"/>
          </w:tcPr>
          <w:p>
            <w:pPr>
              <w:spacing w:line="240" w:lineRule="auto"/>
              <w:jc w:val="left"/>
            </w:pPr>
            <w:r>
              <w:rPr>
                <w:rFonts w:ascii="宋体" w:eastAsia="宋体" w:hAnsi="宋体" w:cs="宋体"/>
                <w:b w:val="0"/>
              </w:rPr>
              <w:t>0.05%</w:t>
            </w:r>
          </w:p>
        </w:tc>
        <w:tc>
          <w:tcPr>
            <w:tcW w:w="0" w:type="dxa"/>
            <w:vAlign w:val="center"/>
          </w:tcPr>
          <w:p>
            <w:pPr>
              <w:spacing w:line="240" w:lineRule="auto"/>
              <w:jc w:val="left"/>
            </w:pPr>
            <w:r>
              <w:rPr>
                <w:rFonts w:ascii="宋体" w:eastAsia="宋体" w:hAnsi="宋体" w:cs="宋体"/>
                <w:b w:val="0"/>
              </w:rPr>
              <w:t>基金托管人</w:t>
            </w:r>
          </w:p>
        </w:tc>
      </w:tr>
      <w:tr>
        <w:tblPrEx>
          <w:tblW w:w="5000" w:type="pct"/>
        </w:tblPrEx>
        <w:tc>
          <w:tcPr>
            <w:tcW w:w="0" w:type="dxa"/>
            <w:vAlign w:val="center"/>
          </w:tcPr>
          <w:p>
            <w:pPr>
              <w:spacing w:line="240" w:lineRule="auto"/>
              <w:jc w:val="left"/>
            </w:pPr>
            <w:r>
              <w:rPr>
                <w:rFonts w:ascii="宋体" w:eastAsia="宋体" w:hAnsi="宋体" w:cs="宋体"/>
                <w:b w:val="0"/>
              </w:rPr>
              <w:t>其他费用</w:t>
            </w:r>
          </w:p>
        </w:tc>
        <w:tc>
          <w:tcPr>
            <w:tcW w:w="0" w:type="dxa"/>
            <w:vAlign w:val="center"/>
          </w:tcPr>
          <w:p>
            <w:pPr>
              <w:spacing w:line="240" w:lineRule="auto"/>
              <w:jc w:val="left"/>
            </w:pPr>
            <w:r>
              <w:rPr>
                <w:rFonts w:ascii="宋体" w:eastAsia="宋体" w:hAnsi="宋体" w:cs="宋体"/>
                <w:b w:val="0"/>
              </w:rPr>
              <w:t>《基金合同》生效后与基金相关的律师费、诉讼费和仲裁费等费用；基金份额持有人大会费用；基金的证券交易费用；基金的银行汇划费用；基金相关的开户费用、账户维护费用；按照国家有关规定和《基金合同》约定，可以在基金财产中列支的其他费用。</w:t>
            </w:r>
          </w:p>
        </w:tc>
        <w:tc>
          <w:tcPr>
            <w:tcW w:w="0" w:type="dxa"/>
            <w:vAlign w:val="center"/>
          </w:tcPr>
          <w:p>
            <w:pPr>
              <w:spacing w:line="240" w:lineRule="auto"/>
              <w:jc w:val="left"/>
            </w:pPr>
            <w:r>
              <w:rPr>
                <w:rFonts w:ascii="宋体" w:eastAsia="宋体" w:hAnsi="宋体" w:cs="宋体"/>
                <w:b w:val="0"/>
              </w:rPr>
              <w:t>相关服务机构</w:t>
            </w:r>
          </w:p>
        </w:tc>
      </w:tr>
    </w:tbl>
    <w:p>
      <w:r>
        <w:rPr>
          <w:rFonts w:ascii="宋体" w:eastAsia="宋体" w:hAnsi="宋体" w:cs="宋体"/>
          <w:b w:val="0"/>
        </w:rPr>
        <w:t>注：1、本基金交易证券、基金等产生的费用和税负，按实际发生额从基金资产扣除。</w:t>
        <w:br/>
      </w:r>
      <w:r>
        <w:rPr>
          <w:rFonts w:ascii="宋体" w:eastAsia="宋体" w:hAnsi="宋体" w:cs="宋体"/>
          <w:b w:val="0"/>
        </w:rPr>
        <w:t>2、本基金审计费用、信息披露费为年金额，由基金整体承担，非单个份额类别费用，且年金额为预估值，最终实际金额以基金定期报告披露为准。</w:t>
      </w:r>
    </w:p>
    <w:p/>
    <w:p>
      <w:pPr>
        <w:pStyle w:val="zhangjiep2"/>
      </w:pPr>
      <w:r>
        <w:rPr>
          <w:rStyle w:val="DefaultParagraphFont"/>
          <w:rFonts w:ascii="宋体" w:eastAsia="宋体" w:hAnsi="宋体" w:cs="宋体"/>
          <w:b/>
        </w:rPr>
        <w:t>（三）基金运作综合费用测算</w:t>
      </w:r>
    </w:p>
    <w:p>
      <w:r>
        <w:rPr>
          <w:rFonts w:ascii="宋体" w:eastAsia="宋体" w:hAnsi="宋体" w:cs="宋体"/>
          <w:b w:val="0"/>
        </w:rPr>
        <w:t xml:space="preserve">    暂无。</w:t>
      </w:r>
    </w:p>
    <w:p/>
    <w:p>
      <w:pPr>
        <w:pStyle w:val="Heading2"/>
        <w:jc w:val="left"/>
      </w:pPr>
      <w:r>
        <w:rPr>
          <w:rFonts w:ascii="宋体" w:eastAsia="宋体" w:hAnsi="宋体" w:cs="宋体"/>
        </w:rPr>
        <w:t>四、风险揭示与重要提示</w:t>
      </w:r>
    </w:p>
    <w:p>
      <w:pPr>
        <w:pStyle w:val="zhangjiep2"/>
      </w:pPr>
      <w:r>
        <w:rPr>
          <w:rStyle w:val="DefaultParagraphFont"/>
          <w:rFonts w:ascii="宋体" w:eastAsia="宋体" w:hAnsi="宋体" w:cs="宋体"/>
          <w:b/>
        </w:rPr>
        <w:t>（一）风险揭示</w:t>
      </w:r>
    </w:p>
    <w:p>
      <w:pPr>
        <w:jc w:val="left"/>
      </w:pPr>
      <w:r>
        <w:rPr>
          <w:rFonts w:ascii="宋体" w:eastAsia="宋体" w:hAnsi="宋体" w:cs="宋体"/>
          <w:b w:val="0"/>
        </w:rPr>
        <w:t xml:space="preserve">    本基金不提供任何保证。投资者可能损失本金。投资有风险，投资者购买基金时应认真阅读本基金的《招募说明书》等销售文件。</w:t>
        <w:br/>
      </w:r>
      <w:r>
        <w:rPr>
          <w:rFonts w:ascii="宋体" w:eastAsia="宋体" w:hAnsi="宋体" w:cs="宋体"/>
          <w:b w:val="0"/>
        </w:rPr>
        <w:t xml:space="preserve">    本基金主要风险包括市场风险、信用风险、管理风险、操作或技术风险、本基金采用证券经纪商交易结算模式的风险、本基金法律文件风险收益特征表述与销售机构基金风险评价可能不一致的风险、基金管理人职责终止风险及其他风险等。本基金特有风险如下：</w:t>
        <w:br/>
      </w:r>
      <w:r>
        <w:rPr>
          <w:rFonts w:ascii="宋体" w:eastAsia="宋体" w:hAnsi="宋体" w:cs="宋体"/>
          <w:b w:val="0"/>
        </w:rPr>
        <w:t xml:space="preserve">    （1）本基金为债券型基金，债券资产的投资比例不低于基金资产的 80%，因此本基金需承担债券价格变动导致的风险。</w:t>
        <w:br/>
      </w:r>
      <w:r>
        <w:rPr>
          <w:rFonts w:ascii="宋体" w:eastAsia="宋体" w:hAnsi="宋体" w:cs="宋体"/>
          <w:b w:val="0"/>
        </w:rPr>
        <w:t xml:space="preserve">    （2）投资者无法主动申请赎回的风险。本基金为封闭式基金，自基金合同生效之日起进入封闭期，封闭期为自基金合同生效之日起至63个月后月度对日的前一日，若该日为非工作日则顺延至下一工作日。本基金在封闭期内不办理申购、赎回、转换等业务，投资者无法主动申请赎回，将导致投资者在需要使用投资于本基金的资金时无法随时赎回到账和进行其他投资。</w:t>
        <w:br/>
      </w:r>
      <w:r>
        <w:rPr>
          <w:rFonts w:ascii="宋体" w:eastAsia="宋体" w:hAnsi="宋体" w:cs="宋体"/>
          <w:b w:val="0"/>
        </w:rPr>
        <w:t xml:space="preserve">    （3）采用摊余成本法估值的风险</w:t>
        <w:br/>
      </w:r>
      <w:r>
        <w:rPr>
          <w:rFonts w:ascii="宋体" w:eastAsia="宋体" w:hAnsi="宋体" w:cs="宋体"/>
          <w:b w:val="0"/>
        </w:rPr>
        <w:t xml:space="preserve">    本基金固定收益类证券采用摊余成本法估值，即估值对象以买入成本列示，按票面利率或商定利率并考虑其买入时的溢价与折价，在其剩余存续期内按照实际利率法进行摊销，每日计提损益。据此计算的资产净值与按市场利率和交易市价计算的基金资产净值可能存在偏差。</w:t>
        <w:br/>
      </w:r>
      <w:r>
        <w:rPr>
          <w:rFonts w:ascii="宋体" w:eastAsia="宋体" w:hAnsi="宋体" w:cs="宋体"/>
          <w:b w:val="0"/>
        </w:rPr>
        <w:t xml:space="preserve">    本基金采用摊余成本法估值不等于保本保收益，存在无法获得收益甚至亏损本金的风险，包括但不限于以下情形：1）在不违反会计准则的前提下，基金管理人可以对尚未到期的固定收益品种进行处置，资产变现价格与摊余成本法估值价格的差异将于变现当日集中反映，届时被处置资产的实际变现价格可能大幅低于按照摊余成本估值的价格；2）本基金应当按照企业会计准则的要求，评估金融资产是否发生减值，如有客观证据表明发生减值的，应当计提减值准备，基金资产发生计提减值准备可能对净值表现产生不利影响；3）可能对基金净值产生不利影响的其他情形。基金管理人不承诺投资者投资于本基金的本金安全，也不承诺最低收益，不承担因提前处置未到期固定收益品种或计提减值准备等情形导致的基金资产的损失。请投资者充分了解按摊余成本法估值带来的风险，谨慎作出投资决策，并自行承担投资本基金所面临的相关风险及后果。</w:t>
        <w:br/>
      </w:r>
      <w:r>
        <w:rPr>
          <w:rFonts w:ascii="宋体" w:eastAsia="宋体" w:hAnsi="宋体" w:cs="宋体"/>
          <w:b w:val="0"/>
        </w:rPr>
        <w:t xml:space="preserve">    （4）资产支持证券投资风险</w:t>
        <w:br/>
      </w:r>
      <w:r>
        <w:rPr>
          <w:rFonts w:ascii="宋体" w:eastAsia="宋体" w:hAnsi="宋体" w:cs="宋体"/>
          <w:b w:val="0"/>
        </w:rPr>
        <w:t xml:space="preserve">    本基金可能投资于资产支持证券。本基金所投资的资产支持证券之债务人出现违约，或在交易过程中发生交收违约，或由于资产支持证券信用质量降低导致证券价格下降，可能造成基金财产损失。此外，受资产支持证券市场规模及交易活跃程度的影响，资产支持证券可能无法在同一价格水平上进行较大数量的买入或卖出，存在一定的流动性风险，从而对基金收益造成影响。</w:t>
        <w:br/>
      </w:r>
      <w:r>
        <w:rPr>
          <w:rFonts w:ascii="宋体" w:eastAsia="宋体" w:hAnsi="宋体" w:cs="宋体"/>
          <w:b w:val="0"/>
        </w:rPr>
        <w:t xml:space="preserve">    （5）持有至到期策略相关风险</w:t>
        <w:br/>
      </w:r>
      <w:r>
        <w:rPr>
          <w:rFonts w:ascii="宋体" w:eastAsia="宋体" w:hAnsi="宋体" w:cs="宋体"/>
          <w:b w:val="0"/>
        </w:rPr>
        <w:t xml:space="preserve">    本基金在封闭期内采用买入并持有到期投资策略，所投金融资产以收取合同现金流量为目的并持有到期，所投资产到期日或回售日不得晚于封闭运作期到期日。在融资成本及市场风险发生变化等不同市场环境下，本基金无法灵活地进行投资组合的调整，由此可能给本基金资产造成不利影响。</w:t>
        <w:br/>
      </w:r>
      <w:r>
        <w:rPr>
          <w:rFonts w:ascii="宋体" w:eastAsia="宋体" w:hAnsi="宋体" w:cs="宋体"/>
          <w:b w:val="0"/>
        </w:rPr>
        <w:t xml:space="preserve">    （6）本基金可投资证券公司短期公司债券，由于证券公司短期公司债券非公开发行和交易，且限制投资者数量上限，潜在流动性风险相对较大。若发行主体信用质量恶化，受流动性所限，本基金可能无法卖出所持有的证券公司短期公司债券，由此可能给基金净值带来不利影响或损失。</w:t>
      </w:r>
    </w:p>
    <w:p/>
    <w:p>
      <w:pPr>
        <w:pStyle w:val="zhangjiep2"/>
      </w:pPr>
      <w:r>
        <w:rPr>
          <w:rStyle w:val="DefaultParagraphFont"/>
          <w:rFonts w:ascii="宋体" w:eastAsia="宋体" w:hAnsi="宋体" w:cs="宋体"/>
          <w:b/>
        </w:rPr>
        <w:t>（二）重要提示</w:t>
      </w:r>
    </w:p>
    <w:p>
      <w:pPr>
        <w:jc w:val="left"/>
      </w:pPr>
      <w:r>
        <w:rPr>
          <w:rFonts w:ascii="宋体" w:eastAsia="宋体" w:hAnsi="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eastAsia="宋体" w:hAnsi="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eastAsia="宋体" w:hAnsi="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Heading2"/>
        <w:jc w:val="left"/>
      </w:pPr>
      <w:r>
        <w:rPr>
          <w:rFonts w:ascii="宋体" w:eastAsia="宋体" w:hAnsi="宋体" w:cs="宋体"/>
        </w:rPr>
        <w:t>五、其他资料查询方式</w:t>
      </w:r>
    </w:p>
    <w:p>
      <w:pPr>
        <w:jc w:val="left"/>
      </w:pPr>
      <w:r>
        <w:rPr>
          <w:rFonts w:ascii="宋体" w:eastAsia="宋体" w:hAnsi="宋体" w:cs="宋体"/>
          <w:b w:val="0"/>
        </w:rPr>
        <w:t xml:space="preserve">    以下资料详见东方阿尔法基金官方网站【www.dfa66.com】【客服电话：400-930-6677】</w:t>
        <w:br/>
      </w:r>
      <w:r>
        <w:rPr>
          <w:rFonts w:ascii="宋体" w:eastAsia="宋体" w:hAnsi="宋体" w:cs="宋体"/>
          <w:b w:val="0"/>
        </w:rPr>
        <w:t xml:space="preserve">    （1）基金合同、托管协议、招募说明书</w:t>
        <w:br/>
      </w:r>
      <w:r>
        <w:rPr>
          <w:rFonts w:ascii="宋体" w:eastAsia="宋体" w:hAnsi="宋体" w:cs="宋体"/>
          <w:b w:val="0"/>
        </w:rPr>
        <w:t xml:space="preserve">    （2）定期报告，包括基金季度报告、中期报告和年度报告</w:t>
        <w:br/>
      </w:r>
      <w:r>
        <w:rPr>
          <w:rFonts w:ascii="宋体" w:eastAsia="宋体" w:hAnsi="宋体" w:cs="宋体"/>
          <w:b w:val="0"/>
        </w:rPr>
        <w:t xml:space="preserve">    （3）基金份额净值</w:t>
        <w:br/>
      </w:r>
      <w:r>
        <w:rPr>
          <w:rFonts w:ascii="宋体" w:eastAsia="宋体" w:hAnsi="宋体" w:cs="宋体"/>
          <w:b w:val="0"/>
        </w:rPr>
        <w:t xml:space="preserve">    （4）基金销售机构及联系方式</w:t>
        <w:br/>
      </w:r>
      <w:r>
        <w:rPr>
          <w:rFonts w:ascii="宋体" w:eastAsia="宋体" w:hAnsi="宋体" w:cs="宋体"/>
          <w:b w:val="0"/>
        </w:rPr>
        <w:t xml:space="preserve">    （5）其他重要资料</w:t>
      </w:r>
    </w:p>
    <w:p/>
    <w:p>
      <w:pPr>
        <w:pStyle w:val="Heading2"/>
        <w:jc w:val="left"/>
      </w:pPr>
      <w:r>
        <w:rPr>
          <w:rFonts w:ascii="宋体" w:eastAsia="宋体" w:hAnsi="宋体" w:cs="宋体"/>
        </w:rPr>
        <w:t>六、其他情况说明</w:t>
      </w:r>
    </w:p>
    <w:p>
      <w:pPr>
        <w:jc w:val="left"/>
      </w:pPr>
      <w:r>
        <w:rPr>
          <w:rFonts w:ascii="宋体" w:eastAsia="宋体" w:hAnsi="宋体" w:cs="宋体"/>
          <w:b w:val="0"/>
        </w:rPr>
        <w:t xml:space="preserve">    无</w:t>
      </w:r>
    </w:p>
    <w:sectPr w:rsidSect="00067EA6">
      <w:headerReference w:type="even" r:id="rId6"/>
      <w:headerReference w:type="default" r:id="rId7"/>
      <w:footerReference w:type="even" r:id="rId8"/>
      <w:footerReference w:type="default" r:id="rId9"/>
      <w:headerReference w:type="first" r:id="rId10"/>
      <w:footerReference w:type="first" r:id="rId11"/>
      <w:pgSz w:w="11906" w:h="16838"/>
      <w:pgMar w:top="1440" w:right="1418" w:bottom="1440" w:left="1418" w:header="851" w:footer="851"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447BB44A"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D70" w:rsidRPr="00CC6846" w14:paraId="3095903D" w14:textId="77777777">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Pr="00CC6846" w:rsidR="002A36A8">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2CDB701E"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2891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B69" w:rsidRPr="00213B69" w:rsidP="00C15EFA" w14:paraId="0ED4AB06" w14:textId="77777777">
    <w:pPr>
      <w:pBdr>
        <w:bottom w:val="single" w:sz="4" w:space="1" w:color="auto"/>
      </w:pBdr>
      <w:rPr>
        <w:rFonts w:ascii="宋体" w:hAnsi="宋体"/>
      </w:rPr>
    </w:pPr>
    <w:r>
      <w:ptab w:relativeTo="margin" w:alignment="center" w:leader="none"/>
    </w:r>
    <w:r>
      <w:rPr>
        <w:rFonts w:ascii="宋体" w:hAnsi="宋体" w:hint="eastAsia"/>
        <w:sz w:val="18"/>
      </w:rPr>
      <w:t>东方阿尔法聚利63个月封闭式债券型证券投资基金基金产品资料概要</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8A3757"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2</cp:revision>
  <dcterms:created xsi:type="dcterms:W3CDTF">2020-03-27T02:14:00Z</dcterms:created>
  <dcterms:modified xsi:type="dcterms:W3CDTF">2024-08-19T03:01:00Z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