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0"/>
        <w:jc w:val="center"/>
        <w:textAlignment w:val="auto"/>
        <w:rPr>
          <w:rFonts w:hint="eastAsia" w:ascii="黑体" w:hAnsi="黑体" w:eastAsia="黑体" w:cs="黑体"/>
          <w:b/>
          <w:sz w:val="32"/>
          <w:szCs w:val="24"/>
          <w:highlight w:val="none"/>
        </w:rPr>
      </w:pPr>
      <w:r>
        <w:rPr>
          <w:rFonts w:hint="eastAsia" w:ascii="黑体" w:hAnsi="黑体" w:eastAsia="黑体" w:cs="黑体"/>
          <w:b/>
          <w:sz w:val="32"/>
          <w:szCs w:val="24"/>
          <w:highlight w:val="none"/>
          <w:lang w:eastAsia="zh-CN"/>
        </w:rPr>
        <w:t>东方阿尔法</w:t>
      </w:r>
      <w:r>
        <w:rPr>
          <w:rFonts w:hint="eastAsia" w:ascii="黑体" w:hAnsi="黑体" w:eastAsia="黑体" w:cs="黑体"/>
          <w:b/>
          <w:sz w:val="32"/>
          <w:szCs w:val="24"/>
          <w:highlight w:val="none"/>
        </w:rPr>
        <w:t>基金管理有限公司关于旗下部分基金</w:t>
      </w:r>
    </w:p>
    <w:p>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0"/>
        <w:jc w:val="center"/>
        <w:textAlignment w:val="auto"/>
        <w:rPr>
          <w:rFonts w:hint="default" w:ascii="黑体" w:hAnsi="黑体" w:eastAsia="黑体" w:cs="黑体"/>
          <w:b/>
          <w:sz w:val="32"/>
          <w:szCs w:val="24"/>
          <w:highlight w:val="none"/>
          <w:lang w:val="en-US" w:eastAsia="zh-CN"/>
        </w:rPr>
      </w:pPr>
      <w:r>
        <w:rPr>
          <w:rFonts w:hint="eastAsia" w:ascii="黑体" w:hAnsi="黑体" w:eastAsia="黑体" w:cs="黑体"/>
          <w:b/>
          <w:sz w:val="32"/>
          <w:szCs w:val="24"/>
          <w:highlight w:val="none"/>
        </w:rPr>
        <w:t>调整业绩比较基准并修订基金合同</w:t>
      </w:r>
      <w:r>
        <w:rPr>
          <w:rFonts w:hint="eastAsia" w:ascii="黑体" w:hAnsi="黑体" w:eastAsia="黑体" w:cs="黑体"/>
          <w:b/>
          <w:sz w:val="32"/>
          <w:szCs w:val="24"/>
          <w:highlight w:val="none"/>
          <w:lang w:val="en-US" w:eastAsia="zh-CN"/>
        </w:rPr>
        <w:t>等法律文件</w:t>
      </w:r>
      <w:r>
        <w:rPr>
          <w:rFonts w:hint="eastAsia" w:ascii="黑体" w:hAnsi="黑体" w:eastAsia="黑体" w:cs="黑体"/>
          <w:b/>
          <w:sz w:val="32"/>
          <w:szCs w:val="24"/>
          <w:highlight w:val="none"/>
        </w:rPr>
        <w:t>的公告</w:t>
      </w:r>
    </w:p>
    <w:p>
      <w:pPr>
        <w:pStyle w:val="4"/>
        <w:keepNext w:val="0"/>
        <w:keepLines w:val="0"/>
        <w:pageBreakBefore w:val="0"/>
        <w:widowControl w:val="0"/>
        <w:kinsoku/>
        <w:wordWrap/>
        <w:overflowPunct/>
        <w:topLinePunct w:val="0"/>
        <w:autoSpaceDE w:val="0"/>
        <w:autoSpaceDN w:val="0"/>
        <w:bidi w:val="0"/>
        <w:adjustRightInd/>
        <w:snapToGrid/>
        <w:spacing w:before="0" w:after="0"/>
        <w:ind w:left="0" w:leftChars="0" w:right="0" w:firstLine="0" w:firstLineChars="0"/>
        <w:textAlignment w:val="auto"/>
        <w:rPr>
          <w:rFonts w:ascii="Microsoft JhengHei"/>
          <w:b/>
          <w:sz w:val="30"/>
          <w:highlight w:val="none"/>
        </w:rPr>
      </w:pP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44" w:firstLineChars="200"/>
        <w:textAlignment w:val="auto"/>
        <w:rPr>
          <w:highlight w:val="none"/>
        </w:rPr>
      </w:pPr>
      <w:r>
        <w:rPr>
          <w:spacing w:val="-9"/>
          <w:highlight w:val="none"/>
        </w:rPr>
        <w:t>根据《公开募集证券投资基金业绩比较基准指引》的相关规定，为更好地反映基金投资风格，提高基金业绩表现与业绩比较基准的可比性，经与各基金托管人协商一致，</w:t>
      </w:r>
      <w:r>
        <w:rPr>
          <w:rFonts w:hint="eastAsia"/>
          <w:spacing w:val="-9"/>
          <w:highlight w:val="none"/>
          <w:lang w:eastAsia="zh-CN"/>
        </w:rPr>
        <w:t>东方阿尔法</w:t>
      </w:r>
      <w:r>
        <w:rPr>
          <w:spacing w:val="-9"/>
          <w:highlight w:val="none"/>
        </w:rPr>
        <w:t>基金管理有限公司（以下简称“基金管理人”）决定自2026年</w:t>
      </w:r>
      <w:r>
        <w:rPr>
          <w:rFonts w:hint="eastAsia"/>
          <w:spacing w:val="-9"/>
          <w:highlight w:val="none"/>
          <w:lang w:val="en-US" w:eastAsia="zh-CN"/>
        </w:rPr>
        <w:t>11</w:t>
      </w:r>
      <w:r>
        <w:rPr>
          <w:spacing w:val="-9"/>
          <w:highlight w:val="none"/>
        </w:rPr>
        <w:t>月</w:t>
      </w:r>
      <w:r>
        <w:rPr>
          <w:rFonts w:hint="eastAsia"/>
          <w:spacing w:val="-9"/>
          <w:highlight w:val="none"/>
          <w:lang w:val="en-US" w:eastAsia="zh-CN"/>
        </w:rPr>
        <w:t>30</w:t>
      </w:r>
      <w:r>
        <w:rPr>
          <w:spacing w:val="-9"/>
          <w:highlight w:val="none"/>
        </w:rPr>
        <w:t>日起调整旗下部分基金的业绩比较基准并对基金合同</w:t>
      </w:r>
      <w:r>
        <w:rPr>
          <w:rFonts w:hint="eastAsia"/>
          <w:spacing w:val="-9"/>
          <w:highlight w:val="none"/>
          <w:lang w:val="en-US" w:eastAsia="zh-CN"/>
        </w:rPr>
        <w:t>等法律文件</w:t>
      </w:r>
      <w:r>
        <w:rPr>
          <w:spacing w:val="-9"/>
          <w:highlight w:val="none"/>
        </w:rPr>
        <w:t>有关条款进行修订。现将相关事宜公告如下：</w:t>
      </w:r>
    </w:p>
    <w:p>
      <w:pPr>
        <w:pStyle w:val="2"/>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82" w:firstLineChars="200"/>
        <w:textAlignment w:val="auto"/>
        <w:rPr>
          <w:rFonts w:hint="eastAsia" w:ascii="黑体" w:hAnsi="黑体" w:eastAsia="黑体" w:cs="黑体"/>
          <w:highlight w:val="none"/>
        </w:rPr>
      </w:pPr>
      <w:r>
        <w:rPr>
          <w:rFonts w:hint="eastAsia" w:ascii="黑体" w:hAnsi="黑体" w:eastAsia="黑体" w:cs="黑体"/>
          <w:highlight w:val="none"/>
        </w:rPr>
        <w:t>一、业绩比较基准调整情况</w:t>
      </w:r>
    </w:p>
    <w:p>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right="0" w:firstLine="480" w:firstLineChars="200"/>
        <w:textAlignment w:val="auto"/>
        <w:rPr>
          <w:highlight w:val="none"/>
        </w:rPr>
      </w:pPr>
      <w:r>
        <w:rPr>
          <w:highlight w:val="none"/>
        </w:rPr>
        <w:t>本次调整业绩比较基准的基金及调整前后的业绩比较基准情况如下：</w:t>
      </w:r>
    </w:p>
    <w:tbl>
      <w:tblPr>
        <w:tblStyle w:val="5"/>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2131"/>
        <w:gridCol w:w="3392"/>
        <w:gridCol w:w="35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09" w:type="dxa"/>
          </w:tcPr>
          <w:p>
            <w:pPr>
              <w:pStyle w:val="9"/>
              <w:spacing w:before="158"/>
              <w:ind w:left="124" w:right="114"/>
              <w:jc w:val="center"/>
              <w:rPr>
                <w:b/>
                <w:bCs/>
                <w:color w:val="auto"/>
                <w:sz w:val="22"/>
                <w:szCs w:val="24"/>
                <w:highlight w:val="none"/>
              </w:rPr>
            </w:pPr>
            <w:r>
              <w:rPr>
                <w:b/>
                <w:bCs/>
                <w:color w:val="auto"/>
                <w:sz w:val="22"/>
                <w:szCs w:val="24"/>
                <w:highlight w:val="none"/>
              </w:rPr>
              <w:t>序号</w:t>
            </w:r>
          </w:p>
        </w:tc>
        <w:tc>
          <w:tcPr>
            <w:tcW w:w="2131" w:type="dxa"/>
          </w:tcPr>
          <w:p>
            <w:pPr>
              <w:pStyle w:val="9"/>
              <w:spacing w:before="158"/>
              <w:ind w:left="645"/>
              <w:rPr>
                <w:b/>
                <w:bCs/>
                <w:color w:val="auto"/>
                <w:sz w:val="22"/>
                <w:szCs w:val="24"/>
                <w:highlight w:val="none"/>
              </w:rPr>
            </w:pPr>
            <w:r>
              <w:rPr>
                <w:b/>
                <w:bCs/>
                <w:color w:val="auto"/>
                <w:sz w:val="22"/>
                <w:szCs w:val="24"/>
                <w:highlight w:val="none"/>
              </w:rPr>
              <w:t>基金全称</w:t>
            </w:r>
          </w:p>
        </w:tc>
        <w:tc>
          <w:tcPr>
            <w:tcW w:w="3392" w:type="dxa"/>
          </w:tcPr>
          <w:p>
            <w:pPr>
              <w:pStyle w:val="9"/>
              <w:spacing w:before="158"/>
              <w:ind w:left="540"/>
              <w:rPr>
                <w:b/>
                <w:bCs/>
                <w:color w:val="auto"/>
                <w:sz w:val="22"/>
                <w:szCs w:val="24"/>
                <w:highlight w:val="none"/>
              </w:rPr>
            </w:pPr>
            <w:r>
              <w:rPr>
                <w:b/>
                <w:bCs/>
                <w:color w:val="auto"/>
                <w:sz w:val="22"/>
                <w:szCs w:val="24"/>
                <w:highlight w:val="none"/>
              </w:rPr>
              <w:t>原基金合同业绩比较基准</w:t>
            </w:r>
          </w:p>
        </w:tc>
        <w:tc>
          <w:tcPr>
            <w:tcW w:w="3584" w:type="dxa"/>
          </w:tcPr>
          <w:p>
            <w:pPr>
              <w:pStyle w:val="9"/>
              <w:spacing w:before="158"/>
              <w:ind w:left="637"/>
              <w:rPr>
                <w:b/>
                <w:bCs/>
                <w:color w:val="auto"/>
                <w:sz w:val="22"/>
                <w:szCs w:val="24"/>
                <w:highlight w:val="none"/>
              </w:rPr>
            </w:pPr>
            <w:r>
              <w:rPr>
                <w:b/>
                <w:bCs/>
                <w:color w:val="auto"/>
                <w:sz w:val="22"/>
                <w:szCs w:val="24"/>
                <w:highlight w:val="none"/>
              </w:rPr>
              <w:t>调整后的新业绩比较基准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709" w:type="dxa"/>
          </w:tcPr>
          <w:p>
            <w:pPr>
              <w:pStyle w:val="9"/>
              <w:ind w:left="10"/>
              <w:jc w:val="center"/>
              <w:rPr>
                <w:color w:val="auto"/>
                <w:sz w:val="22"/>
                <w:szCs w:val="24"/>
                <w:highlight w:val="none"/>
              </w:rPr>
            </w:pPr>
          </w:p>
          <w:p>
            <w:pPr>
              <w:pStyle w:val="9"/>
              <w:ind w:left="10"/>
              <w:jc w:val="center"/>
              <w:rPr>
                <w:color w:val="auto"/>
                <w:sz w:val="22"/>
                <w:szCs w:val="24"/>
                <w:highlight w:val="none"/>
              </w:rPr>
            </w:pPr>
          </w:p>
          <w:p>
            <w:pPr>
              <w:pStyle w:val="9"/>
              <w:ind w:left="10"/>
              <w:jc w:val="center"/>
              <w:rPr>
                <w:color w:val="auto"/>
                <w:sz w:val="22"/>
                <w:szCs w:val="24"/>
                <w:highlight w:val="none"/>
              </w:rPr>
            </w:pPr>
            <w:r>
              <w:rPr>
                <w:color w:val="auto"/>
                <w:sz w:val="22"/>
                <w:szCs w:val="24"/>
                <w:highlight w:val="none"/>
              </w:rPr>
              <w:t>1</w:t>
            </w:r>
          </w:p>
        </w:tc>
        <w:tc>
          <w:tcPr>
            <w:tcW w:w="2131" w:type="dxa"/>
            <w:vAlign w:val="top"/>
          </w:tcPr>
          <w:p>
            <w:pPr>
              <w:pStyle w:val="9"/>
              <w:keepNext w:val="0"/>
              <w:keepLines w:val="0"/>
              <w:pageBreakBefore w:val="0"/>
              <w:widowControl w:val="0"/>
              <w:kinsoku/>
              <w:wordWrap/>
              <w:overflowPunct/>
              <w:topLinePunct w:val="0"/>
              <w:autoSpaceDE w:val="0"/>
              <w:autoSpaceDN w:val="0"/>
              <w:bidi w:val="0"/>
              <w:adjustRightInd/>
              <w:snapToGrid/>
              <w:spacing w:line="360" w:lineRule="auto"/>
              <w:ind w:left="0" w:right="0" w:firstLine="0"/>
              <w:jc w:val="left"/>
              <w:textAlignment w:val="auto"/>
              <w:rPr>
                <w:rFonts w:hint="eastAsia" w:ascii="宋体" w:hAnsi="宋体" w:eastAsia="宋体" w:cs="宋体"/>
                <w:color w:val="auto"/>
                <w:sz w:val="22"/>
                <w:szCs w:val="24"/>
                <w:highlight w:val="none"/>
                <w:lang w:val="zh-CN" w:eastAsia="zh-CN" w:bidi="zh-CN"/>
              </w:rPr>
            </w:pPr>
            <w:r>
              <w:rPr>
                <w:rFonts w:hint="eastAsia" w:ascii="宋体" w:hAnsi="宋体" w:eastAsia="宋体" w:cs="宋体"/>
                <w:color w:val="auto"/>
                <w:sz w:val="22"/>
                <w:szCs w:val="24"/>
                <w:highlight w:val="none"/>
                <w:lang w:val="zh-CN" w:eastAsia="zh-CN" w:bidi="zh-CN"/>
              </w:rPr>
              <w:t>东方阿尔法精选灵活配置混合型发起式证券投资基金</w:t>
            </w:r>
          </w:p>
        </w:tc>
        <w:tc>
          <w:tcPr>
            <w:tcW w:w="3392" w:type="dxa"/>
          </w:tcPr>
          <w:p>
            <w:pPr>
              <w:pStyle w:val="9"/>
              <w:spacing w:before="131" w:line="360" w:lineRule="auto"/>
              <w:ind w:right="110"/>
              <w:jc w:val="left"/>
              <w:rPr>
                <w:color w:val="auto"/>
                <w:sz w:val="22"/>
                <w:szCs w:val="24"/>
                <w:highlight w:val="none"/>
              </w:rPr>
            </w:pPr>
            <w:r>
              <w:rPr>
                <w:rFonts w:hint="eastAsia"/>
                <w:color w:val="auto"/>
                <w:sz w:val="22"/>
                <w:szCs w:val="24"/>
                <w:highlight w:val="none"/>
              </w:rPr>
              <w:t>沪深300指数收益率*40%+恒生指数收益率*20%+中证综合债券指数收益率*40%</w:t>
            </w:r>
          </w:p>
        </w:tc>
        <w:tc>
          <w:tcPr>
            <w:tcW w:w="3584" w:type="dxa"/>
          </w:tcPr>
          <w:p>
            <w:pPr>
              <w:pStyle w:val="9"/>
              <w:spacing w:line="360" w:lineRule="auto"/>
              <w:ind w:left="112" w:right="101"/>
              <w:jc w:val="left"/>
              <w:rPr>
                <w:color w:val="auto"/>
                <w:sz w:val="22"/>
                <w:szCs w:val="24"/>
                <w:highlight w:val="none"/>
              </w:rPr>
            </w:pPr>
            <w:r>
              <w:rPr>
                <w:rFonts w:hint="eastAsia"/>
                <w:color w:val="auto"/>
                <w:sz w:val="22"/>
                <w:szCs w:val="24"/>
                <w:highlight w:val="none"/>
              </w:rPr>
              <w:t>中证800指数收益率*</w:t>
            </w:r>
            <w:r>
              <w:rPr>
                <w:rFonts w:hint="eastAsia"/>
                <w:color w:val="auto"/>
                <w:sz w:val="22"/>
                <w:szCs w:val="24"/>
                <w:highlight w:val="none"/>
                <w:lang w:val="en-US" w:eastAsia="zh-CN"/>
              </w:rPr>
              <w:t>60</w:t>
            </w:r>
            <w:r>
              <w:rPr>
                <w:rFonts w:hint="eastAsia"/>
                <w:color w:val="auto"/>
                <w:sz w:val="22"/>
                <w:szCs w:val="24"/>
                <w:highlight w:val="none"/>
              </w:rPr>
              <w:t>%+恒生指数收益率*20%+中证综合债（全价）指数收益率*</w:t>
            </w:r>
            <w:r>
              <w:rPr>
                <w:rFonts w:hint="eastAsia"/>
                <w:color w:val="auto"/>
                <w:sz w:val="22"/>
                <w:szCs w:val="24"/>
                <w:highlight w:val="none"/>
                <w:lang w:val="en-US" w:eastAsia="zh-CN"/>
              </w:rPr>
              <w:t>20</w:t>
            </w:r>
            <w:r>
              <w:rPr>
                <w:rFonts w:hint="eastAsia"/>
                <w:color w:val="auto"/>
                <w:sz w:val="22"/>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09" w:type="dxa"/>
          </w:tcPr>
          <w:p>
            <w:pPr>
              <w:pStyle w:val="9"/>
              <w:ind w:left="10"/>
              <w:jc w:val="center"/>
              <w:rPr>
                <w:color w:val="auto"/>
                <w:sz w:val="22"/>
                <w:szCs w:val="24"/>
                <w:highlight w:val="none"/>
              </w:rPr>
            </w:pPr>
          </w:p>
          <w:p>
            <w:pPr>
              <w:pStyle w:val="9"/>
              <w:jc w:val="center"/>
              <w:rPr>
                <w:color w:val="auto"/>
                <w:sz w:val="22"/>
                <w:szCs w:val="24"/>
                <w:highlight w:val="none"/>
              </w:rPr>
            </w:pPr>
          </w:p>
          <w:p>
            <w:pPr>
              <w:pStyle w:val="9"/>
              <w:jc w:val="center"/>
              <w:rPr>
                <w:rFonts w:hint="eastAsia" w:eastAsia="宋体"/>
                <w:color w:val="auto"/>
                <w:sz w:val="22"/>
                <w:szCs w:val="24"/>
                <w:highlight w:val="none"/>
                <w:lang w:eastAsia="zh-CN"/>
              </w:rPr>
            </w:pPr>
            <w:r>
              <w:rPr>
                <w:rFonts w:hint="eastAsia"/>
                <w:color w:val="auto"/>
                <w:sz w:val="22"/>
                <w:szCs w:val="24"/>
                <w:highlight w:val="none"/>
                <w:lang w:val="en-US" w:eastAsia="zh-CN"/>
              </w:rPr>
              <w:t>2</w:t>
            </w:r>
          </w:p>
        </w:tc>
        <w:tc>
          <w:tcPr>
            <w:tcW w:w="2131" w:type="dxa"/>
            <w:vAlign w:val="top"/>
          </w:tcPr>
          <w:p>
            <w:pPr>
              <w:pStyle w:val="9"/>
              <w:spacing w:line="360" w:lineRule="auto"/>
              <w:ind w:right="108"/>
              <w:jc w:val="left"/>
              <w:rPr>
                <w:rFonts w:hint="eastAsia" w:ascii="宋体" w:hAnsi="宋体" w:eastAsia="宋体" w:cs="宋体"/>
                <w:color w:val="auto"/>
                <w:sz w:val="22"/>
                <w:szCs w:val="24"/>
                <w:highlight w:val="none"/>
                <w:lang w:val="zh-CN" w:eastAsia="zh-CN" w:bidi="zh-CN"/>
              </w:rPr>
            </w:pPr>
            <w:r>
              <w:rPr>
                <w:rFonts w:hint="eastAsia" w:ascii="宋体" w:hAnsi="宋体" w:eastAsia="宋体" w:cs="宋体"/>
                <w:color w:val="auto"/>
                <w:sz w:val="22"/>
                <w:szCs w:val="24"/>
                <w:highlight w:val="none"/>
                <w:lang w:val="zh-CN" w:eastAsia="zh-CN" w:bidi="zh-CN"/>
              </w:rPr>
              <w:t>东方阿尔法产业先锋混合型发起式证券投资基金</w:t>
            </w:r>
          </w:p>
        </w:tc>
        <w:tc>
          <w:tcPr>
            <w:tcW w:w="3392" w:type="dxa"/>
          </w:tcPr>
          <w:p>
            <w:pPr>
              <w:pStyle w:val="9"/>
              <w:spacing w:before="131" w:line="360" w:lineRule="auto"/>
              <w:ind w:left="121" w:right="110"/>
              <w:jc w:val="left"/>
              <w:rPr>
                <w:color w:val="auto"/>
                <w:sz w:val="22"/>
                <w:szCs w:val="24"/>
                <w:highlight w:val="none"/>
              </w:rPr>
            </w:pPr>
            <w:r>
              <w:rPr>
                <w:rFonts w:hint="eastAsia"/>
                <w:color w:val="auto"/>
                <w:sz w:val="22"/>
                <w:szCs w:val="24"/>
                <w:highlight w:val="none"/>
              </w:rPr>
              <w:t>中证800指数收益率*80%+中证综合债券指数收益率*20%</w:t>
            </w:r>
          </w:p>
        </w:tc>
        <w:tc>
          <w:tcPr>
            <w:tcW w:w="3584" w:type="dxa"/>
          </w:tcPr>
          <w:p>
            <w:pPr>
              <w:pStyle w:val="9"/>
              <w:spacing w:line="360" w:lineRule="auto"/>
              <w:ind w:left="112" w:right="101"/>
              <w:jc w:val="left"/>
              <w:rPr>
                <w:color w:val="auto"/>
                <w:sz w:val="22"/>
                <w:szCs w:val="24"/>
                <w:highlight w:val="none"/>
              </w:rPr>
            </w:pPr>
            <w:r>
              <w:rPr>
                <w:rFonts w:hint="eastAsia"/>
                <w:color w:val="auto"/>
                <w:sz w:val="22"/>
                <w:szCs w:val="24"/>
                <w:highlight w:val="none"/>
              </w:rPr>
              <w:t>中证800指数收益率*</w:t>
            </w:r>
            <w:r>
              <w:rPr>
                <w:rFonts w:hint="eastAsia"/>
                <w:color w:val="auto"/>
                <w:sz w:val="22"/>
                <w:szCs w:val="24"/>
                <w:highlight w:val="none"/>
                <w:lang w:val="en-US" w:eastAsia="zh-CN"/>
              </w:rPr>
              <w:t>90</w:t>
            </w:r>
            <w:r>
              <w:rPr>
                <w:rFonts w:hint="eastAsia"/>
                <w:color w:val="auto"/>
                <w:sz w:val="22"/>
                <w:szCs w:val="24"/>
                <w:highlight w:val="none"/>
              </w:rPr>
              <w:t>%+中证综合债（全价）指数收益率*</w:t>
            </w:r>
            <w:r>
              <w:rPr>
                <w:rFonts w:hint="eastAsia"/>
                <w:color w:val="auto"/>
                <w:sz w:val="22"/>
                <w:szCs w:val="24"/>
                <w:highlight w:val="none"/>
                <w:lang w:val="en-US" w:eastAsia="zh-CN"/>
              </w:rPr>
              <w:t>10</w:t>
            </w:r>
            <w:r>
              <w:rPr>
                <w:rFonts w:hint="eastAsia"/>
                <w:color w:val="auto"/>
                <w:sz w:val="22"/>
                <w:szCs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3" w:hRule="atLeast"/>
        </w:trPr>
        <w:tc>
          <w:tcPr>
            <w:tcW w:w="709" w:type="dxa"/>
          </w:tcPr>
          <w:p>
            <w:pPr>
              <w:pStyle w:val="9"/>
              <w:ind w:left="10"/>
              <w:jc w:val="center"/>
              <w:rPr>
                <w:color w:val="auto"/>
                <w:sz w:val="22"/>
                <w:szCs w:val="24"/>
                <w:highlight w:val="none"/>
              </w:rPr>
            </w:pPr>
          </w:p>
          <w:p>
            <w:pPr>
              <w:pStyle w:val="9"/>
              <w:ind w:left="10"/>
              <w:jc w:val="center"/>
              <w:rPr>
                <w:rFonts w:hint="default"/>
                <w:color w:val="auto"/>
                <w:sz w:val="22"/>
                <w:szCs w:val="24"/>
                <w:highlight w:val="none"/>
                <w:lang w:val="en-US"/>
              </w:rPr>
            </w:pPr>
          </w:p>
          <w:p>
            <w:pPr>
              <w:pStyle w:val="9"/>
              <w:ind w:left="10"/>
              <w:jc w:val="center"/>
              <w:rPr>
                <w:rFonts w:hint="eastAsia" w:eastAsia="宋体"/>
                <w:color w:val="auto"/>
                <w:sz w:val="22"/>
                <w:szCs w:val="24"/>
                <w:highlight w:val="none"/>
                <w:lang w:eastAsia="zh-CN"/>
              </w:rPr>
            </w:pPr>
            <w:r>
              <w:rPr>
                <w:rFonts w:hint="eastAsia"/>
                <w:color w:val="auto"/>
                <w:sz w:val="22"/>
                <w:szCs w:val="24"/>
                <w:highlight w:val="none"/>
                <w:lang w:val="en-US" w:eastAsia="zh-CN"/>
              </w:rPr>
              <w:t>3</w:t>
            </w:r>
          </w:p>
        </w:tc>
        <w:tc>
          <w:tcPr>
            <w:tcW w:w="2131" w:type="dxa"/>
            <w:vAlign w:val="top"/>
          </w:tcPr>
          <w:p>
            <w:pPr>
              <w:pStyle w:val="9"/>
              <w:spacing w:before="131" w:line="360" w:lineRule="auto"/>
              <w:ind w:right="108"/>
              <w:jc w:val="left"/>
              <w:rPr>
                <w:rFonts w:hint="eastAsia" w:ascii="宋体" w:hAnsi="宋体" w:eastAsia="宋体" w:cs="宋体"/>
                <w:color w:val="auto"/>
                <w:sz w:val="22"/>
                <w:szCs w:val="24"/>
                <w:highlight w:val="none"/>
                <w:lang w:val="zh-CN" w:eastAsia="zh-CN" w:bidi="zh-CN"/>
              </w:rPr>
            </w:pPr>
            <w:r>
              <w:rPr>
                <w:rFonts w:hint="eastAsia" w:ascii="宋体" w:hAnsi="宋体" w:eastAsia="宋体" w:cs="宋体"/>
                <w:color w:val="auto"/>
                <w:sz w:val="22"/>
                <w:szCs w:val="24"/>
                <w:highlight w:val="none"/>
                <w:lang w:val="zh-CN" w:eastAsia="zh-CN" w:bidi="zh-CN"/>
              </w:rPr>
              <w:t>东方阿尔法兴科一年持有期混合型证券投资基金</w:t>
            </w:r>
          </w:p>
        </w:tc>
        <w:tc>
          <w:tcPr>
            <w:tcW w:w="3392" w:type="dxa"/>
          </w:tcPr>
          <w:p>
            <w:pPr>
              <w:pStyle w:val="9"/>
              <w:spacing w:line="360" w:lineRule="auto"/>
              <w:ind w:left="120" w:right="110"/>
              <w:jc w:val="left"/>
              <w:rPr>
                <w:color w:val="auto"/>
                <w:sz w:val="22"/>
                <w:szCs w:val="24"/>
                <w:highlight w:val="none"/>
              </w:rPr>
            </w:pPr>
            <w:r>
              <w:rPr>
                <w:rFonts w:hint="eastAsia"/>
                <w:color w:val="auto"/>
                <w:sz w:val="22"/>
                <w:szCs w:val="24"/>
                <w:highlight w:val="none"/>
              </w:rPr>
              <w:t>中证800指数收益率*60%+恒生指数收益率*20%+中证综合债券指数收益率*20%</w:t>
            </w:r>
          </w:p>
        </w:tc>
        <w:tc>
          <w:tcPr>
            <w:tcW w:w="3584" w:type="dxa"/>
          </w:tcPr>
          <w:p>
            <w:pPr>
              <w:pStyle w:val="9"/>
              <w:spacing w:line="360" w:lineRule="auto"/>
              <w:ind w:right="101"/>
              <w:jc w:val="left"/>
              <w:rPr>
                <w:color w:val="auto"/>
                <w:sz w:val="22"/>
                <w:szCs w:val="24"/>
                <w:highlight w:val="none"/>
              </w:rPr>
            </w:pPr>
            <w:r>
              <w:rPr>
                <w:rFonts w:hint="eastAsia"/>
                <w:color w:val="auto"/>
                <w:sz w:val="22"/>
                <w:szCs w:val="24"/>
                <w:highlight w:val="none"/>
              </w:rPr>
              <w:t>中证800指数收益率*</w:t>
            </w:r>
            <w:r>
              <w:rPr>
                <w:rFonts w:hint="eastAsia"/>
                <w:color w:val="auto"/>
                <w:sz w:val="22"/>
                <w:szCs w:val="24"/>
                <w:highlight w:val="none"/>
                <w:lang w:val="en-US" w:eastAsia="zh-CN"/>
              </w:rPr>
              <w:t>70</w:t>
            </w:r>
            <w:r>
              <w:rPr>
                <w:rFonts w:hint="eastAsia"/>
                <w:color w:val="auto"/>
                <w:sz w:val="22"/>
                <w:szCs w:val="24"/>
                <w:highlight w:val="none"/>
              </w:rPr>
              <w:t>%+恒生指数收益率*20%+中证综合债（全价）指数收益率*</w:t>
            </w:r>
            <w:r>
              <w:rPr>
                <w:rFonts w:hint="eastAsia"/>
                <w:color w:val="auto"/>
                <w:sz w:val="22"/>
                <w:szCs w:val="24"/>
                <w:highlight w:val="none"/>
                <w:lang w:val="en-US" w:eastAsia="zh-CN"/>
              </w:rPr>
              <w:t>10</w:t>
            </w:r>
            <w:r>
              <w:rPr>
                <w:rFonts w:hint="eastAsia"/>
                <w:color w:val="auto"/>
                <w:sz w:val="22"/>
                <w:szCs w:val="24"/>
                <w:highlight w:val="none"/>
              </w:rPr>
              <w:t>%</w:t>
            </w:r>
          </w:p>
        </w:tc>
      </w:tr>
    </w:tbl>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textAlignment w:val="auto"/>
        <w:rPr>
          <w:spacing w:val="-13"/>
          <w:highlight w:val="none"/>
        </w:rPr>
      </w:pPr>
      <w:r>
        <w:rPr>
          <w:spacing w:val="-13"/>
          <w:highlight w:val="none"/>
        </w:rPr>
        <w:t>上述基金调整业绩比较基准要素的原因、差异及影响详见附件《业绩比较基准调整原因及合理性说明》。</w:t>
      </w:r>
    </w:p>
    <w:p>
      <w:pPr>
        <w:pStyle w:val="2"/>
        <w:spacing w:line="360" w:lineRule="auto"/>
        <w:ind w:left="1340" w:firstLine="0"/>
        <w:rPr>
          <w:rFonts w:hint="eastAsia" w:ascii="黑体" w:hAnsi="黑体" w:eastAsia="黑体" w:cs="黑体"/>
          <w:highlight w:val="none"/>
        </w:rPr>
      </w:pP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highlight w:val="none"/>
        </w:rPr>
      </w:pPr>
      <w:r>
        <w:rPr>
          <w:rFonts w:hint="eastAsia" w:ascii="黑体" w:hAnsi="黑体" w:eastAsia="黑体" w:cs="黑体"/>
          <w:highlight w:val="none"/>
        </w:rPr>
        <w:t>二、基金合同等法律文件修订内容</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一）基金合同具体修订内容包括：在“基金的投资”章节中的“业绩比较基准”部分列明基金调整后的业绩比较基准、设定原因（包括与基金产品投资目标、投资范围、投资策略、投资比例限制的匹配情况）、基准要素相关信息（包括发布机构、代码、查询途径等）、业绩比较基准的计算方法、管理投资偏离业绩比较基准的定性或定量方法，以及未来可能变更业绩比较基准的情形和程序。</w:t>
      </w:r>
      <w:r>
        <w:rPr>
          <w:rFonts w:hint="eastAsia"/>
          <w:spacing w:val="-13"/>
          <w:highlight w:val="none"/>
        </w:rPr>
        <w:t>基金管理人将一并修订托管协议（如有），并更新招募说明书、基金产品资料概要相关内容。</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（二）</w:t>
      </w:r>
      <w:r>
        <w:rPr>
          <w:rFonts w:hint="eastAsia"/>
          <w:spacing w:val="-13"/>
          <w:highlight w:val="none"/>
        </w:rPr>
        <w:t>本次修订对基金份额持有人利益无实质性不利影响，基金管理人已履行规定的程序，符合相关法律法规规定和基金合同约定，修订后的基金合同、托管协议（如有）、招募说明书（更新）和基金产品资料概要（更新）</w:t>
      </w:r>
      <w:r>
        <w:rPr>
          <w:spacing w:val="-13"/>
          <w:highlight w:val="none"/>
        </w:rPr>
        <w:t>将在基金管理人网站（</w:t>
      </w:r>
      <w:r>
        <w:rPr>
          <w:spacing w:val="-13"/>
          <w:highlight w:val="none"/>
        </w:rPr>
        <w:fldChar w:fldCharType="begin"/>
      </w:r>
      <w:r>
        <w:rPr>
          <w:spacing w:val="-13"/>
          <w:highlight w:val="none"/>
        </w:rPr>
        <w:instrText xml:space="preserve"> HYPERLINK "http://www.dfa66.com" </w:instrText>
      </w:r>
      <w:r>
        <w:rPr>
          <w:spacing w:val="-13"/>
          <w:highlight w:val="none"/>
        </w:rPr>
        <w:fldChar w:fldCharType="separate"/>
      </w:r>
      <w:r>
        <w:rPr>
          <w:spacing w:val="-13"/>
          <w:highlight w:val="none"/>
        </w:rPr>
        <w:t>www.dfa66.com</w:t>
      </w:r>
      <w:r>
        <w:rPr>
          <w:spacing w:val="-13"/>
          <w:highlight w:val="none"/>
        </w:rPr>
        <w:fldChar w:fldCharType="end"/>
      </w:r>
      <w:r>
        <w:rPr>
          <w:spacing w:val="-13"/>
          <w:highlight w:val="none"/>
        </w:rPr>
        <w:t>）和中国证监会基金电子披露网站（</w:t>
      </w:r>
      <w:r>
        <w:rPr>
          <w:spacing w:val="-13"/>
          <w:highlight w:val="none"/>
        </w:rPr>
        <w:fldChar w:fldCharType="begin"/>
      </w:r>
      <w:r>
        <w:rPr>
          <w:spacing w:val="-13"/>
          <w:highlight w:val="none"/>
        </w:rPr>
        <w:instrText xml:space="preserve"> HYPERLINK "http://eid.csrc.gov.cn/fund" \h </w:instrText>
      </w:r>
      <w:r>
        <w:rPr>
          <w:spacing w:val="-13"/>
          <w:highlight w:val="none"/>
        </w:rPr>
        <w:fldChar w:fldCharType="separate"/>
      </w:r>
      <w:r>
        <w:rPr>
          <w:spacing w:val="-13"/>
          <w:highlight w:val="none"/>
        </w:rPr>
        <w:t>http://eid.csrc.gov.cn/fund</w:t>
      </w:r>
      <w:r>
        <w:rPr>
          <w:spacing w:val="-13"/>
          <w:highlight w:val="none"/>
        </w:rPr>
        <w:fldChar w:fldCharType="end"/>
      </w:r>
      <w:r>
        <w:rPr>
          <w:spacing w:val="-13"/>
          <w:highlight w:val="none"/>
        </w:rPr>
        <w:t>）发布。投资者办理基金交易等相关业务前，应仔细阅读各基金的基金合同、招募说明书、基金产品资料概要、风险提示及相关业务规则和操作指南等文件。</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highlight w:val="none"/>
        </w:rPr>
      </w:pPr>
      <w:r>
        <w:rPr>
          <w:rFonts w:hint="eastAsia" w:ascii="黑体" w:hAnsi="黑体" w:eastAsia="黑体" w:cs="黑体"/>
          <w:highlight w:val="none"/>
        </w:rPr>
        <w:t>三、上述基金修订后的基金合同、托管协议（如有）自2026年</w:t>
      </w:r>
      <w:r>
        <w:rPr>
          <w:rFonts w:hint="eastAsia" w:ascii="黑体" w:hAnsi="黑体" w:eastAsia="黑体" w:cs="黑体"/>
          <w:highlight w:val="none"/>
          <w:lang w:val="en-US" w:eastAsia="zh-CN"/>
        </w:rPr>
        <w:t>11</w:t>
      </w:r>
      <w:r>
        <w:rPr>
          <w:rFonts w:hint="eastAsia" w:ascii="黑体" w:hAnsi="黑体" w:eastAsia="黑体" w:cs="黑体"/>
          <w:highlight w:val="none"/>
        </w:rPr>
        <w:t>月</w:t>
      </w:r>
      <w:r>
        <w:rPr>
          <w:rFonts w:hint="eastAsia" w:ascii="黑体" w:hAnsi="黑体" w:eastAsia="黑体" w:cs="黑体"/>
          <w:highlight w:val="none"/>
          <w:lang w:val="en-US" w:eastAsia="zh-CN"/>
        </w:rPr>
        <w:t>30</w:t>
      </w:r>
      <w:r>
        <w:rPr>
          <w:rFonts w:hint="eastAsia" w:ascii="黑体" w:hAnsi="黑体" w:eastAsia="黑体" w:cs="黑体"/>
          <w:highlight w:val="none"/>
        </w:rPr>
        <w:t>日起生效。</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520" w:firstLineChars="200"/>
        <w:textAlignment w:val="auto"/>
        <w:rPr>
          <w:rFonts w:ascii="Microsoft JhengHei"/>
          <w:b w:val="0"/>
          <w:bCs/>
          <w:sz w:val="26"/>
          <w:highlight w:val="none"/>
        </w:rPr>
      </w:pP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b/>
          <w:sz w:val="24"/>
          <w:highlight w:val="none"/>
        </w:rPr>
      </w:pPr>
      <w:r>
        <w:rPr>
          <w:rFonts w:hint="eastAsia" w:ascii="黑体" w:hAnsi="黑体" w:eastAsia="黑体" w:cs="黑体"/>
          <w:b/>
          <w:sz w:val="24"/>
          <w:highlight w:val="none"/>
        </w:rPr>
        <w:t>四、其他事项</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（一）投资者可通过以下途径咨询有关详情</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客户服务中心电话：400-930-6677</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网址：</w:t>
      </w:r>
      <w:r>
        <w:rPr>
          <w:spacing w:val="-13"/>
          <w:highlight w:val="none"/>
        </w:rPr>
        <w:fldChar w:fldCharType="begin"/>
      </w:r>
      <w:r>
        <w:rPr>
          <w:spacing w:val="-13"/>
          <w:highlight w:val="none"/>
        </w:rPr>
        <w:instrText xml:space="preserve"> HYPERLINK "http://www.dfa66.com" </w:instrText>
      </w:r>
      <w:r>
        <w:rPr>
          <w:spacing w:val="-13"/>
          <w:highlight w:val="none"/>
        </w:rPr>
        <w:fldChar w:fldCharType="separate"/>
      </w:r>
      <w:r>
        <w:rPr>
          <w:spacing w:val="-13"/>
          <w:highlight w:val="none"/>
        </w:rPr>
        <w:t>www.dfa66.com</w:t>
      </w:r>
      <w:r>
        <w:rPr>
          <w:spacing w:val="-13"/>
          <w:highlight w:val="none"/>
        </w:rPr>
        <w:fldChar w:fldCharType="end"/>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（二）基金管理人承诺以诚实信用、勤勉尽责的原则管理和运用基金资产，但不保证基金一定盈利，也不保证最低收益。销售机构根据法规要求对投资者类</w:t>
      </w:r>
      <w:bookmarkStart w:id="2" w:name="_GoBack"/>
      <w:bookmarkEnd w:id="2"/>
      <w:r>
        <w:rPr>
          <w:spacing w:val="-13"/>
          <w:highlight w:val="none"/>
        </w:rPr>
        <w:t>别、风险承受能力和基金的风险等级进行划分，并提出适当性匹配意见。投资者在投资基金前应认真阅读基金合同、招募说明书（更新）和基金产品资料概要（更新）等基金法律文件，全面认识基金产品的风险收益特征，在了解产品情况及销售机构适当性意见的基础上，根据自身的风险承受能力、投资期限和投资目标，对基金投资作出独立决策，选择合适的基金产品。基金管理人提醒投资者基金投资的“买者自负”原则，在投资者作出投资决策后，基金运营状况与基金净值变化引致的投资风险，由投资者自行负责。</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textAlignment w:val="auto"/>
        <w:rPr>
          <w:spacing w:val="-13"/>
          <w:highlight w:val="none"/>
        </w:rPr>
      </w:pPr>
      <w:r>
        <w:rPr>
          <w:spacing w:val="-13"/>
          <w:highlight w:val="none"/>
        </w:rPr>
        <w:t>特此公告。</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jc w:val="right"/>
        <w:textAlignment w:val="auto"/>
        <w:rPr>
          <w:spacing w:val="-13"/>
          <w:highlight w:val="none"/>
        </w:rPr>
      </w:pP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jc w:val="right"/>
        <w:textAlignment w:val="auto"/>
        <w:rPr>
          <w:spacing w:val="-13"/>
          <w:highlight w:val="none"/>
        </w:rPr>
      </w:pPr>
      <w:r>
        <w:rPr>
          <w:rFonts w:hint="eastAsia"/>
          <w:spacing w:val="-13"/>
          <w:highlight w:val="none"/>
          <w:lang w:eastAsia="zh-CN"/>
        </w:rPr>
        <w:t>东方阿尔法</w:t>
      </w:r>
      <w:r>
        <w:rPr>
          <w:spacing w:val="-13"/>
          <w:highlight w:val="none"/>
        </w:rPr>
        <w:t>基金管理有限公司</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28" w:firstLineChars="200"/>
        <w:jc w:val="right"/>
        <w:textAlignment w:val="auto"/>
        <w:rPr>
          <w:rFonts w:hint="default"/>
          <w:spacing w:val="-13"/>
          <w:highlight w:val="none"/>
          <w:lang w:val="en-US" w:eastAsia="zh-CN"/>
        </w:rPr>
      </w:pPr>
      <w:r>
        <w:rPr>
          <w:spacing w:val="-13"/>
          <w:highlight w:val="none"/>
        </w:rPr>
        <w:t>2026年</w:t>
      </w:r>
      <w:r>
        <w:rPr>
          <w:rFonts w:hint="eastAsia"/>
          <w:spacing w:val="-13"/>
          <w:highlight w:val="none"/>
          <w:lang w:val="en-US" w:eastAsia="zh-CN"/>
        </w:rPr>
        <w:t>10</w:t>
      </w:r>
      <w:r>
        <w:rPr>
          <w:spacing w:val="-13"/>
          <w:highlight w:val="none"/>
        </w:rPr>
        <w:t>月</w:t>
      </w:r>
      <w:r>
        <w:rPr>
          <w:rFonts w:hint="eastAsia"/>
          <w:spacing w:val="-13"/>
          <w:highlight w:val="none"/>
          <w:lang w:val="en-US" w:eastAsia="zh-CN"/>
        </w:rPr>
        <w:t>31</w:t>
      </w:r>
      <w:r>
        <w:rPr>
          <w:spacing w:val="-13"/>
          <w:highlight w:val="none"/>
        </w:rPr>
        <w:t>日</w:t>
      </w:r>
    </w:p>
    <w:p>
      <w:pPr>
        <w:pStyle w:val="4"/>
        <w:spacing w:before="1" w:line="360" w:lineRule="auto"/>
        <w:ind w:right="665" w:firstLine="480"/>
        <w:rPr>
          <w:spacing w:val="-13"/>
          <w:highlight w:val="none"/>
        </w:rPr>
        <w:sectPr>
          <w:footerReference r:id="rId3" w:type="default"/>
          <w:pgSz w:w="11910" w:h="16840"/>
          <w:pgMar w:top="1580" w:right="920" w:bottom="1220" w:left="940" w:header="0" w:footer="945" w:gutter="0"/>
          <w:cols w:space="720" w:num="1"/>
        </w:sectPr>
      </w:pPr>
    </w:p>
    <w:p>
      <w:pPr>
        <w:pStyle w:val="2"/>
        <w:keepNext w:val="0"/>
        <w:keepLines w:val="0"/>
        <w:pageBreakBefore w:val="0"/>
        <w:widowControl w:val="0"/>
        <w:kinsoku/>
        <w:wordWrap/>
        <w:overflowPunct/>
        <w:topLinePunct w:val="0"/>
        <w:autoSpaceDE w:val="0"/>
        <w:autoSpaceDN w:val="0"/>
        <w:bidi w:val="0"/>
        <w:adjustRightInd/>
        <w:snapToGrid/>
        <w:spacing w:line="360" w:lineRule="auto"/>
        <w:ind w:left="601" w:hanging="601"/>
        <w:textAlignment w:val="auto"/>
        <w:rPr>
          <w:rFonts w:hint="eastAsia" w:ascii="宋体" w:hAnsi="宋体" w:eastAsia="宋体" w:cs="宋体"/>
          <w:b/>
          <w:sz w:val="32"/>
          <w:szCs w:val="28"/>
          <w:highlight w:val="none"/>
        </w:rPr>
      </w:pPr>
      <w:r>
        <w:rPr>
          <w:rFonts w:hint="eastAsia" w:ascii="宋体" w:hAnsi="宋体" w:eastAsia="宋体" w:cs="宋体"/>
          <w:sz w:val="28"/>
          <w:szCs w:val="28"/>
          <w:highlight w:val="none"/>
        </w:rPr>
        <w:t>附：业绩比较基准调整原因及合理性说明</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b/>
          <w:bCs/>
          <w:sz w:val="24"/>
          <w:szCs w:val="24"/>
          <w:highlight w:val="none"/>
          <w:lang w:val="zh-CN" w:eastAsia="zh-CN" w:bidi="zh-CN"/>
        </w:rPr>
      </w:pPr>
      <w:r>
        <w:rPr>
          <w:rFonts w:hint="eastAsia" w:ascii="黑体" w:hAnsi="黑体" w:eastAsia="黑体" w:cs="黑体"/>
          <w:b/>
          <w:bCs/>
          <w:sz w:val="24"/>
          <w:szCs w:val="24"/>
          <w:highlight w:val="none"/>
          <w:lang w:val="en-US" w:eastAsia="zh-CN" w:bidi="zh-CN"/>
        </w:rPr>
        <w:t>一、</w:t>
      </w:r>
      <w:r>
        <w:rPr>
          <w:rFonts w:hint="eastAsia" w:ascii="黑体" w:hAnsi="黑体" w:eastAsia="黑体" w:cs="黑体"/>
          <w:b/>
          <w:bCs/>
          <w:sz w:val="24"/>
          <w:szCs w:val="24"/>
          <w:highlight w:val="none"/>
          <w:lang w:val="zh-CN" w:eastAsia="zh-CN" w:bidi="zh-CN"/>
        </w:rPr>
        <w:t>东方阿尔法精选灵活配置混合型发起式证券投资基金</w:t>
      </w:r>
    </w:p>
    <w:p>
      <w:pPr>
        <w:pStyle w:val="8"/>
        <w:keepNext w:val="0"/>
        <w:keepLines w:val="0"/>
        <w:pageBreakBefore w:val="0"/>
        <w:widowControl w:val="0"/>
        <w:numPr>
          <w:ilvl w:val="0"/>
          <w:numId w:val="0"/>
        </w:numPr>
        <w:tabs>
          <w:tab w:val="left" w:pos="1943"/>
        </w:tabs>
        <w:kinsoku/>
        <w:wordWrap/>
        <w:overflowPunct/>
        <w:topLinePunct w:val="0"/>
        <w:autoSpaceDE w:val="0"/>
        <w:autoSpaceDN w:val="0"/>
        <w:bidi w:val="0"/>
        <w:adjustRightInd/>
        <w:snapToGrid/>
        <w:spacing w:before="0" w:after="0" w:line="360" w:lineRule="auto"/>
        <w:ind w:left="0" w:leftChars="0" w:right="0" w:rightChars="0" w:firstLine="482" w:firstLineChars="200"/>
        <w:jc w:val="left"/>
        <w:textAlignment w:val="auto"/>
        <w:rPr>
          <w:rFonts w:hint="default" w:ascii="宋体" w:hAnsi="宋体" w:eastAsia="宋体" w:cs="宋体"/>
          <w:color w:val="auto"/>
          <w:sz w:val="24"/>
          <w:szCs w:val="32"/>
          <w:highlight w:val="none"/>
          <w:lang w:val="en-US" w:eastAsia="zh-CN" w:bidi="zh-CN"/>
        </w:rPr>
      </w:pPr>
      <w:r>
        <w:rPr>
          <w:rFonts w:hint="eastAsia" w:ascii="黑体" w:hAnsi="黑体" w:eastAsia="黑体" w:cs="黑体"/>
          <w:b/>
          <w:bCs/>
          <w:sz w:val="24"/>
          <w:szCs w:val="24"/>
          <w:highlight w:val="none"/>
          <w:lang w:val="en-US" w:eastAsia="zh-CN" w:bidi="zh-CN"/>
        </w:rPr>
        <w:t>1、</w:t>
      </w:r>
      <w:r>
        <w:rPr>
          <w:rFonts w:hint="eastAsia" w:ascii="黑体" w:hAnsi="黑体" w:eastAsia="黑体" w:cs="黑体"/>
          <w:b/>
          <w:bCs/>
          <w:sz w:val="24"/>
          <w:szCs w:val="24"/>
          <w:highlight w:val="none"/>
          <w:lang w:val="zh-CN" w:eastAsia="zh-CN" w:bidi="zh-CN"/>
        </w:rPr>
        <w:t>当前业绩比较基准：</w:t>
      </w:r>
      <w:r>
        <w:rPr>
          <w:rFonts w:hint="eastAsia" w:ascii="宋体" w:hAnsi="宋体" w:eastAsia="宋体" w:cs="宋体"/>
          <w:color w:val="auto"/>
          <w:sz w:val="24"/>
          <w:szCs w:val="32"/>
          <w:highlight w:val="none"/>
          <w:lang w:val="zh-CN" w:eastAsia="zh-CN" w:bidi="zh-CN"/>
        </w:rPr>
        <w:t>沪深300指数收益率*40%+恒生指数收益率*20%+中证综合债券指数收益率*40%</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default" w:ascii="宋体" w:hAnsi="宋体" w:eastAsia="宋体" w:cs="宋体"/>
          <w:color w:val="auto"/>
          <w:sz w:val="24"/>
          <w:szCs w:val="32"/>
          <w:highlight w:val="none"/>
          <w:lang w:val="en-US" w:eastAsia="zh-CN" w:bidi="zh-CN"/>
        </w:rPr>
      </w:pPr>
      <w:r>
        <w:rPr>
          <w:rFonts w:hint="eastAsia" w:ascii="黑体" w:hAnsi="黑体" w:eastAsia="黑体" w:cs="黑体"/>
          <w:b/>
          <w:bCs/>
          <w:sz w:val="24"/>
          <w:szCs w:val="24"/>
          <w:highlight w:val="none"/>
          <w:lang w:val="zh-CN" w:eastAsia="zh-CN" w:bidi="zh-CN"/>
        </w:rPr>
        <w:t>调整后新业绩比较基准：</w:t>
      </w:r>
      <w:r>
        <w:rPr>
          <w:rFonts w:hint="eastAsia" w:ascii="宋体" w:hAnsi="宋体" w:eastAsia="宋体" w:cs="宋体"/>
          <w:color w:val="auto"/>
          <w:sz w:val="24"/>
          <w:szCs w:val="32"/>
          <w:highlight w:val="none"/>
          <w:lang w:val="zh-CN" w:eastAsia="zh-CN" w:bidi="zh-CN"/>
        </w:rPr>
        <w:t>中证800指数收益率*</w:t>
      </w:r>
      <w:r>
        <w:rPr>
          <w:rFonts w:hint="eastAsia" w:cs="宋体"/>
          <w:color w:val="auto"/>
          <w:sz w:val="24"/>
          <w:szCs w:val="32"/>
          <w:highlight w:val="none"/>
          <w:lang w:val="en-US" w:eastAsia="zh-CN" w:bidi="zh-CN"/>
        </w:rPr>
        <w:t>60</w:t>
      </w:r>
      <w:r>
        <w:rPr>
          <w:rFonts w:hint="eastAsia" w:ascii="宋体" w:hAnsi="宋体" w:eastAsia="宋体" w:cs="宋体"/>
          <w:color w:val="auto"/>
          <w:sz w:val="24"/>
          <w:szCs w:val="32"/>
          <w:highlight w:val="none"/>
          <w:lang w:val="zh-CN" w:eastAsia="zh-CN" w:bidi="zh-CN"/>
        </w:rPr>
        <w:t>%+恒生指数收益率*20%+中证综合债（全价）指数收益率*</w:t>
      </w:r>
      <w:r>
        <w:rPr>
          <w:rFonts w:hint="eastAsia" w:cs="宋体"/>
          <w:color w:val="auto"/>
          <w:sz w:val="24"/>
          <w:szCs w:val="32"/>
          <w:highlight w:val="none"/>
          <w:lang w:val="en-US" w:eastAsia="zh-CN" w:bidi="zh-CN"/>
        </w:rPr>
        <w:t>20</w:t>
      </w:r>
      <w:r>
        <w:rPr>
          <w:rFonts w:hint="eastAsia" w:ascii="宋体" w:hAnsi="宋体" w:eastAsia="宋体" w:cs="宋体"/>
          <w:color w:val="auto"/>
          <w:sz w:val="24"/>
          <w:szCs w:val="32"/>
          <w:highlight w:val="none"/>
          <w:lang w:val="zh-CN" w:eastAsia="zh-CN" w:bidi="zh-CN"/>
        </w:rPr>
        <w:t>%</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highlight w:val="none"/>
        </w:rPr>
      </w:pPr>
      <w:r>
        <w:rPr>
          <w:rFonts w:hint="eastAsia" w:ascii="黑体" w:hAnsi="黑体" w:eastAsia="黑体" w:cs="黑体"/>
          <w:highlight w:val="none"/>
          <w:lang w:val="en-US" w:eastAsia="zh-CN"/>
        </w:rPr>
        <w:t>2、</w:t>
      </w:r>
      <w:r>
        <w:rPr>
          <w:rFonts w:hint="eastAsia" w:ascii="黑体" w:hAnsi="黑体" w:eastAsia="黑体" w:cs="黑体"/>
          <w:highlight w:val="none"/>
        </w:rPr>
        <w:t>新的业绩比较基准选择原因、差异及影响：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rPr>
      </w:pPr>
      <w:r>
        <w:rPr>
          <w:rFonts w:hint="eastAsia"/>
          <w:sz w:val="24"/>
          <w:szCs w:val="24"/>
          <w:highlight w:val="none"/>
        </w:rPr>
        <w:t>此次本基金业绩比较基准调整同时涉及更换业绩比较基准要素和调整业绩比较基准的要素权重。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lang w:val="en-US" w:eastAsia="zh-CN"/>
        </w:rPr>
      </w:pPr>
      <w:r>
        <w:rPr>
          <w:rFonts w:hint="eastAsia"/>
          <w:sz w:val="24"/>
          <w:szCs w:val="24"/>
          <w:highlight w:val="none"/>
        </w:rPr>
        <w:t>基于基金投资目标、投资范围和投资策略，本基金的股票资产采用全市场选股策略，通过定性分析和定量分析相结合的方法对公司基本面进行持续跟踪分析，挖掘A股与港股通范围内的优质公司，从而在严格控制投资组合风险并保持基金资产良好的流动性的前提下，通过专业化研究分析，力争实现基金资产的稳健增值。</w:t>
      </w:r>
      <w:r>
        <w:rPr>
          <w:rFonts w:hint="eastAsia"/>
          <w:sz w:val="24"/>
          <w:szCs w:val="24"/>
          <w:highlight w:val="none"/>
          <w:lang w:val="en-US" w:eastAsia="zh-CN"/>
        </w:rPr>
        <w:t>原业绩比较基准中，沪深300指数（指数代码 000300）成份股由沪深市场中规模大、流动性好的最具代表性的300只证券组成，反映沪深市场大盘上市公司证券的整体表现。调整后的新业绩比较基准中，中证800指数（指数代码000906）由沪深市场市值较大、流动性较好的800只股票构成，反映沪深市场大中盘上市公司证券的整体表现，更适合作为本基金A股股票部分的业绩比较基准要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lang w:val="en-US" w:eastAsia="zh-CN"/>
        </w:rPr>
      </w:pPr>
      <w:bookmarkStart w:id="0" w:name="OLE_LINK1"/>
      <w:r>
        <w:rPr>
          <w:rFonts w:hint="eastAsia"/>
          <w:sz w:val="24"/>
          <w:szCs w:val="24"/>
          <w:highlight w:val="none"/>
          <w:lang w:val="en-US" w:eastAsia="zh-CN"/>
        </w:rPr>
        <w:t>本基金的债券资产采用全市场策略，主要通过类属配置与券种选择进行投资管理。原业绩比较基准中，中证综合债券指数（指数代码H11009）</w:t>
      </w:r>
      <w:r>
        <w:rPr>
          <w:rFonts w:hint="eastAsia"/>
          <w:bCs/>
          <w:sz w:val="24"/>
          <w:highlight w:val="none"/>
        </w:rPr>
        <w:t>选取在沪深交易所或银行间市场上市的BBB及以上、且剩余期限1个月及以上的国债、金融债、企业债等债券作为成份券</w:t>
      </w:r>
      <w:r>
        <w:rPr>
          <w:rFonts w:hint="eastAsia"/>
          <w:bCs/>
          <w:sz w:val="24"/>
          <w:highlight w:val="none"/>
          <w:lang w:eastAsia="zh-CN"/>
        </w:rPr>
        <w:t>，</w:t>
      </w:r>
      <w:r>
        <w:rPr>
          <w:rFonts w:hint="eastAsia"/>
          <w:bCs/>
          <w:sz w:val="24"/>
          <w:highlight w:val="none"/>
        </w:rPr>
        <w:t>该指数旨在更全面地反映我国债券市场的整体价格变动趋势</w:t>
      </w:r>
      <w:r>
        <w:rPr>
          <w:rFonts w:hint="eastAsia"/>
          <w:sz w:val="24"/>
          <w:szCs w:val="24"/>
          <w:highlight w:val="none"/>
          <w:lang w:val="en-US" w:eastAsia="zh-CN"/>
        </w:rPr>
        <w:t>。调整后的新业绩比较基准中，</w:t>
      </w:r>
      <w:bookmarkStart w:id="1" w:name="OLE_LINK2"/>
      <w:r>
        <w:rPr>
          <w:rFonts w:hint="eastAsia"/>
          <w:sz w:val="24"/>
          <w:szCs w:val="24"/>
          <w:highlight w:val="none"/>
          <w:lang w:val="en-US" w:eastAsia="zh-CN"/>
        </w:rPr>
        <w:t>中证综合债（全价）指数（指数代码H11009CNY030）为中证综合债券指数的全价算法衍生指数，</w:t>
      </w:r>
      <w:bookmarkEnd w:id="1"/>
      <w:r>
        <w:rPr>
          <w:rFonts w:hint="eastAsia"/>
          <w:sz w:val="24"/>
          <w:szCs w:val="24"/>
          <w:highlight w:val="none"/>
          <w:lang w:val="en-US" w:eastAsia="zh-CN"/>
        </w:rPr>
        <w:t>适合作为本基金债券部分的业绩比较基准要素。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此外，基于本基金历史持仓，并结合基金合同约定的投资比例限制以及本基金预期的资产配置比例中枢，将业绩比较基准中的股票资产所对应的基准要素权重从60%提高至80%（其中A股股票部分的基准要素权重相应从40%提高至60%，港股通标的股票部分的基准要素权重仍维持20%），将业绩比较基准中的债券资产所对应的基准要素权重从40%降低至20%，从而使得新业绩比较基准中各大资产类别所对应的基准要素权重与基金投资策略和基金过往实际投资运作等相匹配。</w:t>
      </w:r>
    </w:p>
    <w:bookmarkEnd w:id="0"/>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80" w:firstLineChars="200"/>
        <w:textAlignment w:val="auto"/>
        <w:rPr>
          <w:rFonts w:hint="eastAsia" w:asciiTheme="minorEastAsia" w:hAnsiTheme="minorEastAsia"/>
          <w:sz w:val="24"/>
          <w:highlight w:val="none"/>
        </w:rPr>
      </w:pPr>
      <w:r>
        <w:rPr>
          <w:rFonts w:hint="eastAsia" w:asciiTheme="minorEastAsia" w:hAnsiTheme="minorEastAsia"/>
          <w:sz w:val="24"/>
          <w:highlight w:val="none"/>
        </w:rPr>
        <w:t>本次调整业绩比较基准旨在提高基金业绩表现与业绩比较基准的可比性，更加清晰反映基金的风险收益特征，不会对产品投资运作、持有人利益产生实质性不利影响。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rPr>
          <w:rFonts w:hint="eastAsia" w:ascii="黑体" w:hAnsi="黑体" w:eastAsia="黑体" w:cs="黑体"/>
          <w:b/>
          <w:bCs/>
          <w:sz w:val="24"/>
          <w:szCs w:val="24"/>
          <w:highlight w:val="none"/>
          <w:lang w:val="zh-CN" w:eastAsia="zh-CN" w:bidi="zh-CN"/>
        </w:rPr>
      </w:pP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b/>
          <w:bCs/>
          <w:sz w:val="24"/>
          <w:szCs w:val="24"/>
          <w:highlight w:val="none"/>
          <w:lang w:val="zh-CN" w:eastAsia="zh-CN" w:bidi="zh-CN"/>
        </w:rPr>
      </w:pPr>
      <w:r>
        <w:rPr>
          <w:rFonts w:hint="eastAsia" w:ascii="黑体" w:hAnsi="黑体" w:eastAsia="黑体" w:cs="黑体"/>
          <w:b/>
          <w:bCs/>
          <w:sz w:val="24"/>
          <w:szCs w:val="24"/>
          <w:highlight w:val="none"/>
          <w:lang w:val="en-US" w:eastAsia="zh-CN" w:bidi="zh-CN"/>
        </w:rPr>
        <w:t>二</w:t>
      </w:r>
      <w:r>
        <w:rPr>
          <w:rFonts w:hint="eastAsia" w:ascii="黑体" w:hAnsi="黑体" w:eastAsia="黑体" w:cs="黑体"/>
          <w:b/>
          <w:bCs/>
          <w:sz w:val="24"/>
          <w:szCs w:val="24"/>
          <w:highlight w:val="none"/>
          <w:lang w:val="zh-CN" w:eastAsia="zh-CN" w:bidi="zh-CN"/>
        </w:rPr>
        <w:t>、东方阿尔法产业先锋混合型发起式证券投资基金</w:t>
      </w:r>
    </w:p>
    <w:p>
      <w:pPr>
        <w:pStyle w:val="8"/>
        <w:keepNext w:val="0"/>
        <w:keepLines w:val="0"/>
        <w:pageBreakBefore w:val="0"/>
        <w:widowControl w:val="0"/>
        <w:numPr>
          <w:ilvl w:val="0"/>
          <w:numId w:val="0"/>
        </w:numPr>
        <w:tabs>
          <w:tab w:val="left" w:pos="1943"/>
        </w:tabs>
        <w:kinsoku/>
        <w:wordWrap/>
        <w:overflowPunct/>
        <w:topLinePunct w:val="0"/>
        <w:autoSpaceDE w:val="0"/>
        <w:autoSpaceDN w:val="0"/>
        <w:bidi w:val="0"/>
        <w:adjustRightInd/>
        <w:snapToGrid/>
        <w:spacing w:before="0" w:after="0" w:line="360" w:lineRule="auto"/>
        <w:ind w:left="0" w:leftChars="0" w:right="0" w:rightChars="0" w:firstLine="482" w:firstLineChars="200"/>
        <w:jc w:val="left"/>
        <w:textAlignment w:val="auto"/>
        <w:rPr>
          <w:rFonts w:hint="default" w:ascii="宋体" w:hAnsi="宋体" w:eastAsia="宋体" w:cs="宋体"/>
          <w:color w:val="auto"/>
          <w:sz w:val="24"/>
          <w:szCs w:val="32"/>
          <w:highlight w:val="none"/>
          <w:lang w:val="en-US" w:eastAsia="zh-CN" w:bidi="zh-CN"/>
        </w:rPr>
      </w:pPr>
      <w:r>
        <w:rPr>
          <w:rFonts w:hint="eastAsia" w:ascii="黑体" w:hAnsi="黑体" w:eastAsia="黑体" w:cs="黑体"/>
          <w:b/>
          <w:bCs/>
          <w:sz w:val="24"/>
          <w:szCs w:val="24"/>
          <w:highlight w:val="none"/>
          <w:lang w:val="en-US" w:eastAsia="zh-CN" w:bidi="zh-CN"/>
        </w:rPr>
        <w:t>1、</w:t>
      </w:r>
      <w:r>
        <w:rPr>
          <w:rFonts w:hint="eastAsia" w:ascii="黑体" w:hAnsi="黑体" w:eastAsia="黑体" w:cs="黑体"/>
          <w:b/>
          <w:bCs/>
          <w:sz w:val="24"/>
          <w:szCs w:val="24"/>
          <w:highlight w:val="none"/>
          <w:lang w:val="zh-CN" w:eastAsia="zh-CN" w:bidi="zh-CN"/>
        </w:rPr>
        <w:t>当前业绩比较基准：</w:t>
      </w:r>
      <w:r>
        <w:rPr>
          <w:rFonts w:hint="eastAsia" w:ascii="宋体" w:hAnsi="宋体" w:eastAsia="宋体" w:cs="宋体"/>
          <w:color w:val="auto"/>
          <w:sz w:val="24"/>
          <w:szCs w:val="32"/>
          <w:highlight w:val="none"/>
          <w:lang w:val="zh-CN" w:eastAsia="zh-CN" w:bidi="zh-CN"/>
        </w:rPr>
        <w:t>中证800指数收益率*80%+中证综合债券指数收益率*20%</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default" w:ascii="宋体" w:hAnsi="宋体" w:eastAsia="宋体" w:cs="宋体"/>
          <w:color w:val="auto"/>
          <w:sz w:val="24"/>
          <w:szCs w:val="32"/>
          <w:highlight w:val="none"/>
          <w:lang w:val="en-US" w:eastAsia="zh-CN" w:bidi="zh-CN"/>
        </w:rPr>
      </w:pPr>
      <w:r>
        <w:rPr>
          <w:rFonts w:hint="eastAsia" w:ascii="黑体" w:hAnsi="黑体" w:eastAsia="黑体" w:cs="黑体"/>
          <w:b/>
          <w:bCs/>
          <w:sz w:val="24"/>
          <w:szCs w:val="24"/>
          <w:highlight w:val="none"/>
          <w:lang w:val="zh-CN" w:eastAsia="zh-CN" w:bidi="zh-CN"/>
        </w:rPr>
        <w:t>调整后新业绩比较基准：</w:t>
      </w:r>
      <w:r>
        <w:rPr>
          <w:rFonts w:hint="eastAsia" w:ascii="宋体" w:hAnsi="宋体" w:eastAsia="宋体" w:cs="宋体"/>
          <w:color w:val="auto"/>
          <w:sz w:val="24"/>
          <w:szCs w:val="32"/>
          <w:highlight w:val="none"/>
          <w:lang w:val="zh-CN" w:eastAsia="zh-CN" w:bidi="zh-CN"/>
        </w:rPr>
        <w:t>中证800指数收益率*</w:t>
      </w:r>
      <w:r>
        <w:rPr>
          <w:rFonts w:hint="eastAsia" w:cs="宋体"/>
          <w:color w:val="auto"/>
          <w:sz w:val="24"/>
          <w:szCs w:val="32"/>
          <w:highlight w:val="none"/>
          <w:lang w:val="en-US" w:eastAsia="zh-CN" w:bidi="zh-CN"/>
        </w:rPr>
        <w:t>90</w:t>
      </w:r>
      <w:r>
        <w:rPr>
          <w:rFonts w:hint="eastAsia" w:ascii="宋体" w:hAnsi="宋体" w:eastAsia="宋体" w:cs="宋体"/>
          <w:color w:val="auto"/>
          <w:sz w:val="24"/>
          <w:szCs w:val="32"/>
          <w:highlight w:val="none"/>
          <w:lang w:val="zh-CN" w:eastAsia="zh-CN" w:bidi="zh-CN"/>
        </w:rPr>
        <w:t>%+中证综合债（全价）指数收益率*</w:t>
      </w:r>
      <w:r>
        <w:rPr>
          <w:rFonts w:hint="eastAsia" w:cs="宋体"/>
          <w:color w:val="auto"/>
          <w:sz w:val="24"/>
          <w:szCs w:val="32"/>
          <w:highlight w:val="none"/>
          <w:lang w:val="en-US" w:eastAsia="zh-CN" w:bidi="zh-CN"/>
        </w:rPr>
        <w:t>10</w:t>
      </w:r>
      <w:r>
        <w:rPr>
          <w:rFonts w:hint="eastAsia" w:ascii="宋体" w:hAnsi="宋体" w:eastAsia="宋体" w:cs="宋体"/>
          <w:color w:val="auto"/>
          <w:sz w:val="24"/>
          <w:szCs w:val="32"/>
          <w:highlight w:val="none"/>
          <w:lang w:val="zh-CN" w:eastAsia="zh-CN" w:bidi="zh-CN"/>
        </w:rPr>
        <w:t>%</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highlight w:val="none"/>
        </w:rPr>
      </w:pPr>
      <w:r>
        <w:rPr>
          <w:rFonts w:hint="eastAsia" w:ascii="黑体" w:hAnsi="黑体" w:eastAsia="黑体" w:cs="黑体"/>
          <w:highlight w:val="none"/>
          <w:lang w:val="en-US" w:eastAsia="zh-CN"/>
        </w:rPr>
        <w:t>2、</w:t>
      </w:r>
      <w:r>
        <w:rPr>
          <w:rFonts w:hint="eastAsia" w:ascii="黑体" w:hAnsi="黑体" w:eastAsia="黑体" w:cs="黑体"/>
          <w:highlight w:val="none"/>
        </w:rPr>
        <w:t>新的业绩比较基准选择原因、差异及影响：</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Calibri" w:hAnsi="Calibri" w:cs="Times New Roman"/>
          <w:kern w:val="2"/>
          <w:sz w:val="24"/>
          <w:szCs w:val="24"/>
          <w:highlight w:val="none"/>
          <w:lang w:val="en-US" w:bidi="ar-SA"/>
        </w:rPr>
      </w:pPr>
      <w:r>
        <w:rPr>
          <w:rFonts w:hint="eastAsia" w:ascii="Calibri" w:hAnsi="Calibri" w:cs="Times New Roman"/>
          <w:kern w:val="2"/>
          <w:sz w:val="24"/>
          <w:szCs w:val="24"/>
          <w:highlight w:val="none"/>
          <w:lang w:val="en-US" w:bidi="ar-SA"/>
        </w:rPr>
        <w:t>此次本基金业绩比较基准调整同时涉及更换业绩比较基准要素和调整业绩比较基准的要素权重。</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本基金的债券资产采用全市场策略，主要通过类属配置与券种选择进行投资管理。原业绩比较基准中，中证综合债券指数（指数代码H11009）</w:t>
      </w:r>
      <w:r>
        <w:rPr>
          <w:rFonts w:hint="eastAsia"/>
          <w:bCs/>
          <w:sz w:val="24"/>
          <w:highlight w:val="none"/>
        </w:rPr>
        <w:t>选取在沪深交易所或银行间市场上市的BBB及以上、且剩余期限1个月及以上的国债、金融债、企业债等债券作为成份券</w:t>
      </w:r>
      <w:r>
        <w:rPr>
          <w:rFonts w:hint="eastAsia"/>
          <w:bCs/>
          <w:sz w:val="24"/>
          <w:highlight w:val="none"/>
          <w:lang w:eastAsia="zh-CN"/>
        </w:rPr>
        <w:t>，</w:t>
      </w:r>
      <w:r>
        <w:rPr>
          <w:rFonts w:hint="eastAsia"/>
          <w:bCs/>
          <w:sz w:val="24"/>
          <w:highlight w:val="none"/>
        </w:rPr>
        <w:t>该指数旨在更全面地反映我国债券市场的整体价格变动趋势</w:t>
      </w:r>
      <w:r>
        <w:rPr>
          <w:rFonts w:hint="eastAsia" w:ascii="Calibri" w:hAnsi="Calibri" w:eastAsia="宋体" w:cs="Times New Roman"/>
          <w:kern w:val="2"/>
          <w:sz w:val="24"/>
          <w:szCs w:val="24"/>
          <w:highlight w:val="none"/>
          <w:lang w:val="en-US" w:eastAsia="zh-CN" w:bidi="ar-SA"/>
        </w:rPr>
        <w:t>。调整后的新业绩比较基准中，中证综合债（全价）指数（指数代码H11009CNY030）为中证综合债券指数的全价算法衍生指数，适合作为本基金债券部分的业绩比较基准要素。</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right="0" w:firstLine="480" w:firstLineChars="200"/>
        <w:jc w:val="both"/>
        <w:textAlignment w:val="auto"/>
        <w:rPr>
          <w:highlight w:val="none"/>
        </w:rPr>
      </w:pPr>
      <w:r>
        <w:rPr>
          <w:rFonts w:hint="eastAsia" w:ascii="Calibri" w:hAnsi="Calibri" w:eastAsia="宋体" w:cs="Times New Roman"/>
          <w:kern w:val="2"/>
          <w:sz w:val="24"/>
          <w:szCs w:val="24"/>
          <w:highlight w:val="none"/>
          <w:lang w:val="en-US" w:eastAsia="zh-CN" w:bidi="ar-SA"/>
        </w:rPr>
        <w:t>此外，基于本基金历史持仓，并结合基金合同约定的投资比例限制以及本基金预期的资产配置比例中枢，将业绩比较基准中的股票资产所对应的基准要素权重从</w:t>
      </w:r>
      <w:r>
        <w:rPr>
          <w:rFonts w:hint="eastAsia" w:ascii="Calibri" w:hAnsi="Calibri" w:cs="Times New Roman"/>
          <w:kern w:val="2"/>
          <w:sz w:val="24"/>
          <w:szCs w:val="24"/>
          <w:highlight w:val="none"/>
          <w:lang w:val="en-US" w:eastAsia="zh-CN" w:bidi="ar-SA"/>
        </w:rPr>
        <w:t>80</w:t>
      </w:r>
      <w:r>
        <w:rPr>
          <w:rFonts w:hint="eastAsia" w:ascii="Calibri" w:hAnsi="Calibri" w:eastAsia="宋体" w:cs="Times New Roman"/>
          <w:kern w:val="2"/>
          <w:sz w:val="24"/>
          <w:szCs w:val="24"/>
          <w:highlight w:val="none"/>
          <w:lang w:val="en-US" w:eastAsia="zh-CN" w:bidi="ar-SA"/>
        </w:rPr>
        <w:t>%提高至</w:t>
      </w:r>
      <w:r>
        <w:rPr>
          <w:rFonts w:hint="eastAsia" w:ascii="Calibri" w:hAnsi="Calibri" w:cs="Times New Roman"/>
          <w:kern w:val="2"/>
          <w:sz w:val="24"/>
          <w:szCs w:val="24"/>
          <w:highlight w:val="none"/>
          <w:lang w:val="en-US" w:eastAsia="zh-CN" w:bidi="ar-SA"/>
        </w:rPr>
        <w:t>90</w:t>
      </w:r>
      <w:r>
        <w:rPr>
          <w:rFonts w:hint="eastAsia" w:ascii="Calibri" w:hAnsi="Calibri" w:eastAsia="宋体" w:cs="Times New Roman"/>
          <w:kern w:val="2"/>
          <w:sz w:val="24"/>
          <w:szCs w:val="24"/>
          <w:highlight w:val="none"/>
          <w:lang w:val="en-US" w:eastAsia="zh-CN" w:bidi="ar-SA"/>
        </w:rPr>
        <w:t>%，将业绩比较基准中的债券资产所对应的基准要素权重从</w:t>
      </w:r>
      <w:r>
        <w:rPr>
          <w:rFonts w:hint="eastAsia" w:ascii="Calibri" w:hAnsi="Calibri" w:cs="Times New Roman"/>
          <w:kern w:val="2"/>
          <w:sz w:val="24"/>
          <w:szCs w:val="24"/>
          <w:highlight w:val="none"/>
          <w:lang w:val="en-US" w:eastAsia="zh-CN" w:bidi="ar-SA"/>
        </w:rPr>
        <w:t>20</w:t>
      </w:r>
      <w:r>
        <w:rPr>
          <w:rFonts w:hint="eastAsia" w:ascii="Calibri" w:hAnsi="Calibri" w:eastAsia="宋体" w:cs="Times New Roman"/>
          <w:kern w:val="2"/>
          <w:sz w:val="24"/>
          <w:szCs w:val="24"/>
          <w:highlight w:val="none"/>
          <w:lang w:val="en-US" w:eastAsia="zh-CN" w:bidi="ar-SA"/>
        </w:rPr>
        <w:t>%降低至</w:t>
      </w:r>
      <w:r>
        <w:rPr>
          <w:rFonts w:hint="eastAsia" w:ascii="Calibri" w:hAnsi="Calibri" w:cs="Times New Roman"/>
          <w:kern w:val="2"/>
          <w:sz w:val="24"/>
          <w:szCs w:val="24"/>
          <w:highlight w:val="none"/>
          <w:lang w:val="en-US" w:eastAsia="zh-CN" w:bidi="ar-SA"/>
        </w:rPr>
        <w:t>10</w:t>
      </w:r>
      <w:r>
        <w:rPr>
          <w:rFonts w:hint="eastAsia" w:ascii="Calibri" w:hAnsi="Calibri" w:eastAsia="宋体" w:cs="Times New Roman"/>
          <w:kern w:val="2"/>
          <w:sz w:val="24"/>
          <w:szCs w:val="24"/>
          <w:highlight w:val="none"/>
          <w:lang w:val="en-US" w:eastAsia="zh-CN" w:bidi="ar-SA"/>
        </w:rPr>
        <w:t>%，从而使得新业绩比较基准中各大资产类别所对应的基准要素权重与基金投资策略和基金过往实际投资运作等相匹配。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80" w:firstLineChars="200"/>
        <w:textAlignment w:val="auto"/>
        <w:rPr>
          <w:rFonts w:hint="eastAsia" w:asciiTheme="minorEastAsia" w:hAnsiTheme="minorEastAsia"/>
          <w:sz w:val="24"/>
          <w:highlight w:val="none"/>
        </w:rPr>
      </w:pPr>
      <w:r>
        <w:rPr>
          <w:rFonts w:hint="eastAsia" w:asciiTheme="minorEastAsia" w:hAnsiTheme="minorEastAsia"/>
          <w:sz w:val="24"/>
          <w:highlight w:val="none"/>
        </w:rPr>
        <w:t>本次调整业绩比较基准旨在提高基金业绩表现与业绩比较基准的可比性，更加清晰反映基金的风险收益特征，不会对产品投资运作、持有人利益产生实质性不利影响。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rPr>
          <w:highlight w:val="none"/>
        </w:rPr>
      </w:pP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b/>
          <w:bCs/>
          <w:sz w:val="24"/>
          <w:szCs w:val="24"/>
          <w:highlight w:val="none"/>
          <w:lang w:val="zh-CN" w:eastAsia="zh-CN" w:bidi="zh-CN"/>
        </w:rPr>
      </w:pPr>
      <w:r>
        <w:rPr>
          <w:rFonts w:hint="eastAsia" w:ascii="黑体" w:hAnsi="黑体" w:eastAsia="黑体" w:cs="黑体"/>
          <w:b/>
          <w:bCs/>
          <w:sz w:val="24"/>
          <w:szCs w:val="24"/>
          <w:highlight w:val="none"/>
          <w:lang w:val="en-US" w:eastAsia="zh-CN" w:bidi="zh-CN"/>
        </w:rPr>
        <w:t>三</w:t>
      </w:r>
      <w:r>
        <w:rPr>
          <w:rFonts w:hint="eastAsia" w:ascii="黑体" w:hAnsi="黑体" w:eastAsia="黑体" w:cs="黑体"/>
          <w:b/>
          <w:bCs/>
          <w:sz w:val="24"/>
          <w:szCs w:val="24"/>
          <w:highlight w:val="none"/>
          <w:lang w:val="zh-CN" w:eastAsia="zh-CN" w:bidi="zh-CN"/>
        </w:rPr>
        <w:t>、东方阿尔法兴科一年持有期混合型证券投资基金</w:t>
      </w:r>
    </w:p>
    <w:p>
      <w:pPr>
        <w:pStyle w:val="8"/>
        <w:keepNext w:val="0"/>
        <w:keepLines w:val="0"/>
        <w:pageBreakBefore w:val="0"/>
        <w:widowControl w:val="0"/>
        <w:numPr>
          <w:ilvl w:val="0"/>
          <w:numId w:val="0"/>
        </w:numPr>
        <w:tabs>
          <w:tab w:val="left" w:pos="1943"/>
        </w:tabs>
        <w:kinsoku/>
        <w:wordWrap/>
        <w:overflowPunct/>
        <w:topLinePunct w:val="0"/>
        <w:autoSpaceDE w:val="0"/>
        <w:autoSpaceDN w:val="0"/>
        <w:bidi w:val="0"/>
        <w:adjustRightInd/>
        <w:snapToGrid/>
        <w:spacing w:before="0" w:after="0" w:line="360" w:lineRule="auto"/>
        <w:ind w:left="0" w:leftChars="0" w:right="0" w:rightChars="0" w:firstLine="482" w:firstLineChars="200"/>
        <w:jc w:val="left"/>
        <w:textAlignment w:val="auto"/>
        <w:rPr>
          <w:rFonts w:hint="default" w:ascii="宋体" w:hAnsi="宋体" w:eastAsia="宋体" w:cs="宋体"/>
          <w:color w:val="auto"/>
          <w:sz w:val="24"/>
          <w:szCs w:val="32"/>
          <w:highlight w:val="none"/>
          <w:lang w:val="en-US" w:eastAsia="zh-CN" w:bidi="zh-CN"/>
        </w:rPr>
      </w:pPr>
      <w:r>
        <w:rPr>
          <w:rFonts w:hint="eastAsia" w:ascii="黑体" w:hAnsi="黑体" w:eastAsia="黑体" w:cs="黑体"/>
          <w:b/>
          <w:bCs/>
          <w:sz w:val="24"/>
          <w:szCs w:val="24"/>
          <w:highlight w:val="none"/>
          <w:lang w:val="en-US" w:eastAsia="zh-CN" w:bidi="zh-CN"/>
        </w:rPr>
        <w:t>1、</w:t>
      </w:r>
      <w:r>
        <w:rPr>
          <w:rFonts w:hint="eastAsia" w:ascii="黑体" w:hAnsi="黑体" w:eastAsia="黑体" w:cs="黑体"/>
          <w:b/>
          <w:bCs/>
          <w:sz w:val="24"/>
          <w:szCs w:val="24"/>
          <w:highlight w:val="none"/>
          <w:lang w:val="zh-CN" w:eastAsia="zh-CN" w:bidi="zh-CN"/>
        </w:rPr>
        <w:t>当前业绩比较基准：</w:t>
      </w:r>
      <w:r>
        <w:rPr>
          <w:rFonts w:hint="eastAsia" w:ascii="宋体" w:hAnsi="宋体" w:eastAsia="宋体" w:cs="宋体"/>
          <w:color w:val="auto"/>
          <w:sz w:val="24"/>
          <w:szCs w:val="32"/>
          <w:highlight w:val="none"/>
          <w:lang w:val="zh-CN" w:eastAsia="zh-CN" w:bidi="zh-CN"/>
        </w:rPr>
        <w:t>中证800指数收益率*60%+恒生指数收益率*20%+中证综合债券指数收益率*20%</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default" w:ascii="宋体" w:hAnsi="宋体" w:eastAsia="宋体" w:cs="宋体"/>
          <w:color w:val="auto"/>
          <w:sz w:val="24"/>
          <w:szCs w:val="32"/>
          <w:highlight w:val="none"/>
          <w:lang w:val="en-US" w:eastAsia="zh-CN" w:bidi="zh-CN"/>
        </w:rPr>
      </w:pPr>
      <w:r>
        <w:rPr>
          <w:rFonts w:hint="eastAsia" w:ascii="黑体" w:hAnsi="黑体" w:eastAsia="黑体" w:cs="黑体"/>
          <w:b/>
          <w:bCs/>
          <w:sz w:val="24"/>
          <w:szCs w:val="24"/>
          <w:highlight w:val="none"/>
          <w:lang w:val="zh-CN" w:eastAsia="zh-CN" w:bidi="zh-CN"/>
        </w:rPr>
        <w:t>调整后新业绩比较基准：</w:t>
      </w:r>
      <w:r>
        <w:rPr>
          <w:rFonts w:hint="eastAsia" w:ascii="宋体" w:hAnsi="宋体" w:eastAsia="宋体" w:cs="宋体"/>
          <w:color w:val="auto"/>
          <w:sz w:val="24"/>
          <w:szCs w:val="32"/>
          <w:highlight w:val="none"/>
          <w:lang w:val="zh-CN" w:eastAsia="zh-CN" w:bidi="zh-CN"/>
        </w:rPr>
        <w:t>中证800指数收益率*</w:t>
      </w:r>
      <w:r>
        <w:rPr>
          <w:rFonts w:hint="eastAsia" w:cs="宋体"/>
          <w:color w:val="auto"/>
          <w:sz w:val="24"/>
          <w:szCs w:val="32"/>
          <w:highlight w:val="none"/>
          <w:lang w:val="en-US" w:eastAsia="zh-CN" w:bidi="zh-CN"/>
        </w:rPr>
        <w:t>70</w:t>
      </w:r>
      <w:r>
        <w:rPr>
          <w:rFonts w:hint="eastAsia" w:ascii="宋体" w:hAnsi="宋体" w:eastAsia="宋体" w:cs="宋体"/>
          <w:color w:val="auto"/>
          <w:sz w:val="24"/>
          <w:szCs w:val="32"/>
          <w:highlight w:val="none"/>
          <w:lang w:val="zh-CN" w:eastAsia="zh-CN" w:bidi="zh-CN"/>
        </w:rPr>
        <w:t>%+恒生指数收益率*20%+中证综合债（全价）指数收益率*</w:t>
      </w:r>
      <w:r>
        <w:rPr>
          <w:rFonts w:hint="eastAsia" w:cs="宋体"/>
          <w:color w:val="auto"/>
          <w:sz w:val="24"/>
          <w:szCs w:val="32"/>
          <w:highlight w:val="none"/>
          <w:lang w:val="en-US" w:eastAsia="zh-CN" w:bidi="zh-CN"/>
        </w:rPr>
        <w:t>10</w:t>
      </w:r>
      <w:r>
        <w:rPr>
          <w:rFonts w:hint="eastAsia" w:ascii="宋体" w:hAnsi="宋体" w:eastAsia="宋体" w:cs="宋体"/>
          <w:color w:val="auto"/>
          <w:sz w:val="24"/>
          <w:szCs w:val="32"/>
          <w:highlight w:val="none"/>
          <w:lang w:val="zh-CN" w:eastAsia="zh-CN" w:bidi="zh-CN"/>
        </w:rPr>
        <w:t>%</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2" w:firstLineChars="200"/>
        <w:textAlignment w:val="auto"/>
        <w:rPr>
          <w:rFonts w:hint="eastAsia" w:ascii="黑体" w:hAnsi="黑体" w:eastAsia="黑体" w:cs="黑体"/>
          <w:highlight w:val="none"/>
        </w:rPr>
      </w:pPr>
      <w:r>
        <w:rPr>
          <w:rFonts w:hint="eastAsia" w:ascii="黑体" w:hAnsi="黑体" w:eastAsia="黑体" w:cs="黑体"/>
          <w:highlight w:val="none"/>
          <w:lang w:val="en-US" w:eastAsia="zh-CN"/>
        </w:rPr>
        <w:t>2、</w:t>
      </w:r>
      <w:r>
        <w:rPr>
          <w:rFonts w:hint="eastAsia" w:ascii="黑体" w:hAnsi="黑体" w:eastAsia="黑体" w:cs="黑体"/>
          <w:highlight w:val="none"/>
        </w:rPr>
        <w:t>新的业绩比较基准选择原因、差异及影响：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highlight w:val="none"/>
        </w:rPr>
      </w:pPr>
      <w:r>
        <w:rPr>
          <w:rFonts w:hint="eastAsia"/>
          <w:highlight w:val="none"/>
        </w:rPr>
        <w:t>此次本基金业绩比较基准调整同时涉及更换业绩比较基准要素和调整业绩比较基准的要素权重。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rFonts w:hint="eastAsia"/>
          <w:highlight w:val="none"/>
        </w:rPr>
      </w:pPr>
      <w:r>
        <w:rPr>
          <w:rFonts w:hint="eastAsia"/>
          <w:highlight w:val="none"/>
        </w:rPr>
        <w:t>本基金的债券资产采用全市场策略，主要通过类属配置与券种选择进行投资管理。原业绩比较基准中，中证综合债券指数（指数代码H11009）</w:t>
      </w:r>
      <w:r>
        <w:rPr>
          <w:rFonts w:hint="eastAsia"/>
          <w:bCs/>
          <w:sz w:val="24"/>
          <w:highlight w:val="none"/>
        </w:rPr>
        <w:t>选取在沪深交易所或银行间市场上市的BBB及以上、且剩余期限1个月及以上的国债、金融债、企业债等债券作为成份券</w:t>
      </w:r>
      <w:r>
        <w:rPr>
          <w:rFonts w:hint="eastAsia"/>
          <w:bCs/>
          <w:sz w:val="24"/>
          <w:highlight w:val="none"/>
          <w:lang w:eastAsia="zh-CN"/>
        </w:rPr>
        <w:t>，</w:t>
      </w:r>
      <w:r>
        <w:rPr>
          <w:rFonts w:hint="eastAsia"/>
          <w:bCs/>
          <w:sz w:val="24"/>
          <w:highlight w:val="none"/>
        </w:rPr>
        <w:t>该指数旨在更全面地反映我国债券市场的整体价格变动趋势</w:t>
      </w:r>
      <w:r>
        <w:rPr>
          <w:rFonts w:hint="eastAsia"/>
          <w:highlight w:val="none"/>
        </w:rPr>
        <w:t>。调整后的新业绩比较基准中，中证综合债（全价）指数（指数代码H11009CNY030）为中证综合债券指数的全价算法衍生指数，适合作为本基金债券部分的业绩比较基准要素。</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highlight w:val="none"/>
        </w:rPr>
      </w:pPr>
      <w:r>
        <w:rPr>
          <w:rFonts w:hint="eastAsia"/>
          <w:highlight w:val="none"/>
        </w:rPr>
        <w:t>此外，基于本基金历史持仓，并结合基金合同约定的投资比例限制以及本基金预期的资产配置比例中枢，将业绩比较基准中的股票资产所对应的基准要素权重从80%提高至</w:t>
      </w:r>
      <w:r>
        <w:rPr>
          <w:rFonts w:hint="eastAsia"/>
          <w:highlight w:val="none"/>
          <w:lang w:val="en-US" w:eastAsia="zh-CN"/>
        </w:rPr>
        <w:t>90</w:t>
      </w:r>
      <w:r>
        <w:rPr>
          <w:rFonts w:hint="eastAsia"/>
          <w:highlight w:val="none"/>
        </w:rPr>
        <w:t>%（其中A股股票部分的基准要素权重相应从60%提高至</w:t>
      </w:r>
      <w:r>
        <w:rPr>
          <w:rFonts w:hint="eastAsia"/>
          <w:highlight w:val="none"/>
          <w:lang w:val="en-US" w:eastAsia="zh-CN"/>
        </w:rPr>
        <w:t>70</w:t>
      </w:r>
      <w:r>
        <w:rPr>
          <w:rFonts w:hint="eastAsia"/>
          <w:highlight w:val="none"/>
        </w:rPr>
        <w:t>%，港股通标的股票部分的基准要素权重仍维持20%），将业绩比较基准中的债券资产所对应的基准要素权重从20%降低至</w:t>
      </w:r>
      <w:r>
        <w:rPr>
          <w:rFonts w:hint="eastAsia"/>
          <w:highlight w:val="none"/>
          <w:lang w:val="en-US" w:eastAsia="zh-CN"/>
        </w:rPr>
        <w:t>10</w:t>
      </w:r>
      <w:r>
        <w:rPr>
          <w:rFonts w:hint="eastAsia"/>
          <w:highlight w:val="none"/>
        </w:rPr>
        <w:t>%，从而使得新业绩比较基准中各大资产类别所对应的基准要素权重与基金投资策略和基金过往实际投资运作等相匹配。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480" w:firstLineChars="200"/>
        <w:textAlignment w:val="auto"/>
        <w:rPr>
          <w:rFonts w:hint="eastAsia" w:asciiTheme="minorEastAsia" w:hAnsiTheme="minorEastAsia"/>
          <w:sz w:val="24"/>
          <w:highlight w:val="none"/>
        </w:rPr>
      </w:pPr>
      <w:r>
        <w:rPr>
          <w:rFonts w:hint="eastAsia" w:asciiTheme="minorEastAsia" w:hAnsiTheme="minorEastAsia"/>
          <w:sz w:val="24"/>
          <w:highlight w:val="none"/>
        </w:rPr>
        <w:t>本次调整业绩比较基准旨在提高基金业绩表现与业绩比较基准的可比性，更加清晰反映基金的风险收益特征，不会对产品投资运作、持有人利益产生实质性不利影响。</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textAlignment w:val="auto"/>
        <w:rPr>
          <w:highlight w:val="none"/>
        </w:rPr>
      </w:pP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textAlignment w:val="auto"/>
        <w:rPr>
          <w:highlight w:val="none"/>
        </w:rPr>
      </w:pPr>
    </w:p>
    <w:p>
      <w:pPr>
        <w:pStyle w:val="4"/>
        <w:ind w:left="0"/>
        <w:rPr>
          <w:highlight w:val="none"/>
        </w:rPr>
      </w:pPr>
    </w:p>
    <w:p>
      <w:pPr>
        <w:pStyle w:val="4"/>
        <w:spacing w:before="1"/>
        <w:ind w:left="0"/>
        <w:rPr>
          <w:sz w:val="25"/>
          <w:highlight w:val="none"/>
        </w:rPr>
      </w:pPr>
    </w:p>
    <w:p>
      <w:pPr>
        <w:pStyle w:val="4"/>
        <w:spacing w:before="7"/>
        <w:ind w:right="786"/>
        <w:jc w:val="center"/>
        <w:rPr>
          <w:highlight w:val="none"/>
        </w:rPr>
      </w:pPr>
    </w:p>
    <w:sectPr>
      <w:pgSz w:w="11910" w:h="16840"/>
      <w:pgMar w:top="1460" w:right="920" w:bottom="1220" w:left="940" w:header="0" w:footer="94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w:pict>
        <v:shape id="_x0000_s4097" o:spid="_x0000_s4097" o:spt="202" type="#_x0000_t202" style="position:absolute;left:0pt;margin-left:290.35pt;margin-top:779.65pt;height:13.65pt;width:14.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11"/>
                  <w:ind w:left="40" w:right="0" w:firstLine="0"/>
                  <w:jc w:val="left"/>
                  <w:rPr>
                    <w:rFonts w:ascii="Times New Roman"/>
                    <w:sz w:val="21"/>
                  </w:rPr>
                </w:pPr>
                <w:r>
                  <w:fldChar w:fldCharType="begin"/>
                </w:r>
                <w:r>
                  <w:rPr>
                    <w:rFonts w:ascii="Times New Roman"/>
                    <w:sz w:val="21"/>
                  </w:rPr>
                  <w:instrText xml:space="preserve"> PAGE </w:instrText>
                </w:r>
                <w:r>
                  <w:fldChar w:fldCharType="separate"/>
                </w:r>
                <w:r>
                  <w:t>10</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ZkYWRiZmZiZTlmZmQwMjRmZGQyZmU2MTdkMDlmY2EifQ=="/>
  </w:docVars>
  <w:rsids>
    <w:rsidRoot w:val="00000000"/>
    <w:rsid w:val="009B5B13"/>
    <w:rsid w:val="01AC3228"/>
    <w:rsid w:val="026B6029"/>
    <w:rsid w:val="05D41901"/>
    <w:rsid w:val="08492CA7"/>
    <w:rsid w:val="08927341"/>
    <w:rsid w:val="0A2946E4"/>
    <w:rsid w:val="0A5C79DB"/>
    <w:rsid w:val="0AF70DE1"/>
    <w:rsid w:val="0E5433B2"/>
    <w:rsid w:val="0F984EE6"/>
    <w:rsid w:val="101A6FB8"/>
    <w:rsid w:val="10F21A31"/>
    <w:rsid w:val="11CB5864"/>
    <w:rsid w:val="11F624ED"/>
    <w:rsid w:val="16390D4F"/>
    <w:rsid w:val="18BC7F89"/>
    <w:rsid w:val="1B460DAA"/>
    <w:rsid w:val="1BAB0C11"/>
    <w:rsid w:val="1D3A1858"/>
    <w:rsid w:val="1DE17DC1"/>
    <w:rsid w:val="1FEE5BD8"/>
    <w:rsid w:val="226B4A56"/>
    <w:rsid w:val="247576BF"/>
    <w:rsid w:val="259526FD"/>
    <w:rsid w:val="25F17579"/>
    <w:rsid w:val="285546CB"/>
    <w:rsid w:val="288928B2"/>
    <w:rsid w:val="2A546B21"/>
    <w:rsid w:val="2CB246D5"/>
    <w:rsid w:val="2E861650"/>
    <w:rsid w:val="2FAD2459"/>
    <w:rsid w:val="30E2194A"/>
    <w:rsid w:val="32430D8D"/>
    <w:rsid w:val="343D5878"/>
    <w:rsid w:val="344C23DB"/>
    <w:rsid w:val="35996C72"/>
    <w:rsid w:val="36A90987"/>
    <w:rsid w:val="376F5A8F"/>
    <w:rsid w:val="3EF33D73"/>
    <w:rsid w:val="3FE70BDC"/>
    <w:rsid w:val="41101163"/>
    <w:rsid w:val="43D33430"/>
    <w:rsid w:val="45C66A5C"/>
    <w:rsid w:val="4A846B44"/>
    <w:rsid w:val="4B452E5C"/>
    <w:rsid w:val="4D522E53"/>
    <w:rsid w:val="4EB0093E"/>
    <w:rsid w:val="4F620561"/>
    <w:rsid w:val="50D12405"/>
    <w:rsid w:val="512E2F5B"/>
    <w:rsid w:val="535673EB"/>
    <w:rsid w:val="548940CB"/>
    <w:rsid w:val="5AED6594"/>
    <w:rsid w:val="5C824115"/>
    <w:rsid w:val="5E4F62A9"/>
    <w:rsid w:val="5EDC736F"/>
    <w:rsid w:val="608F2F1C"/>
    <w:rsid w:val="61C51BAD"/>
    <w:rsid w:val="666F6907"/>
    <w:rsid w:val="66704848"/>
    <w:rsid w:val="6DF022A5"/>
    <w:rsid w:val="6EB84885"/>
    <w:rsid w:val="6FFF31B5"/>
    <w:rsid w:val="7094484C"/>
    <w:rsid w:val="73AE6633"/>
    <w:rsid w:val="79B256BF"/>
    <w:rsid w:val="7AAA6E5C"/>
    <w:rsid w:val="7BD63418"/>
    <w:rsid w:val="7E1B03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ind w:left="1941" w:hanging="601"/>
      <w:outlineLvl w:val="1"/>
    </w:pPr>
    <w:rPr>
      <w:rFonts w:ascii="Microsoft JhengHei" w:hAnsi="Microsoft JhengHei" w:eastAsia="Microsoft JhengHei" w:cs="Microsoft JhengHei"/>
      <w:b/>
      <w:bCs/>
      <w:sz w:val="24"/>
      <w:szCs w:val="24"/>
      <w:lang w:val="zh-CN" w:eastAsia="zh-CN" w:bidi="zh-CN"/>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ind w:left="860"/>
    </w:pPr>
    <w:rPr>
      <w:rFonts w:ascii="宋体" w:hAnsi="宋体" w:eastAsia="宋体" w:cs="宋体"/>
      <w:sz w:val="24"/>
      <w:szCs w:val="24"/>
      <w:lang w:val="zh-CN" w:eastAsia="zh-CN" w:bidi="zh-CN"/>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81"/>
      <w:ind w:left="1941" w:hanging="601"/>
    </w:pPr>
    <w:rPr>
      <w:rFonts w:ascii="Microsoft JhengHei" w:hAnsi="Microsoft JhengHei" w:eastAsia="Microsoft JhengHei" w:cs="Microsoft JhengHei"/>
      <w:lang w:val="zh-CN" w:eastAsia="zh-CN" w:bidi="zh-CN"/>
    </w:rPr>
  </w:style>
  <w:style w:type="paragraph" w:customStyle="1" w:styleId="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7461</Words>
  <Characters>8102</Characters>
  <TotalTime>9</TotalTime>
  <ScaleCrop>false</ScaleCrop>
  <LinksUpToDate>false</LinksUpToDate>
  <CharactersWithSpaces>8108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2026-05-06T06:31:00Z</dcterms:created>
  <dc:creator>daicz</dc:creator>
  <cp:lastModifiedBy>聪子</cp:lastModifiedBy>
  <dcterms:modified xsi:type="dcterms:W3CDTF">2026-10-30T01:09:19Z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Aspose Ltd.</vt:lpwstr>
  </property>
  <property fmtid="{D5CDD505-2E9C-101B-9397-08002B2CF9AE}" pid="3" name="KSOProductBuildVer">
    <vt:lpwstr>2052-11.1.0.10314</vt:lpwstr>
  </property>
  <property fmtid="{D5CDD505-2E9C-101B-9397-08002B2CF9AE}" pid="4" name="ICV">
    <vt:lpwstr>C60DC41589AD440A8192DE79C1734E4A_12</vt:lpwstr>
  </property>
</Properties>
</file>