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东方阿尔法科技智选混合型发起式证券投资基金（C类份额）基金产品资料概要更新</w:t>
      </w:r>
    </w:p>
    <w:p>
      <w:pPr>
        <w:jc w:val="right"/>
      </w:pPr>
      <w:r>
        <w:rPr>
          <w:rFonts w:ascii="宋体" w:hAnsi="宋体" w:eastAsia="宋体" w:cs="宋体"/>
          <w:b w:val="0"/>
        </w:rPr>
        <w:t>编制日期：2026年11月04日</w:t>
      </w:r>
    </w:p>
    <w:p>
      <w:pPr>
        <w:jc w:val="center"/>
      </w:pPr>
      <w:r>
        <w:rPr>
          <w:rFonts w:ascii="宋体" w:hAnsi="宋体" w:eastAsia="宋体" w:cs="宋体"/>
          <w:b w:val="0"/>
        </w:rPr>
        <w:t>送出日期：2026年11月06日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fixed"/>
        <w:tblCellMar>
          <w:top w:w="0" w:type="dxa"/>
          <w:left w:w="108" w:type="dxa"/>
          <w:bottom w:w="0" w:type="dxa"/>
          <w:right w:w="108" w:type="dxa"/>
        </w:tblCellMar>
      </w:tblPr>
      <w:tblGrid>
        <w:gridCol w:w="2143"/>
        <w:gridCol w:w="2500"/>
        <w:gridCol w:w="2143"/>
        <w:gridCol w:w="2500"/>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东方阿尔法科技智选混合发起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025499</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基金简称C</w:t>
            </w:r>
          </w:p>
        </w:tc>
        <w:tc>
          <w:tcPr>
            <w:tcW w:w="2266" w:type="dxa"/>
            <w:vAlign w:val="center"/>
          </w:tcPr>
          <w:p>
            <w:pPr>
              <w:spacing w:line="240" w:lineRule="auto"/>
              <w:jc w:val="left"/>
            </w:pPr>
            <w:r>
              <w:rPr>
                <w:rFonts w:ascii="宋体" w:hAnsi="宋体" w:eastAsia="宋体" w:cs="宋体"/>
                <w:b w:val="0"/>
              </w:rPr>
              <w:t>东方阿尔法科技智选混合发起C</w:t>
            </w:r>
          </w:p>
        </w:tc>
        <w:tc>
          <w:tcPr>
            <w:tcW w:w="2266" w:type="dxa"/>
            <w:vAlign w:val="center"/>
          </w:tcPr>
          <w:p>
            <w:pPr>
              <w:spacing w:line="240" w:lineRule="auto"/>
              <w:jc w:val="left"/>
            </w:pPr>
            <w:r>
              <w:rPr>
                <w:rFonts w:ascii="宋体" w:hAnsi="宋体" w:eastAsia="宋体" w:cs="宋体"/>
                <w:b/>
              </w:rPr>
              <w:t>基金代码C</w:t>
            </w:r>
          </w:p>
        </w:tc>
        <w:tc>
          <w:tcPr>
            <w:tcW w:w="2266" w:type="dxa"/>
            <w:vAlign w:val="center"/>
          </w:tcPr>
          <w:p>
            <w:pPr>
              <w:spacing w:line="240" w:lineRule="auto"/>
              <w:jc w:val="left"/>
            </w:pPr>
            <w:r>
              <w:rPr>
                <w:rFonts w:ascii="宋体" w:hAnsi="宋体" w:eastAsia="宋体" w:cs="宋体"/>
                <w:b w:val="0"/>
              </w:rPr>
              <w:t>025500</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基金管理人</w:t>
            </w:r>
          </w:p>
        </w:tc>
        <w:tc>
          <w:tcPr>
            <w:tcW w:w="2266" w:type="dxa"/>
            <w:vAlign w:val="center"/>
          </w:tcPr>
          <w:p>
            <w:pPr>
              <w:spacing w:line="240" w:lineRule="auto"/>
              <w:jc w:val="left"/>
            </w:pPr>
            <w:r>
              <w:rPr>
                <w:rFonts w:ascii="宋体" w:hAnsi="宋体" w:eastAsia="宋体" w:cs="宋体"/>
                <w:b w:val="0"/>
              </w:rPr>
              <w:t>东方阿尔法基金管理有限公司</w:t>
            </w:r>
          </w:p>
        </w:tc>
        <w:tc>
          <w:tcPr>
            <w:tcW w:w="2266" w:type="dxa"/>
            <w:vAlign w:val="center"/>
          </w:tcPr>
          <w:p>
            <w:pPr>
              <w:spacing w:line="240" w:lineRule="auto"/>
              <w:jc w:val="left"/>
            </w:pPr>
            <w:r>
              <w:rPr>
                <w:rFonts w:ascii="宋体" w:hAnsi="宋体" w:eastAsia="宋体" w:cs="宋体"/>
                <w:b/>
              </w:rPr>
              <w:t>基金托管人</w:t>
            </w:r>
          </w:p>
        </w:tc>
        <w:tc>
          <w:tcPr>
            <w:tcW w:w="2266" w:type="dxa"/>
            <w:vAlign w:val="center"/>
          </w:tcPr>
          <w:p>
            <w:pPr>
              <w:spacing w:line="240" w:lineRule="auto"/>
              <w:jc w:val="left"/>
            </w:pPr>
            <w:r>
              <w:rPr>
                <w:rFonts w:ascii="宋体" w:hAnsi="宋体" w:eastAsia="宋体" w:cs="宋体"/>
                <w:b w:val="0"/>
              </w:rPr>
              <w:t>招商银行股份有限公司</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基金合同生效日</w:t>
            </w:r>
          </w:p>
        </w:tc>
        <w:tc>
          <w:tcPr>
            <w:tcW w:w="2266" w:type="dxa"/>
            <w:vAlign w:val="center"/>
          </w:tcPr>
          <w:p>
            <w:pPr>
              <w:spacing w:line="240" w:lineRule="auto"/>
              <w:jc w:val="left"/>
            </w:pPr>
            <w:r>
              <w:rPr>
                <w:rFonts w:ascii="宋体" w:hAnsi="宋体" w:eastAsia="宋体" w:cs="宋体"/>
                <w:b w:val="0"/>
              </w:rPr>
              <w:t>2025年09月12日</w:t>
            </w:r>
          </w:p>
        </w:tc>
        <w:tc>
          <w:tcPr>
            <w:tcW w:w="2266" w:type="dxa"/>
            <w:vAlign w:val="center"/>
          </w:tcPr>
          <w:p>
            <w:pPr>
              <w:spacing w:line="240" w:lineRule="auto"/>
              <w:jc w:val="left"/>
            </w:pPr>
            <w:r>
              <w:rPr>
                <w:rFonts w:ascii="宋体" w:hAnsi="宋体" w:eastAsia="宋体" w:cs="宋体"/>
                <w:b/>
              </w:rPr>
              <w:t>上市交易所及上市日期</w:t>
            </w:r>
          </w:p>
        </w:tc>
        <w:tc>
          <w:tcPr>
            <w:tcW w:w="2266" w:type="dxa"/>
            <w:vAlign w:val="center"/>
          </w:tcPr>
          <w:p>
            <w:pPr>
              <w:spacing w:line="240" w:lineRule="auto"/>
              <w:jc w:val="left"/>
            </w:pPr>
            <w:r>
              <w:rPr>
                <w:rFonts w:ascii="宋体" w:hAnsi="宋体" w:eastAsia="宋体" w:cs="宋体"/>
                <w:b w:val="0"/>
              </w:rPr>
              <w:t>暂未上市</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基金类型</w:t>
            </w:r>
          </w:p>
        </w:tc>
        <w:tc>
          <w:tcPr>
            <w:tcW w:w="2266" w:type="dxa"/>
            <w:vAlign w:val="center"/>
          </w:tcPr>
          <w:p>
            <w:pPr>
              <w:spacing w:line="240" w:lineRule="auto"/>
              <w:jc w:val="left"/>
            </w:pPr>
            <w:r>
              <w:rPr>
                <w:rFonts w:ascii="宋体" w:hAnsi="宋体" w:eastAsia="宋体" w:cs="宋体"/>
                <w:b w:val="0"/>
              </w:rPr>
              <w:t>混合型</w:t>
            </w:r>
          </w:p>
        </w:tc>
        <w:tc>
          <w:tcPr>
            <w:tcW w:w="2266" w:type="dxa"/>
            <w:vAlign w:val="center"/>
          </w:tcPr>
          <w:p>
            <w:pPr>
              <w:spacing w:line="240" w:lineRule="auto"/>
              <w:jc w:val="left"/>
            </w:pPr>
            <w:r>
              <w:rPr>
                <w:rFonts w:ascii="宋体" w:hAnsi="宋体" w:eastAsia="宋体" w:cs="宋体"/>
                <w:b/>
              </w:rPr>
              <w:t>交易币种</w:t>
            </w:r>
          </w:p>
        </w:tc>
        <w:tc>
          <w:tcPr>
            <w:tcW w:w="2266" w:type="dxa"/>
            <w:vAlign w:val="center"/>
          </w:tcPr>
          <w:p>
            <w:pPr>
              <w:spacing w:line="240" w:lineRule="auto"/>
              <w:jc w:val="left"/>
            </w:pPr>
            <w:r>
              <w:rPr>
                <w:rFonts w:ascii="宋体" w:hAnsi="宋体" w:eastAsia="宋体" w:cs="宋体"/>
                <w:b w:val="0"/>
              </w:rPr>
              <w:t>人民币</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运作方式</w:t>
            </w:r>
          </w:p>
        </w:tc>
        <w:tc>
          <w:tcPr>
            <w:tcW w:w="2266" w:type="dxa"/>
            <w:vAlign w:val="center"/>
          </w:tcPr>
          <w:p>
            <w:pPr>
              <w:spacing w:line="240" w:lineRule="auto"/>
              <w:jc w:val="left"/>
            </w:pPr>
            <w:r>
              <w:rPr>
                <w:rFonts w:ascii="宋体" w:hAnsi="宋体" w:eastAsia="宋体" w:cs="宋体"/>
                <w:b w:val="0"/>
              </w:rPr>
              <w:t>普通开放式</w:t>
            </w:r>
          </w:p>
        </w:tc>
        <w:tc>
          <w:tcPr>
            <w:tcW w:w="2266" w:type="dxa"/>
            <w:vAlign w:val="center"/>
          </w:tcPr>
          <w:p>
            <w:pPr>
              <w:spacing w:line="240" w:lineRule="auto"/>
              <w:jc w:val="left"/>
            </w:pPr>
            <w:r>
              <w:rPr>
                <w:rFonts w:ascii="宋体" w:hAnsi="宋体" w:eastAsia="宋体" w:cs="宋体"/>
                <w:b/>
              </w:rPr>
              <w:t>开放频率</w:t>
            </w:r>
          </w:p>
        </w:tc>
        <w:tc>
          <w:tcPr>
            <w:tcW w:w="2266" w:type="dxa"/>
            <w:vAlign w:val="center"/>
          </w:tcPr>
          <w:p>
            <w:pPr>
              <w:spacing w:line="240" w:lineRule="auto"/>
              <w:jc w:val="left"/>
            </w:pPr>
            <w:r>
              <w:rPr>
                <w:rFonts w:ascii="宋体" w:hAnsi="宋体" w:eastAsia="宋体" w:cs="宋体"/>
                <w:b w:val="0"/>
              </w:rPr>
              <w:t>每个开放日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Merge w:val="restart"/>
            <w:vAlign w:val="center"/>
          </w:tcPr>
          <w:p>
            <w:pPr>
              <w:spacing w:line="240" w:lineRule="auto"/>
              <w:jc w:val="left"/>
            </w:pPr>
            <w:r>
              <w:rPr>
                <w:rFonts w:ascii="宋体" w:hAnsi="宋体" w:eastAsia="宋体" w:cs="宋体"/>
                <w:b/>
              </w:rPr>
              <w:t>基金经理</w:t>
            </w:r>
          </w:p>
        </w:tc>
        <w:tc>
          <w:tcPr>
            <w:tcW w:w="2266" w:type="dxa"/>
            <w:vMerge w:val="restart"/>
            <w:vAlign w:val="center"/>
          </w:tcPr>
          <w:p>
            <w:pPr>
              <w:spacing w:line="240" w:lineRule="auto"/>
              <w:jc w:val="left"/>
            </w:pPr>
            <w:r>
              <w:rPr>
                <w:rFonts w:ascii="宋体" w:hAnsi="宋体" w:eastAsia="宋体" w:cs="宋体"/>
                <w:b w:val="0"/>
              </w:rPr>
              <w:t>梁少文</w:t>
            </w:r>
          </w:p>
        </w:tc>
        <w:tc>
          <w:tcPr>
            <w:tcW w:w="2266" w:type="dxa"/>
            <w:vAlign w:val="center"/>
          </w:tcPr>
          <w:p>
            <w:pPr>
              <w:spacing w:line="240" w:lineRule="auto"/>
              <w:jc w:val="left"/>
            </w:pPr>
            <w:r>
              <w:rPr>
                <w:rFonts w:ascii="宋体" w:hAnsi="宋体" w:eastAsia="宋体" w:cs="宋体"/>
                <w:b/>
              </w:rPr>
              <w:t>开始担任本基金基金经理的日期</w:t>
            </w:r>
          </w:p>
        </w:tc>
        <w:tc>
          <w:tcPr>
            <w:tcW w:w="2266" w:type="dxa"/>
            <w:vAlign w:val="center"/>
          </w:tcPr>
          <w:p>
            <w:pPr>
              <w:spacing w:line="240" w:lineRule="auto"/>
              <w:jc w:val="left"/>
            </w:pPr>
            <w:r>
              <w:rPr>
                <w:rFonts w:ascii="宋体" w:hAnsi="宋体" w:eastAsia="宋体" w:cs="宋体"/>
                <w:b w:val="0"/>
              </w:rPr>
              <w:t>2025年12月01日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continue"/>
          </w:tcPr>
          <w:p/>
        </w:tc>
        <w:tc>
          <w:tcPr>
            <w:tcW w:w="0" w:type="dxa"/>
            <w:vMerge w:val="continue"/>
          </w:tcPr>
          <w:p/>
        </w:tc>
        <w:tc>
          <w:tcPr>
            <w:tcW w:w="2266" w:type="dxa"/>
            <w:vAlign w:val="center"/>
          </w:tcPr>
          <w:p>
            <w:pPr>
              <w:spacing w:line="240" w:lineRule="auto"/>
              <w:jc w:val="left"/>
            </w:pPr>
            <w:r>
              <w:rPr>
                <w:rFonts w:ascii="宋体" w:hAnsi="宋体" w:eastAsia="宋体" w:cs="宋体"/>
                <w:b/>
              </w:rPr>
              <w:t>证券从业日期</w:t>
            </w:r>
          </w:p>
        </w:tc>
        <w:tc>
          <w:tcPr>
            <w:tcW w:w="2266" w:type="dxa"/>
            <w:vAlign w:val="center"/>
          </w:tcPr>
          <w:p>
            <w:pPr>
              <w:spacing w:line="240" w:lineRule="auto"/>
              <w:jc w:val="left"/>
            </w:pPr>
            <w:r>
              <w:rPr>
                <w:rFonts w:ascii="宋体" w:hAnsi="宋体" w:eastAsia="宋体" w:cs="宋体"/>
                <w:b w:val="0"/>
              </w:rPr>
              <w:t>2021年07月19日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Style w:val="30"/>
          <w:rFonts w:ascii="宋体" w:hAnsi="宋体" w:eastAsia="宋体" w:cs="宋体"/>
          <w:b/>
        </w:rPr>
        <w:t>（一）投资目标与投资策略</w:t>
      </w:r>
    </w:p>
    <w:p>
      <w:r>
        <w:rPr>
          <w:rFonts w:ascii="宋体" w:hAnsi="宋体" w:eastAsia="宋体" w:cs="宋体"/>
          <w:b w:val="0"/>
        </w:rPr>
        <w:t xml:space="preserve">    详见《东方阿尔法科技智选混合型发起式证券投资基金招募说明书》第九部分“基金的投资”。</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7143"/>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本基金重点关注科技主题上市公司的投资机会,在有效控制组合风险并保持良好流动性的前提下,精选个股,追求超越业绩比较基准的投资回报。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r>
              <w:rPr>
                <w:rFonts w:ascii="宋体" w:hAnsi="宋体" w:eastAsia="宋体" w:cs="宋体"/>
                <w:b w:val="0"/>
              </w:rPr>
              <w:br w:type="textWrapping"/>
            </w:r>
            <w:r>
              <w:rPr>
                <w:rFonts w:ascii="宋体" w:hAnsi="宋体" w:eastAsia="宋体" w:cs="宋体"/>
                <w:b w:val="0"/>
              </w:rPr>
              <w:t>如法律法规或监管机构以后允许基金投资其他品种，基金管理人在履行适当程序后，可以将其纳入投资范围，并可依据届时有效的法律法规适时合理地调整投资范围。</w:t>
            </w:r>
            <w:r>
              <w:rPr>
                <w:rFonts w:ascii="宋体" w:hAnsi="宋体" w:eastAsia="宋体" w:cs="宋体"/>
                <w:b w:val="0"/>
              </w:rPr>
              <w:br w:type="textWrapping"/>
            </w:r>
            <w:r>
              <w:rPr>
                <w:rFonts w:ascii="宋体" w:hAnsi="宋体" w:eastAsia="宋体" w:cs="宋体"/>
                <w:b w:val="0"/>
              </w:rPr>
              <w:t>基金的投资组合比例为：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r>
              <w:rPr>
                <w:rFonts w:ascii="宋体" w:hAnsi="宋体" w:eastAsia="宋体" w:cs="宋体"/>
                <w:b w:val="0"/>
              </w:rPr>
              <w:br w:type="textWrapping"/>
            </w:r>
            <w:r>
              <w:rPr>
                <w:rFonts w:ascii="宋体" w:hAnsi="宋体" w:eastAsia="宋体" w:cs="宋体"/>
                <w:b w:val="0"/>
              </w:rPr>
              <w:t>如法律法规或中国证监会变更投资品种的投资比例限制，基金管理人在履行适当程序后，可以调整上述投资品种的投资比例。</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通过定性与定量相结合的积极投资策略，自下而上地精选价值被低估并且具有良好基本面的符合科技主题的股票构建投资组合。投资策略涵盖股票、债券及衍生品的动态配置，定期监控风险并调整组合。股票投资聚焦国家统计局《战略性新兴产业分类》中的科技领域，包括新一代信息技术、高端装备、新材料、新能源、节能环保、生物医药、数字创意等，优先选择研发强度高、行业地位突出的优质企业。同时，基金通过港股通投资估值合理的科技类港股，利用债券、可转债及衍生工具对冲风险。整体策略以科技为核心驱动力，兼顾资产配置多样性，力求在控制波动的前提下捕捉科技产业创新红利，为投资者创造持续回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中国战略新兴产业成份指数收益率*70%+中债-综合指数(全价)收益率*20%+恒生科技指数收益率(按估值汇率折算)*10%</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Style w:val="30"/>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Style w:val="30"/>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
      <w:pPr>
        <w:pStyle w:val="3"/>
        <w:jc w:val="left"/>
      </w:pPr>
      <w:r>
        <w:rPr>
          <w:rFonts w:ascii="宋体" w:hAnsi="宋体" w:eastAsia="宋体" w:cs="宋体"/>
        </w:rPr>
        <w:t>三、投资本基金涉及的费用</w:t>
      </w:r>
    </w:p>
    <w:p>
      <w:pPr>
        <w:pStyle w:val="58"/>
      </w:pPr>
      <w:r>
        <w:rPr>
          <w:rStyle w:val="30"/>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0.00%</w:t>
            </w:r>
          </w:p>
        </w:tc>
        <w:tc>
          <w:tcPr>
            <w:tcW w:w="0" w:type="dxa"/>
            <w:vAlign w:val="center"/>
          </w:tcPr>
          <w:p>
            <w:pPr>
              <w:spacing w:line="240" w:lineRule="auto"/>
              <w:jc w:val="left"/>
            </w:pPr>
          </w:p>
        </w:tc>
      </w:tr>
    </w:tbl>
    <w:p/>
    <w:p>
      <w:pPr>
        <w:pStyle w:val="58"/>
      </w:pPr>
      <w:r>
        <w:rPr>
          <w:rStyle w:val="30"/>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4286"/>
        <w:gridCol w:w="2857"/>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0.40%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72,000.00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Style w:val="30"/>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4714"/>
        <w:gridCol w:w="4572"/>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1.82%</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Style w:val="30"/>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组合中股票资产投资比例为基金资产的60%-95%，其中投资于本基金界定的科技主题相关股票的比例不低于非现金基金资产的80%，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r>
      <w:r>
        <w:rPr>
          <w:rFonts w:ascii="宋体" w:hAnsi="宋体" w:eastAsia="宋体" w:cs="宋体"/>
          <w:b w:val="0"/>
        </w:rPr>
        <w:br w:type="textWrapping"/>
      </w:r>
      <w:r>
        <w:rPr>
          <w:rFonts w:ascii="宋体" w:hAnsi="宋体" w:eastAsia="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r>
      <w:r>
        <w:rPr>
          <w:rFonts w:ascii="宋体" w:hAnsi="宋体" w:eastAsia="宋体" w:cs="宋体"/>
          <w:b w:val="0"/>
        </w:rPr>
        <w:br w:type="textWrapping"/>
      </w:r>
      <w:r>
        <w:rPr>
          <w:rFonts w:ascii="宋体" w:hAnsi="宋体" w:eastAsia="宋体" w:cs="宋体"/>
          <w:b w:val="0"/>
        </w:rPr>
        <w:t xml:space="preserve">    （3）本基金可投资股指期货，可能会出现的风险包括基差风险、合约品种差异造成的风险、标的物风险、衍生品模型风险等。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（4）本基金可投资国债期货，国债期货的风险主要包含市场风险、流动性风险、信用风险、合规性风险以及国债期货实物交割风险等。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（5）本基金可投资股票期权，股票期权的风险包括市场风险、流动性风险、基差风险、保证金风险和信用风险。</w:t>
      </w:r>
      <w:r>
        <w:rPr>
          <w:rFonts w:ascii="宋体" w:hAnsi="宋体" w:eastAsia="宋体" w:cs="宋体"/>
          <w:b w:val="0"/>
        </w:rPr>
        <w:br w:type="textWrapping"/>
      </w:r>
      <w:r>
        <w:rPr>
          <w:rFonts w:ascii="宋体" w:hAnsi="宋体" w:eastAsia="宋体" w:cs="宋体"/>
          <w:b w:val="0"/>
        </w:rPr>
        <w:t xml:space="preserve">    （6）本基金可投资资产支持证券，资产支持证券的风险主要包括信用风险、利率风险、流动性风险、提前偿付风险等。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r>
      <w:r>
        <w:rPr>
          <w:rFonts w:ascii="宋体" w:hAnsi="宋体" w:eastAsia="宋体" w:cs="宋体"/>
          <w:b w:val="0"/>
        </w:rPr>
        <w:br w:type="textWrapping"/>
      </w:r>
      <w:r>
        <w:rPr>
          <w:rFonts w:ascii="宋体" w:hAnsi="宋体" w:eastAsia="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r>
      <w:r>
        <w:rPr>
          <w:rFonts w:ascii="宋体" w:hAnsi="宋体" w:eastAsia="宋体" w:cs="宋体"/>
          <w:b w:val="0"/>
        </w:rPr>
        <w:br w:type="textWrapping"/>
      </w:r>
      <w:r>
        <w:rPr>
          <w:rFonts w:ascii="宋体" w:hAnsi="宋体" w:eastAsia="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r>
      <w:r>
        <w:rPr>
          <w:rFonts w:ascii="宋体" w:hAnsi="宋体" w:eastAsia="宋体" w:cs="宋体"/>
          <w:b w:val="0"/>
        </w:rPr>
        <w:br w:type="textWrapping"/>
      </w:r>
      <w:r>
        <w:rPr>
          <w:rFonts w:ascii="宋体" w:hAnsi="宋体" w:eastAsia="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r>
      <w:r>
        <w:rPr>
          <w:rFonts w:ascii="宋体" w:hAnsi="宋体" w:eastAsia="宋体" w:cs="宋体"/>
          <w:b w:val="0"/>
        </w:rPr>
        <w:br w:type="textWrapping"/>
      </w:r>
      <w:r>
        <w:rPr>
          <w:rFonts w:ascii="宋体" w:hAnsi="宋体" w:eastAsia="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r>
      <w:r>
        <w:rPr>
          <w:rFonts w:ascii="宋体" w:hAnsi="宋体" w:eastAsia="宋体" w:cs="宋体"/>
          <w:b w:val="0"/>
        </w:rPr>
        <w:br w:type="textWrapping"/>
      </w:r>
      <w:r>
        <w:rPr>
          <w:rFonts w:ascii="宋体" w:hAnsi="宋体" w:eastAsia="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58"/>
      </w:pPr>
      <w:r>
        <w:rPr>
          <w:rStyle w:val="30"/>
          <w:rFonts w:ascii="宋体" w:hAnsi="宋体" w:eastAsia="宋体" w:cs="宋体"/>
          <w:b/>
        </w:rPr>
        <w:t>（二）重要提示</w:t>
      </w:r>
    </w:p>
    <w:p>
      <w:pPr>
        <w:jc w:val="left"/>
      </w:pPr>
      <w:r>
        <w:rPr>
          <w:rFonts w:ascii="宋体" w:hAnsi="宋体" w:eastAsia="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ptab w:relativeTo="margin" w:alignment="center" w:leader="none"/>
    </w:r>
    <w:r>
      <w:rPr>
        <w:rFonts w:hint="eastAsia" w:ascii="宋体" w:hAnsi="宋体"/>
        <w:sz w:val="18"/>
      </w:rPr>
      <w:t>东方阿尔法科技智选混合型发起式证券投资基金（C类份额）基金产品资料概要更新</w:t>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23B41245"/>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2026-11-04T05:06:19Z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